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22" w:rsidRDefault="0041731C">
      <w:pPr>
        <w:ind w:firstLineChars="0" w:firstLine="0"/>
        <w:jc w:val="center"/>
        <w:rPr>
          <w:rFonts w:ascii="黑体" w:eastAsia="黑体" w:hAnsi="黑体" w:cs="Times New Roman"/>
          <w:sz w:val="36"/>
          <w:szCs w:val="32"/>
        </w:rPr>
      </w:pPr>
      <w:r>
        <w:rPr>
          <w:rFonts w:ascii="黑体" w:eastAsia="黑体" w:hAnsi="黑体" w:cs="Times New Roman" w:hint="eastAsia"/>
          <w:sz w:val="36"/>
          <w:szCs w:val="32"/>
        </w:rPr>
        <w:t>魏县</w:t>
      </w:r>
      <w:r>
        <w:rPr>
          <w:rFonts w:ascii="黑体" w:eastAsia="黑体" w:hAnsi="黑体" w:cs="Times New Roman"/>
          <w:sz w:val="36"/>
          <w:szCs w:val="32"/>
        </w:rPr>
        <w:t>201</w:t>
      </w:r>
      <w:r>
        <w:rPr>
          <w:rFonts w:ascii="黑体" w:eastAsia="黑体" w:hAnsi="黑体" w:cs="Times New Roman" w:hint="eastAsia"/>
          <w:sz w:val="36"/>
          <w:szCs w:val="32"/>
        </w:rPr>
        <w:t>9年度地下水超采综合治理</w:t>
      </w:r>
      <w:r w:rsidR="00695222">
        <w:rPr>
          <w:rFonts w:ascii="黑体" w:eastAsia="黑体" w:hAnsi="黑体" w:cs="Times New Roman" w:hint="eastAsia"/>
          <w:sz w:val="36"/>
          <w:szCs w:val="32"/>
        </w:rPr>
        <w:t>农村生活</w:t>
      </w:r>
    </w:p>
    <w:p w:rsidR="006D2D5B" w:rsidRDefault="00695222" w:rsidP="00695222">
      <w:pPr>
        <w:ind w:firstLineChars="0" w:firstLine="0"/>
        <w:jc w:val="center"/>
        <w:rPr>
          <w:rFonts w:ascii="黑体" w:eastAsia="黑体" w:hAnsi="黑体" w:cs="Times New Roman"/>
          <w:sz w:val="36"/>
          <w:szCs w:val="32"/>
        </w:rPr>
      </w:pPr>
      <w:r>
        <w:rPr>
          <w:rFonts w:ascii="黑体" w:eastAsia="黑体" w:hAnsi="黑体" w:cs="Times New Roman" w:hint="eastAsia"/>
          <w:sz w:val="36"/>
          <w:szCs w:val="32"/>
        </w:rPr>
        <w:t>用水置换项目</w:t>
      </w:r>
      <w:r w:rsidR="0041731C">
        <w:rPr>
          <w:rFonts w:ascii="黑体" w:eastAsia="黑体" w:hAnsi="黑体" w:cs="Times New Roman" w:hint="eastAsia"/>
          <w:sz w:val="36"/>
          <w:szCs w:val="32"/>
        </w:rPr>
        <w:t>绩效自评报告</w:t>
      </w:r>
    </w:p>
    <w:p w:rsidR="006D2D5B" w:rsidRDefault="006D2D5B">
      <w:pPr>
        <w:ind w:firstLine="640"/>
        <w:jc w:val="center"/>
        <w:rPr>
          <w:rFonts w:cs="Times New Roman"/>
          <w:sz w:val="32"/>
          <w:szCs w:val="32"/>
        </w:rPr>
      </w:pPr>
    </w:p>
    <w:p w:rsidR="006D2D5B" w:rsidRDefault="0041731C">
      <w:pPr>
        <w:pStyle w:val="1"/>
        <w:ind w:firstLine="640"/>
        <w:rPr>
          <w:rFonts w:ascii="黑体" w:eastAsia="黑体" w:hAnsi="黑体" w:cs="Times New Roman"/>
          <w:b w:val="0"/>
          <w:bCs w:val="0"/>
          <w:sz w:val="32"/>
        </w:rPr>
      </w:pPr>
      <w:r>
        <w:rPr>
          <w:rFonts w:ascii="黑体" w:eastAsia="黑体" w:hAnsi="黑体" w:cs="Times New Roman" w:hint="eastAsia"/>
          <w:b w:val="0"/>
          <w:bCs w:val="0"/>
          <w:sz w:val="32"/>
        </w:rPr>
        <w:t>一、概述</w:t>
      </w:r>
    </w:p>
    <w:p w:rsidR="006D2D5B" w:rsidRDefault="0041731C">
      <w:pPr>
        <w:ind w:firstLine="560"/>
        <w:rPr>
          <w:rFonts w:ascii="仿宋" w:eastAsia="仿宋" w:hAnsi="仿宋"/>
          <w:bCs/>
          <w:szCs w:val="28"/>
        </w:rPr>
      </w:pPr>
      <w:r>
        <w:rPr>
          <w:rFonts w:ascii="仿宋" w:eastAsia="仿宋" w:hAnsi="仿宋" w:cs="仿宋" w:hint="eastAsia"/>
          <w:szCs w:val="28"/>
        </w:rPr>
        <w:t>魏县2019年地下水超采综合治理</w:t>
      </w:r>
      <w:r w:rsidR="001D2EB8">
        <w:rPr>
          <w:rFonts w:ascii="仿宋" w:eastAsia="仿宋" w:hAnsi="仿宋" w:cs="仿宋" w:hint="eastAsia"/>
          <w:szCs w:val="28"/>
        </w:rPr>
        <w:t>农村生活用水置换</w:t>
      </w:r>
      <w:r>
        <w:rPr>
          <w:rFonts w:ascii="仿宋" w:eastAsia="仿宋" w:hAnsi="仿宋" w:cs="仿宋" w:hint="eastAsia"/>
          <w:szCs w:val="28"/>
        </w:rPr>
        <w:t>项目，冀财农[2019]52号文，下达资金72545000元，其中</w:t>
      </w:r>
      <w:r w:rsidR="001D2EB8">
        <w:rPr>
          <w:rFonts w:ascii="仿宋" w:eastAsia="仿宋" w:hAnsi="仿宋" w:cs="仿宋" w:hint="eastAsia"/>
          <w:szCs w:val="28"/>
        </w:rPr>
        <w:t>农村生活用水置换</w:t>
      </w:r>
      <w:r>
        <w:rPr>
          <w:rFonts w:ascii="仿宋" w:eastAsia="仿宋" w:hAnsi="仿宋" w:cs="仿宋" w:hint="eastAsia"/>
          <w:szCs w:val="28"/>
        </w:rPr>
        <w:t>项目</w:t>
      </w:r>
      <w:r w:rsidR="001D2EB8">
        <w:rPr>
          <w:rFonts w:ascii="仿宋" w:eastAsia="仿宋" w:hAnsi="仿宋" w:cs="仿宋" w:hint="eastAsia"/>
          <w:szCs w:val="28"/>
        </w:rPr>
        <w:t>484029</w:t>
      </w:r>
      <w:r w:rsidR="001D2EB8">
        <w:rPr>
          <w:rFonts w:ascii="仿宋" w:eastAsia="仿宋" w:hAnsi="仿宋" w:cs="仿宋"/>
          <w:szCs w:val="28"/>
        </w:rPr>
        <w:t>00</w:t>
      </w:r>
      <w:r>
        <w:rPr>
          <w:rFonts w:ascii="仿宋" w:eastAsia="仿宋" w:hAnsi="仿宋" w:cs="仿宋" w:hint="eastAsia"/>
          <w:szCs w:val="28"/>
        </w:rPr>
        <w:t>元。</w:t>
      </w:r>
    </w:p>
    <w:p w:rsidR="001D2EB8" w:rsidRDefault="0041731C" w:rsidP="001D2EB8">
      <w:pPr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Cs w:val="28"/>
        </w:rPr>
        <w:t>建设内容：</w:t>
      </w:r>
      <w:r w:rsidR="001D2EB8" w:rsidRPr="00E37B68">
        <w:rPr>
          <w:rFonts w:ascii="仿宋" w:eastAsia="仿宋" w:hAnsi="仿宋" w:hint="eastAsia"/>
          <w:sz w:val="32"/>
          <w:szCs w:val="32"/>
        </w:rPr>
        <w:t>魏县2019年度地下水超采综合治理农村生活用水置换项目</w:t>
      </w:r>
      <w:r w:rsidR="001D2EB8">
        <w:rPr>
          <w:rFonts w:ascii="仿宋" w:eastAsia="仿宋" w:hAnsi="仿宋"/>
          <w:sz w:val="32"/>
          <w:szCs w:val="32"/>
        </w:rPr>
        <w:t>共覆盖</w:t>
      </w:r>
      <w:r w:rsidR="001D2EB8">
        <w:rPr>
          <w:rFonts w:ascii="仿宋" w:eastAsia="仿宋" w:hAnsi="仿宋" w:hint="eastAsia"/>
          <w:sz w:val="32"/>
          <w:szCs w:val="32"/>
        </w:rPr>
        <w:t>1</w:t>
      </w:r>
      <w:r w:rsidR="001D2EB8">
        <w:rPr>
          <w:rFonts w:ascii="仿宋" w:eastAsia="仿宋" w:hAnsi="仿宋"/>
          <w:sz w:val="32"/>
          <w:szCs w:val="32"/>
        </w:rPr>
        <w:t>个乡镇</w:t>
      </w:r>
      <w:r w:rsidR="001D2EB8">
        <w:rPr>
          <w:rFonts w:ascii="仿宋" w:eastAsia="仿宋" w:hAnsi="仿宋" w:hint="eastAsia"/>
          <w:sz w:val="32"/>
          <w:szCs w:val="32"/>
        </w:rPr>
        <w:t>1</w:t>
      </w:r>
      <w:r w:rsidR="001D2EB8">
        <w:rPr>
          <w:rFonts w:ascii="仿宋" w:eastAsia="仿宋" w:hAnsi="仿宋"/>
          <w:sz w:val="32"/>
          <w:szCs w:val="32"/>
        </w:rPr>
        <w:t>8个村，</w:t>
      </w:r>
      <w:r w:rsidR="001D2EB8" w:rsidRPr="00E37B68">
        <w:rPr>
          <w:rFonts w:ascii="仿宋" w:eastAsia="仿宋" w:hAnsi="仿宋" w:hint="eastAsia"/>
          <w:sz w:val="32"/>
          <w:szCs w:val="32"/>
        </w:rPr>
        <w:t>新建穿</w:t>
      </w:r>
      <w:proofErr w:type="gramStart"/>
      <w:r w:rsidR="001D2EB8" w:rsidRPr="00E37B68">
        <w:rPr>
          <w:rFonts w:ascii="仿宋" w:eastAsia="仿宋" w:hAnsi="仿宋" w:hint="eastAsia"/>
          <w:sz w:val="32"/>
          <w:szCs w:val="32"/>
        </w:rPr>
        <w:t>漳</w:t>
      </w:r>
      <w:proofErr w:type="gramEnd"/>
      <w:r w:rsidR="001D2EB8" w:rsidRPr="00E37B68">
        <w:rPr>
          <w:rFonts w:ascii="仿宋" w:eastAsia="仿宋" w:hAnsi="仿宋" w:hint="eastAsia"/>
          <w:sz w:val="32"/>
          <w:szCs w:val="32"/>
        </w:rPr>
        <w:t>输水主管线</w:t>
      </w:r>
      <w:r w:rsidR="00B35203">
        <w:rPr>
          <w:rFonts w:ascii="仿宋" w:eastAsia="仿宋" w:hAnsi="仿宋" w:hint="eastAsia"/>
          <w:sz w:val="32"/>
          <w:szCs w:val="32"/>
        </w:rPr>
        <w:t>、</w:t>
      </w:r>
      <w:r w:rsidR="001D2EB8">
        <w:rPr>
          <w:rFonts w:ascii="仿宋" w:eastAsia="仿宋" w:hAnsi="仿宋" w:hint="eastAsia"/>
          <w:sz w:val="32"/>
          <w:szCs w:val="32"/>
        </w:rPr>
        <w:t>主管线分支点—双井供水站连接工程及加压泵站工程，项目总投资4840.29万元，实施工程节水</w:t>
      </w:r>
      <w:proofErr w:type="gramStart"/>
      <w:r w:rsidR="001D2EB8">
        <w:rPr>
          <w:rFonts w:ascii="仿宋" w:eastAsia="仿宋" w:hAnsi="仿宋" w:hint="eastAsia"/>
          <w:sz w:val="32"/>
          <w:szCs w:val="32"/>
        </w:rPr>
        <w:t>压采能力</w:t>
      </w:r>
      <w:proofErr w:type="gramEnd"/>
      <w:r w:rsidR="001D2EB8">
        <w:rPr>
          <w:rFonts w:ascii="仿宋" w:eastAsia="仿宋" w:hAnsi="仿宋" w:hint="eastAsia"/>
          <w:sz w:val="32"/>
          <w:szCs w:val="32"/>
        </w:rPr>
        <w:t>56.87万</w:t>
      </w:r>
      <w:r w:rsidR="001D2EB8" w:rsidRPr="00115DCB">
        <w:rPr>
          <w:rFonts w:hint="eastAsia"/>
          <w:szCs w:val="28"/>
        </w:rPr>
        <w:t>m</w:t>
      </w:r>
      <w:r w:rsidR="001D2EB8" w:rsidRPr="00115DCB">
        <w:rPr>
          <w:szCs w:val="28"/>
        </w:rPr>
        <w:t>³</w:t>
      </w:r>
      <w:r w:rsidR="001D2EB8">
        <w:rPr>
          <w:rFonts w:hint="eastAsia"/>
          <w:szCs w:val="28"/>
        </w:rPr>
        <w:t>。</w:t>
      </w:r>
    </w:p>
    <w:p w:rsidR="006D2D5B" w:rsidRDefault="0041731C" w:rsidP="001D2EB8">
      <w:pPr>
        <w:tabs>
          <w:tab w:val="left" w:pos="142"/>
        </w:tabs>
        <w:ind w:firstLine="640"/>
        <w:rPr>
          <w:rFonts w:ascii="黑体" w:eastAsia="黑体" w:hAnsi="黑体" w:cs="Times New Roman"/>
          <w:b/>
          <w:bCs/>
          <w:sz w:val="32"/>
        </w:rPr>
      </w:pPr>
      <w:r>
        <w:rPr>
          <w:rFonts w:ascii="黑体" w:eastAsia="黑体" w:hAnsi="黑体" w:cs="Times New Roman" w:hint="eastAsia"/>
          <w:sz w:val="32"/>
        </w:rPr>
        <w:t>二、</w:t>
      </w:r>
      <w:r>
        <w:rPr>
          <w:rFonts w:ascii="黑体" w:eastAsia="黑体" w:hAnsi="黑体" w:cs="Times New Roman"/>
          <w:sz w:val="32"/>
        </w:rPr>
        <w:t>绩效自评分析</w:t>
      </w:r>
    </w:p>
    <w:p w:rsidR="006D2D5B" w:rsidRDefault="0041731C">
      <w:pPr>
        <w:pStyle w:val="2"/>
        <w:ind w:firstLine="640"/>
        <w:rPr>
          <w:rFonts w:ascii="楷体" w:eastAsia="楷体" w:hAnsi="楷体" w:cs="Times New Roman"/>
          <w:bCs w:val="0"/>
          <w:sz w:val="32"/>
        </w:rPr>
      </w:pPr>
      <w:r>
        <w:rPr>
          <w:rFonts w:ascii="楷体" w:eastAsia="楷体" w:hAnsi="楷体" w:cs="Times New Roman" w:hint="eastAsia"/>
          <w:bCs w:val="0"/>
          <w:sz w:val="32"/>
        </w:rPr>
        <w:t>（一）项目资金情况分析</w:t>
      </w:r>
    </w:p>
    <w:p w:rsidR="006D2D5B" w:rsidRDefault="0041731C">
      <w:pPr>
        <w:ind w:firstLine="640"/>
        <w:rPr>
          <w:rFonts w:ascii="仿宋" w:eastAsia="仿宋" w:hAnsi="仿宋"/>
          <w:bCs/>
          <w:szCs w:val="28"/>
        </w:rPr>
      </w:pPr>
      <w:r>
        <w:rPr>
          <w:rFonts w:cs="Times New Roman"/>
          <w:sz w:val="32"/>
        </w:rPr>
        <w:t>1</w:t>
      </w:r>
      <w:r>
        <w:rPr>
          <w:rFonts w:cs="Times New Roman" w:hint="eastAsia"/>
          <w:sz w:val="32"/>
        </w:rPr>
        <w:t>.</w:t>
      </w:r>
      <w:r>
        <w:rPr>
          <w:rFonts w:cs="Times New Roman" w:hint="eastAsia"/>
          <w:sz w:val="32"/>
        </w:rPr>
        <w:t>资金到位情况</w:t>
      </w:r>
    </w:p>
    <w:p w:rsidR="006D2D5B" w:rsidRDefault="0041731C">
      <w:pPr>
        <w:ind w:firstLine="560"/>
        <w:rPr>
          <w:rFonts w:cs="Times New Roman"/>
        </w:rPr>
      </w:pPr>
      <w:r>
        <w:rPr>
          <w:rFonts w:ascii="仿宋" w:eastAsia="仿宋" w:hAnsi="仿宋" w:hint="eastAsia"/>
          <w:bCs/>
          <w:szCs w:val="28"/>
        </w:rPr>
        <w:t>资金全部到位。</w:t>
      </w:r>
    </w:p>
    <w:p w:rsidR="006D2D5B" w:rsidRDefault="0041731C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表</w:t>
      </w:r>
      <w:r>
        <w:rPr>
          <w:rFonts w:cs="Times New Roman"/>
        </w:rPr>
        <w:t>3-1</w:t>
      </w:r>
      <w:r>
        <w:rPr>
          <w:rFonts w:cs="Times New Roman" w:hint="eastAsia"/>
        </w:rPr>
        <w:t xml:space="preserve">     </w:t>
      </w:r>
      <w:r>
        <w:rPr>
          <w:rFonts w:cs="Times New Roman"/>
        </w:rPr>
        <w:t>201</w:t>
      </w:r>
      <w:r w:rsidR="00B35203">
        <w:rPr>
          <w:rFonts w:cs="Times New Roman"/>
        </w:rPr>
        <w:t>9</w:t>
      </w:r>
      <w:r>
        <w:rPr>
          <w:rFonts w:cs="Times New Roman" w:hint="eastAsia"/>
        </w:rPr>
        <w:t>年度水利发展资金到位情况表</w:t>
      </w:r>
    </w:p>
    <w:tbl>
      <w:tblPr>
        <w:tblW w:w="0" w:type="auto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283"/>
        <w:gridCol w:w="827"/>
        <w:gridCol w:w="1336"/>
        <w:gridCol w:w="708"/>
        <w:gridCol w:w="851"/>
        <w:gridCol w:w="709"/>
        <w:gridCol w:w="1134"/>
      </w:tblGrid>
      <w:tr w:rsidR="006D2D5B" w:rsidTr="00C92786">
        <w:trPr>
          <w:trHeight w:val="490"/>
          <w:tblHeader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5B" w:rsidRDefault="006D2D5B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财政资金</w:t>
            </w:r>
          </w:p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预算数（万元）（万元）</w:t>
            </w:r>
          </w:p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财政资金到位率（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D2D5B" w:rsidTr="00C92786">
        <w:trPr>
          <w:trHeight w:val="499"/>
          <w:tblHeader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6D2D5B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其中：</w:t>
            </w:r>
          </w:p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省级小计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市其中：</w:t>
            </w:r>
          </w:p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6D2D5B" w:rsidTr="00C92786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41731C">
            <w:pPr>
              <w:spacing w:line="260" w:lineRule="exact"/>
              <w:ind w:firstLineChars="0" w:firstLine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地下水超采区综合治理</w:t>
            </w:r>
            <w:r w:rsidR="00B35203">
              <w:rPr>
                <w:rFonts w:cs="Times New Roman" w:hint="eastAsia"/>
                <w:kern w:val="0"/>
                <w:sz w:val="20"/>
                <w:szCs w:val="20"/>
              </w:rPr>
              <w:t>农村生活用水置换项目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B35203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4840.29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B35203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4840.29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6D2D5B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6D2D5B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6D2D5B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5B" w:rsidRDefault="006D2D5B">
            <w:pPr>
              <w:spacing w:line="26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6D2D5B" w:rsidRDefault="0041731C">
      <w:pPr>
        <w:ind w:firstLine="640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2.</w:t>
      </w:r>
      <w:r>
        <w:rPr>
          <w:rFonts w:cs="Times New Roman" w:hint="eastAsia"/>
          <w:sz w:val="32"/>
          <w:szCs w:val="32"/>
        </w:rPr>
        <w:t>资金管理情况</w:t>
      </w:r>
    </w:p>
    <w:p w:rsidR="006D2D5B" w:rsidRDefault="0041731C">
      <w:pPr>
        <w:pStyle w:val="a3"/>
        <w:snapToGrid w:val="0"/>
        <w:spacing w:line="560" w:lineRule="exact"/>
        <w:ind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为保证项目资金合理使用，我局按照有关规定制定项目资金管理办法及有关规章制度，严格按程序进行报账，对工程质量、进度和资金使用方向进行全面监督，根据工程进度和资金使用方向，资金直接由财政局拨付到施工单位，资金使用符合有关规章制度，及时足额支付项目资金，</w:t>
      </w:r>
      <w:r w:rsidR="002130C1">
        <w:rPr>
          <w:rFonts w:ascii="仿宋" w:eastAsia="仿宋" w:hAnsi="仿宋" w:hint="eastAsia"/>
          <w:bCs/>
          <w:sz w:val="28"/>
          <w:szCs w:val="28"/>
        </w:rPr>
        <w:t>项目资金使用规范未出现重大资金问题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6D2D5B" w:rsidRDefault="0041731C">
      <w:pPr>
        <w:pStyle w:val="2"/>
        <w:ind w:firstLine="640"/>
        <w:rPr>
          <w:rFonts w:ascii="楷体" w:eastAsia="楷体" w:hAnsi="楷体" w:cs="Times New Roman"/>
          <w:bCs w:val="0"/>
          <w:sz w:val="32"/>
        </w:rPr>
      </w:pPr>
      <w:r>
        <w:rPr>
          <w:rFonts w:ascii="楷体" w:eastAsia="楷体" w:hAnsi="楷体" w:cs="Times New Roman" w:hint="eastAsia"/>
          <w:bCs w:val="0"/>
          <w:sz w:val="32"/>
        </w:rPr>
        <w:t>（二）项目管理情况分析</w:t>
      </w:r>
    </w:p>
    <w:p w:rsidR="006D2D5B" w:rsidRDefault="0041731C">
      <w:pPr>
        <w:ind w:firstLine="640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1.</w:t>
      </w:r>
      <w:r>
        <w:rPr>
          <w:rFonts w:cs="Times New Roman" w:hint="eastAsia"/>
          <w:sz w:val="32"/>
          <w:szCs w:val="32"/>
        </w:rPr>
        <w:t>组织实施</w:t>
      </w:r>
    </w:p>
    <w:p w:rsidR="006D2D5B" w:rsidRDefault="0041731C">
      <w:pPr>
        <w:ind w:firstLine="562"/>
        <w:rPr>
          <w:rFonts w:ascii="仿宋" w:eastAsia="仿宋" w:hAnsi="仿宋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8"/>
        </w:rPr>
        <w:t>（一）组织领导</w:t>
      </w:r>
    </w:p>
    <w:p w:rsidR="006D2D5B" w:rsidRDefault="0041731C">
      <w:pPr>
        <w:adjustRightInd w:val="0"/>
        <w:spacing w:line="580" w:lineRule="exact"/>
        <w:ind w:firstLine="560"/>
        <w:rPr>
          <w:rFonts w:ascii="仿宋" w:eastAsia="仿宋" w:hAnsi="仿宋" w:cs="宋体"/>
          <w:kern w:val="0"/>
          <w:szCs w:val="28"/>
        </w:rPr>
      </w:pPr>
      <w:r>
        <w:rPr>
          <w:rFonts w:ascii="仿宋" w:eastAsia="仿宋" w:hAnsi="仿宋" w:cs="宋体" w:hint="eastAsia"/>
          <w:kern w:val="0"/>
          <w:szCs w:val="28"/>
        </w:rPr>
        <w:t>经魏县人民政府批准，魏县水利局分别组建了魏县</w:t>
      </w:r>
      <w:r w:rsidR="00B35203">
        <w:rPr>
          <w:rFonts w:ascii="仿宋" w:eastAsia="仿宋" w:hAnsi="仿宋" w:cs="宋体" w:hint="eastAsia"/>
          <w:kern w:val="0"/>
          <w:szCs w:val="28"/>
        </w:rPr>
        <w:t>井灌区高效节水灌溉项目</w:t>
      </w:r>
      <w:r>
        <w:rPr>
          <w:rFonts w:ascii="仿宋" w:eastAsia="仿宋" w:hAnsi="仿宋" w:cs="宋体" w:hint="eastAsia"/>
          <w:kern w:val="0"/>
          <w:szCs w:val="28"/>
        </w:rPr>
        <w:t>建设处作为项目法人，各设处长、技术负责人、财务负责人1名，负责全县地下水超采综合治理项目</w:t>
      </w:r>
      <w:r w:rsidR="00B35203">
        <w:rPr>
          <w:rFonts w:ascii="仿宋" w:eastAsia="仿宋" w:hAnsi="仿宋" w:cs="宋体" w:hint="eastAsia"/>
          <w:kern w:val="0"/>
          <w:szCs w:val="28"/>
        </w:rPr>
        <w:t>农村生活用水置换项目</w:t>
      </w:r>
      <w:r>
        <w:rPr>
          <w:rFonts w:ascii="仿宋" w:eastAsia="仿宋" w:hAnsi="仿宋" w:cs="宋体" w:hint="eastAsia"/>
          <w:kern w:val="0"/>
          <w:szCs w:val="28"/>
        </w:rPr>
        <w:t>的实施与管理。</w:t>
      </w:r>
    </w:p>
    <w:p w:rsidR="006D2D5B" w:rsidRDefault="0041731C">
      <w:pPr>
        <w:adjustRightInd w:val="0"/>
        <w:spacing w:line="580" w:lineRule="exact"/>
        <w:ind w:firstLine="562"/>
        <w:rPr>
          <w:rFonts w:ascii="仿宋" w:eastAsia="仿宋" w:hAnsi="仿宋"/>
          <w:b/>
          <w:bCs/>
          <w:szCs w:val="28"/>
        </w:rPr>
      </w:pPr>
      <w:r>
        <w:rPr>
          <w:rFonts w:ascii="仿宋" w:eastAsia="仿宋" w:hAnsi="仿宋" w:hint="eastAsia"/>
          <w:b/>
          <w:bCs/>
          <w:szCs w:val="28"/>
        </w:rPr>
        <w:t>（二）项目管理</w:t>
      </w:r>
    </w:p>
    <w:p w:rsidR="006D2D5B" w:rsidRDefault="0041731C">
      <w:pPr>
        <w:spacing w:line="560" w:lineRule="exact"/>
        <w:ind w:firstLineChars="197" w:firstLine="552"/>
        <w:rPr>
          <w:rFonts w:cs="Times New Roman"/>
          <w:sz w:val="32"/>
          <w:szCs w:val="32"/>
        </w:rPr>
      </w:pPr>
      <w:r>
        <w:rPr>
          <w:rFonts w:ascii="仿宋" w:eastAsia="仿宋" w:hAnsi="仿宋" w:hint="eastAsia"/>
          <w:szCs w:val="28"/>
        </w:rPr>
        <w:t>在项目建设过程中，项目管理实行“四制”，即项目法</w:t>
      </w:r>
      <w:proofErr w:type="gramStart"/>
      <w:r>
        <w:rPr>
          <w:rFonts w:ascii="仿宋" w:eastAsia="仿宋" w:hAnsi="仿宋" w:hint="eastAsia"/>
          <w:szCs w:val="28"/>
        </w:rPr>
        <w:t>人制</w:t>
      </w:r>
      <w:proofErr w:type="gramEnd"/>
      <w:r>
        <w:rPr>
          <w:rFonts w:ascii="仿宋" w:eastAsia="仿宋" w:hAnsi="仿宋" w:hint="eastAsia"/>
          <w:szCs w:val="28"/>
        </w:rPr>
        <w:t>、招投标制、项目合同制和建设监理制，推动地下水超采综合治理项目建设的顺利开展。为做好项目的档案管理工作，项目开始谋划时即配备了专职人员对档案资料进行整理归档，主要包括项目实施方案编制与审批、工程招投标、管材抽检、管道安装评定、质量管理、监理等方面，做到了建设整个过程中资料的收集和整理工作，确保档案资料内容齐全、摆放有序，为项目建设期、验收期、运行期提供有力支撑。</w:t>
      </w:r>
    </w:p>
    <w:p w:rsidR="006D2D5B" w:rsidRDefault="0041731C">
      <w:pPr>
        <w:pStyle w:val="2"/>
        <w:ind w:firstLine="640"/>
        <w:rPr>
          <w:rFonts w:ascii="楷体" w:eastAsia="楷体" w:hAnsi="楷体" w:cs="Times New Roman"/>
          <w:bCs w:val="0"/>
          <w:sz w:val="32"/>
        </w:rPr>
      </w:pPr>
      <w:r>
        <w:rPr>
          <w:rFonts w:ascii="楷体" w:eastAsia="楷体" w:hAnsi="楷体" w:cs="Times New Roman" w:hint="eastAsia"/>
          <w:bCs w:val="0"/>
          <w:sz w:val="32"/>
        </w:rPr>
        <w:t>（三）产出指标完成情况分析</w:t>
      </w:r>
    </w:p>
    <w:p w:rsidR="006D2D5B" w:rsidRDefault="0041731C">
      <w:pPr>
        <w:ind w:firstLine="640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1.</w:t>
      </w:r>
      <w:r>
        <w:rPr>
          <w:rFonts w:cs="Times New Roman" w:hint="eastAsia"/>
          <w:sz w:val="32"/>
          <w:szCs w:val="32"/>
        </w:rPr>
        <w:t>项目数量指标</w:t>
      </w:r>
    </w:p>
    <w:p w:rsidR="007C0552" w:rsidRDefault="007C0552">
      <w:pPr>
        <w:ind w:firstLine="640"/>
        <w:rPr>
          <w:rFonts w:cs="Times New Roman" w:hint="eastAsia"/>
          <w:sz w:val="32"/>
          <w:szCs w:val="32"/>
        </w:rPr>
      </w:pPr>
      <w:r>
        <w:rPr>
          <w:rFonts w:cs="Times New Roman" w:hint="eastAsia"/>
          <w:sz w:val="32"/>
          <w:szCs w:val="32"/>
        </w:rPr>
        <w:t>该项目</w:t>
      </w:r>
      <w:r w:rsidRPr="007C0552">
        <w:rPr>
          <w:rFonts w:cs="Times New Roman" w:hint="eastAsia"/>
          <w:sz w:val="32"/>
          <w:szCs w:val="32"/>
        </w:rPr>
        <w:t>置换能力</w:t>
      </w:r>
      <w:r w:rsidRPr="007C0552">
        <w:rPr>
          <w:rFonts w:cs="Times New Roman"/>
          <w:sz w:val="32"/>
          <w:szCs w:val="32"/>
        </w:rPr>
        <w:t>56.87</w:t>
      </w:r>
      <w:r w:rsidRPr="007C0552">
        <w:rPr>
          <w:rFonts w:cs="Times New Roman" w:hint="eastAsia"/>
          <w:sz w:val="32"/>
          <w:szCs w:val="32"/>
        </w:rPr>
        <w:t>万</w:t>
      </w:r>
      <w:r w:rsidRPr="007C0552">
        <w:rPr>
          <w:rFonts w:cs="Times New Roman"/>
          <w:sz w:val="32"/>
          <w:szCs w:val="32"/>
        </w:rPr>
        <w:t>m³</w:t>
      </w:r>
      <w:r w:rsidRPr="007C0552">
        <w:rPr>
          <w:rFonts w:cs="Times New Roman" w:hint="eastAsia"/>
          <w:sz w:val="32"/>
          <w:szCs w:val="32"/>
        </w:rPr>
        <w:t>。</w:t>
      </w:r>
    </w:p>
    <w:p w:rsidR="006D2D5B" w:rsidRDefault="0041731C">
      <w:pPr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</w:t>
      </w:r>
      <w:r>
        <w:rPr>
          <w:rFonts w:cs="Times New Roman" w:hint="eastAsia"/>
          <w:sz w:val="32"/>
          <w:szCs w:val="32"/>
        </w:rPr>
        <w:t>.</w:t>
      </w:r>
      <w:r>
        <w:rPr>
          <w:rFonts w:cs="Times New Roman" w:hint="eastAsia"/>
          <w:sz w:val="32"/>
          <w:szCs w:val="32"/>
        </w:rPr>
        <w:t>项目质量指标</w:t>
      </w:r>
    </w:p>
    <w:p w:rsidR="006D2D5B" w:rsidRDefault="0041731C">
      <w:pPr>
        <w:ind w:firstLine="560"/>
        <w:rPr>
          <w:rFonts w:cs="Times New Roman"/>
          <w:szCs w:val="28"/>
        </w:rPr>
      </w:pPr>
      <w:r>
        <w:rPr>
          <w:rFonts w:cs="Times New Roman" w:hint="eastAsia"/>
          <w:szCs w:val="28"/>
        </w:rPr>
        <w:lastRenderedPageBreak/>
        <w:t>合格</w:t>
      </w:r>
    </w:p>
    <w:p w:rsidR="007C0552" w:rsidRPr="007C0552" w:rsidRDefault="007C0552" w:rsidP="007C0552">
      <w:pPr>
        <w:ind w:firstLine="640"/>
        <w:rPr>
          <w:rFonts w:cs="Times New Roman" w:hint="eastAsia"/>
          <w:sz w:val="32"/>
          <w:szCs w:val="32"/>
        </w:rPr>
      </w:pPr>
      <w:r>
        <w:rPr>
          <w:rFonts w:cs="Times New Roman"/>
          <w:sz w:val="32"/>
          <w:szCs w:val="32"/>
        </w:rPr>
        <w:t>3</w:t>
      </w:r>
      <w:r>
        <w:rPr>
          <w:rFonts w:cs="Times New Roman" w:hint="eastAsia"/>
          <w:sz w:val="32"/>
          <w:szCs w:val="32"/>
        </w:rPr>
        <w:t>.</w:t>
      </w:r>
      <w:r>
        <w:rPr>
          <w:rFonts w:cs="Times New Roman" w:hint="eastAsia"/>
          <w:sz w:val="32"/>
          <w:szCs w:val="32"/>
        </w:rPr>
        <w:t>项目时效指</w:t>
      </w:r>
      <w:r>
        <w:rPr>
          <w:rFonts w:cs="Times New Roman" w:hint="eastAsia"/>
          <w:sz w:val="32"/>
          <w:szCs w:val="32"/>
        </w:rPr>
        <w:t>标</w:t>
      </w:r>
    </w:p>
    <w:p w:rsidR="007C0552" w:rsidRPr="007C0552" w:rsidRDefault="007C0552" w:rsidP="007C0552">
      <w:pPr>
        <w:ind w:firstLine="640"/>
        <w:rPr>
          <w:rFonts w:ascii="仿宋_GB2312" w:hAnsi="仿宋_GB2312" w:cs="仿宋_GB2312"/>
          <w:sz w:val="32"/>
          <w:szCs w:val="32"/>
        </w:rPr>
      </w:pPr>
      <w:r w:rsidRPr="007C0552">
        <w:rPr>
          <w:rFonts w:ascii="仿宋_GB2312" w:hAnsi="仿宋_GB2312" w:cs="仿宋_GB2312" w:hint="eastAsia"/>
          <w:sz w:val="32"/>
          <w:szCs w:val="32"/>
        </w:rPr>
        <w:t>预计2019年12月底，完成批复建设内容95%。</w:t>
      </w:r>
    </w:p>
    <w:p w:rsidR="006D2D5B" w:rsidRDefault="0041731C">
      <w:pPr>
        <w:pStyle w:val="2"/>
        <w:ind w:firstLine="640"/>
        <w:rPr>
          <w:rFonts w:ascii="楷体" w:eastAsia="楷体" w:hAnsi="楷体" w:cs="Times New Roman"/>
          <w:bCs w:val="0"/>
          <w:sz w:val="32"/>
        </w:rPr>
      </w:pPr>
      <w:r>
        <w:rPr>
          <w:rFonts w:ascii="楷体" w:eastAsia="楷体" w:hAnsi="楷体" w:cs="Times New Roman" w:hint="eastAsia"/>
          <w:bCs w:val="0"/>
          <w:sz w:val="32"/>
        </w:rPr>
        <w:t>（四）效益指标完成情况分析</w:t>
      </w:r>
    </w:p>
    <w:p w:rsidR="00194493" w:rsidRDefault="00194493" w:rsidP="0078359B">
      <w:pPr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</w:t>
      </w:r>
      <w:r w:rsidR="0078359B">
        <w:rPr>
          <w:rFonts w:ascii="仿宋" w:eastAsia="仿宋" w:hAnsi="仿宋" w:hint="eastAsia"/>
          <w:sz w:val="32"/>
          <w:szCs w:val="32"/>
        </w:rPr>
        <w:t>项目实施，实施漳河以南双井供水站的水源置换，</w:t>
      </w:r>
      <w:r>
        <w:rPr>
          <w:rFonts w:ascii="仿宋" w:eastAsia="仿宋" w:hAnsi="仿宋"/>
          <w:sz w:val="32"/>
          <w:szCs w:val="32"/>
        </w:rPr>
        <w:t>共覆盖</w:t>
      </w:r>
      <w:r w:rsidR="0078359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个乡镇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8个村，受益人口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.95万人，</w:t>
      </w:r>
      <w:r>
        <w:rPr>
          <w:rFonts w:ascii="仿宋" w:eastAsia="仿宋" w:hAnsi="仿宋" w:hint="eastAsia"/>
          <w:sz w:val="32"/>
          <w:szCs w:val="32"/>
        </w:rPr>
        <w:t>工程建成后，实施工程节水</w:t>
      </w:r>
      <w:proofErr w:type="gramStart"/>
      <w:r>
        <w:rPr>
          <w:rFonts w:ascii="仿宋" w:eastAsia="仿宋" w:hAnsi="仿宋" w:hint="eastAsia"/>
          <w:sz w:val="32"/>
          <w:szCs w:val="32"/>
        </w:rPr>
        <w:t>压采能力</w:t>
      </w:r>
      <w:proofErr w:type="gramEnd"/>
      <w:r>
        <w:rPr>
          <w:rFonts w:ascii="仿宋" w:eastAsia="仿宋" w:hAnsi="仿宋" w:hint="eastAsia"/>
          <w:sz w:val="32"/>
          <w:szCs w:val="32"/>
        </w:rPr>
        <w:t>56.87万</w:t>
      </w:r>
      <w:r w:rsidRPr="00115DCB">
        <w:rPr>
          <w:rFonts w:hint="eastAsia"/>
          <w:szCs w:val="28"/>
        </w:rPr>
        <w:t>m</w:t>
      </w:r>
      <w:r w:rsidRPr="00115DCB">
        <w:rPr>
          <w:szCs w:val="28"/>
        </w:rPr>
        <w:t>³</w:t>
      </w:r>
      <w:r>
        <w:rPr>
          <w:rFonts w:hint="eastAsia"/>
          <w:szCs w:val="28"/>
        </w:rPr>
        <w:t>。</w:t>
      </w:r>
      <w:r w:rsidRPr="00E37B68">
        <w:rPr>
          <w:rFonts w:ascii="仿宋" w:eastAsia="仿宋" w:hAnsi="仿宋" w:hint="eastAsia"/>
          <w:sz w:val="32"/>
          <w:szCs w:val="32"/>
        </w:rPr>
        <w:t>在东风渠东侧、岸上村以北新建加压泵站1座，设计供水规模2.19万m</w:t>
      </w:r>
      <w:r w:rsidRPr="00E37B68">
        <w:rPr>
          <w:rFonts w:ascii="仿宋" w:eastAsia="仿宋" w:hAnsi="仿宋"/>
          <w:sz w:val="32"/>
          <w:szCs w:val="32"/>
          <w:vertAlign w:val="superscript"/>
        </w:rPr>
        <w:t>3</w:t>
      </w:r>
      <w:r w:rsidRPr="00E37B68">
        <w:rPr>
          <w:rFonts w:ascii="仿宋" w:eastAsia="仿宋" w:hAnsi="仿宋"/>
          <w:sz w:val="32"/>
          <w:szCs w:val="32"/>
        </w:rPr>
        <w:t>/d</w:t>
      </w:r>
      <w:r w:rsidRPr="00E37B68">
        <w:rPr>
          <w:rFonts w:ascii="仿宋" w:eastAsia="仿宋" w:hAnsi="仿宋" w:hint="eastAsia"/>
          <w:sz w:val="32"/>
          <w:szCs w:val="32"/>
        </w:rPr>
        <w:t>，</w:t>
      </w:r>
      <w:r w:rsidR="0078359B">
        <w:rPr>
          <w:rFonts w:ascii="仿宋" w:eastAsia="仿宋" w:hAnsi="仿宋" w:hint="eastAsia"/>
          <w:sz w:val="32"/>
          <w:szCs w:val="32"/>
        </w:rPr>
        <w:t>将</w:t>
      </w:r>
      <w:r w:rsidRPr="00E37B68">
        <w:rPr>
          <w:rFonts w:ascii="仿宋" w:eastAsia="仿宋" w:hAnsi="仿宋" w:hint="eastAsia"/>
          <w:sz w:val="32"/>
          <w:szCs w:val="32"/>
        </w:rPr>
        <w:t>为南线所有供水站供水加压。</w:t>
      </w:r>
    </w:p>
    <w:p w:rsidR="006D2D5B" w:rsidRDefault="0041731C">
      <w:pPr>
        <w:pStyle w:val="1"/>
        <w:ind w:firstLine="640"/>
        <w:rPr>
          <w:rFonts w:ascii="黑体" w:eastAsia="黑体" w:hAnsi="黑体" w:cs="Times New Roman"/>
          <w:b w:val="0"/>
          <w:bCs w:val="0"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 w:val="0"/>
          <w:sz w:val="32"/>
          <w:szCs w:val="32"/>
        </w:rPr>
        <w:t>四、偏离绩效目标原因和下一步改进措施</w:t>
      </w:r>
    </w:p>
    <w:p w:rsidR="006D2D5B" w:rsidRDefault="0041731C">
      <w:pPr>
        <w:pStyle w:val="1"/>
        <w:ind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无</w:t>
      </w:r>
    </w:p>
    <w:p w:rsidR="006D2D5B" w:rsidRDefault="0041731C">
      <w:pPr>
        <w:pStyle w:val="1"/>
        <w:ind w:firstLine="640"/>
        <w:rPr>
          <w:rFonts w:ascii="黑体" w:eastAsia="黑体" w:hAnsi="黑体" w:cs="Times New Roman"/>
          <w:b w:val="0"/>
          <w:bCs w:val="0"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 w:val="0"/>
          <w:sz w:val="32"/>
          <w:szCs w:val="32"/>
        </w:rPr>
        <w:t>五、综合评价结论</w:t>
      </w:r>
    </w:p>
    <w:p w:rsidR="006D2D5B" w:rsidRDefault="0041731C">
      <w:pPr>
        <w:ind w:firstLine="560"/>
        <w:rPr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</w:rPr>
        <w:t>项目已按方案批复完成</w:t>
      </w:r>
      <w:r w:rsidR="00330F25">
        <w:rPr>
          <w:rFonts w:hint="eastAsia"/>
        </w:rPr>
        <w:t>投资</w:t>
      </w:r>
      <w:bookmarkStart w:id="0" w:name="_GoBack"/>
      <w:bookmarkEnd w:id="0"/>
      <w:r>
        <w:rPr>
          <w:rFonts w:hint="eastAsia"/>
        </w:rPr>
        <w:t>9</w:t>
      </w:r>
      <w:r w:rsidR="0078359B">
        <w:t>9</w:t>
      </w:r>
      <w:r>
        <w:rPr>
          <w:rFonts w:hint="eastAsia"/>
        </w:rPr>
        <w:t>%</w:t>
      </w:r>
      <w:r>
        <w:rPr>
          <w:rFonts w:hint="eastAsia"/>
        </w:rPr>
        <w:t>，资金使用合理。</w:t>
      </w:r>
    </w:p>
    <w:p w:rsidR="006D2D5B" w:rsidRDefault="0041731C">
      <w:pPr>
        <w:pStyle w:val="1"/>
        <w:ind w:firstLine="640"/>
        <w:rPr>
          <w:rFonts w:ascii="黑体" w:eastAsia="黑体" w:hAnsi="黑体" w:cs="Times New Roman"/>
          <w:b w:val="0"/>
          <w:bCs w:val="0"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 w:val="0"/>
          <w:sz w:val="32"/>
          <w:szCs w:val="32"/>
        </w:rPr>
        <w:t>六、经验、问题和建议</w:t>
      </w:r>
    </w:p>
    <w:p w:rsidR="006D2D5B" w:rsidRDefault="0041731C">
      <w:pPr>
        <w:ind w:firstLine="560"/>
      </w:pPr>
      <w:r>
        <w:rPr>
          <w:rFonts w:hint="eastAsia"/>
        </w:rPr>
        <w:t>无</w:t>
      </w:r>
    </w:p>
    <w:sectPr w:rsidR="006D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93E0C"/>
    <w:rsid w:val="00194493"/>
    <w:rsid w:val="001D2EB8"/>
    <w:rsid w:val="002130C1"/>
    <w:rsid w:val="00330F25"/>
    <w:rsid w:val="0041731C"/>
    <w:rsid w:val="00695222"/>
    <w:rsid w:val="006D2D5B"/>
    <w:rsid w:val="0078359B"/>
    <w:rsid w:val="007C0552"/>
    <w:rsid w:val="00B35203"/>
    <w:rsid w:val="00B60184"/>
    <w:rsid w:val="00C92786"/>
    <w:rsid w:val="02D15C71"/>
    <w:rsid w:val="67D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FFFE76-3D45-468C-B0D1-89A9177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styleId="1">
    <w:name w:val="heading 1"/>
    <w:basedOn w:val="a"/>
    <w:next w:val="a"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pPr>
      <w:keepNext/>
      <w:keepLines/>
      <w:outlineLvl w:val="1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0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幸福女人</dc:creator>
  <cp:lastModifiedBy>集中供水站</cp:lastModifiedBy>
  <cp:revision>6</cp:revision>
  <dcterms:created xsi:type="dcterms:W3CDTF">2019-12-26T08:25:00Z</dcterms:created>
  <dcterms:modified xsi:type="dcterms:W3CDTF">2019-12-27T00:54:00Z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