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44"/>
          <w:szCs w:val="44"/>
        </w:rPr>
      </w:pPr>
    </w:p>
    <w:p>
      <w:pPr>
        <w:jc w:val="center"/>
        <w:rPr>
          <w:rFonts w:hint="eastAsia" w:ascii="方正小标宋简体" w:eastAsia="方正小标宋简体"/>
          <w:sz w:val="44"/>
          <w:szCs w:val="44"/>
        </w:rPr>
      </w:pPr>
    </w:p>
    <w:p>
      <w:pPr>
        <w:jc w:val="center"/>
        <w:rPr>
          <w:rFonts w:hint="eastAsia" w:ascii="方正小标宋简体" w:eastAsia="方正小标宋简体"/>
          <w:sz w:val="44"/>
          <w:szCs w:val="44"/>
        </w:rPr>
      </w:pPr>
    </w:p>
    <w:p>
      <w:pPr>
        <w:snapToGrid w:val="0"/>
        <w:jc w:val="center"/>
        <w:outlineLvl w:val="0"/>
        <w:rPr>
          <w:rFonts w:hint="default" w:ascii="方正小标宋_GBK" w:hAnsi="仿宋" w:eastAsia="方正小标宋_GBK"/>
          <w:sz w:val="84"/>
          <w:szCs w:val="84"/>
          <w:lang w:val="en-US" w:eastAsia="zh-CN"/>
        </w:rPr>
      </w:pPr>
      <w:r>
        <w:rPr>
          <w:rFonts w:hint="eastAsia" w:ascii="方正小标宋_GBK" w:hAnsi="仿宋" w:eastAsia="方正小标宋_GBK"/>
          <w:sz w:val="84"/>
          <w:szCs w:val="84"/>
          <w:lang w:val="en-US" w:eastAsia="zh-CN"/>
        </w:rPr>
        <w:t>魏县退役军人事务局</w:t>
      </w:r>
    </w:p>
    <w:p>
      <w:pPr>
        <w:snapToGrid w:val="0"/>
        <w:jc w:val="center"/>
        <w:outlineLvl w:val="0"/>
        <w:rPr>
          <w:rFonts w:hint="eastAsia" w:ascii="方正小标宋_GBK" w:hAnsi="仿宋" w:eastAsia="方正小标宋_GBK"/>
          <w:sz w:val="84"/>
          <w:szCs w:val="84"/>
        </w:rPr>
      </w:pPr>
    </w:p>
    <w:p>
      <w:pPr>
        <w:snapToGrid w:val="0"/>
        <w:jc w:val="center"/>
        <w:outlineLvl w:val="0"/>
        <w:rPr>
          <w:rFonts w:hint="eastAsia" w:ascii="方正小标宋_GBK" w:hAnsi="仿宋" w:eastAsia="方正小标宋_GBK"/>
          <w:sz w:val="84"/>
          <w:szCs w:val="84"/>
        </w:rPr>
      </w:pPr>
    </w:p>
    <w:p>
      <w:pPr>
        <w:snapToGrid w:val="0"/>
        <w:jc w:val="center"/>
        <w:outlineLvl w:val="0"/>
        <w:rPr>
          <w:rFonts w:hint="eastAsia" w:ascii="方正小标宋_GBK" w:hAnsi="仿宋" w:eastAsia="方正小标宋_GBK"/>
          <w:sz w:val="84"/>
          <w:szCs w:val="84"/>
        </w:rPr>
      </w:pPr>
      <w:r>
        <w:rPr>
          <w:rFonts w:hint="eastAsia" w:ascii="方正小标宋_GBK" w:hAnsi="仿宋" w:eastAsia="方正小标宋_GBK"/>
          <w:sz w:val="84"/>
          <w:szCs w:val="84"/>
        </w:rPr>
        <w:t>责</w:t>
      </w:r>
    </w:p>
    <w:p>
      <w:pPr>
        <w:snapToGrid w:val="0"/>
        <w:jc w:val="center"/>
        <w:outlineLvl w:val="0"/>
        <w:rPr>
          <w:rFonts w:hint="eastAsia" w:ascii="方正小标宋_GBK" w:hAnsi="仿宋" w:eastAsia="方正小标宋_GBK"/>
          <w:sz w:val="84"/>
          <w:szCs w:val="84"/>
        </w:rPr>
      </w:pPr>
      <w:r>
        <w:rPr>
          <w:rFonts w:hint="eastAsia" w:ascii="方正小标宋_GBK" w:hAnsi="仿宋" w:eastAsia="方正小标宋_GBK"/>
          <w:sz w:val="84"/>
          <w:szCs w:val="84"/>
        </w:rPr>
        <w:t>任</w:t>
      </w:r>
    </w:p>
    <w:p>
      <w:pPr>
        <w:snapToGrid w:val="0"/>
        <w:jc w:val="center"/>
        <w:outlineLvl w:val="0"/>
        <w:rPr>
          <w:rFonts w:hint="eastAsia" w:ascii="方正小标宋_GBK" w:hAnsi="仿宋" w:eastAsia="方正小标宋_GBK"/>
          <w:sz w:val="84"/>
          <w:szCs w:val="84"/>
        </w:rPr>
      </w:pPr>
      <w:r>
        <w:rPr>
          <w:rFonts w:hint="eastAsia" w:ascii="方正小标宋_GBK" w:hAnsi="仿宋" w:eastAsia="方正小标宋_GBK"/>
          <w:sz w:val="84"/>
          <w:szCs w:val="84"/>
        </w:rPr>
        <w:t>清</w:t>
      </w:r>
    </w:p>
    <w:p>
      <w:pPr>
        <w:snapToGrid w:val="0"/>
        <w:jc w:val="center"/>
        <w:outlineLvl w:val="0"/>
        <w:rPr>
          <w:rFonts w:hint="eastAsia" w:ascii="方正小标宋_GBK" w:hAnsi="仿宋" w:eastAsia="方正小标宋_GBK"/>
          <w:sz w:val="84"/>
          <w:szCs w:val="84"/>
        </w:rPr>
      </w:pPr>
      <w:r>
        <w:rPr>
          <w:rFonts w:hint="eastAsia" w:ascii="方正小标宋_GBK" w:hAnsi="仿宋" w:eastAsia="方正小标宋_GBK"/>
          <w:sz w:val="84"/>
          <w:szCs w:val="84"/>
        </w:rPr>
        <w:t>单</w:t>
      </w:r>
    </w:p>
    <w:p>
      <w:pPr>
        <w:snapToGrid w:val="0"/>
        <w:ind w:firstLine="840" w:firstLineChars="100"/>
        <w:outlineLvl w:val="0"/>
        <w:rPr>
          <w:rFonts w:hint="eastAsia" w:ascii="方正小标宋简体" w:hAnsi="仿宋" w:eastAsia="方正小标宋简体"/>
          <w:sz w:val="84"/>
          <w:szCs w:val="84"/>
        </w:rPr>
      </w:pPr>
    </w:p>
    <w:p>
      <w:pPr>
        <w:rPr>
          <w:rFonts w:hint="eastAsia"/>
          <w:sz w:val="32"/>
          <w:szCs w:val="32"/>
        </w:rPr>
        <w:sectPr>
          <w:pgSz w:w="11906" w:h="16838"/>
          <w:pgMar w:top="1440" w:right="1418" w:bottom="1440" w:left="1418" w:header="851" w:footer="992" w:gutter="0"/>
          <w:cols w:space="720" w:num="1"/>
          <w:docGrid w:type="linesAndChars" w:linePitch="312" w:charSpace="0"/>
        </w:sectPr>
      </w:pPr>
    </w:p>
    <w:p>
      <w:pPr>
        <w:rPr>
          <w:rFonts w:hint="eastAsia"/>
          <w:color w:val="auto"/>
          <w:sz w:val="32"/>
          <w:szCs w:val="32"/>
        </w:rPr>
      </w:pPr>
    </w:p>
    <w:p>
      <w:pPr>
        <w:rPr>
          <w:rFonts w:hint="eastAsia"/>
          <w:color w:val="auto"/>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sz w:val="32"/>
          <w:szCs w:val="32"/>
          <w:lang w:val="en-US" w:eastAsia="zh-CN"/>
        </w:rPr>
      </w:pPr>
      <w:r>
        <w:rPr>
          <w:rFonts w:hint="eastAsia"/>
          <w:color w:val="auto"/>
          <w:sz w:val="32"/>
          <w:szCs w:val="32"/>
          <w:lang w:eastAsia="zh-CN"/>
        </w:rPr>
        <w:t>部门职责</w:t>
      </w:r>
      <w:r>
        <w:rPr>
          <w:rFonts w:hint="eastAsia"/>
          <w:color w:val="auto"/>
          <w:sz w:val="32"/>
          <w:szCs w:val="32"/>
          <w:lang w:val="en-US" w:eastAsia="zh-CN"/>
        </w:rPr>
        <w:t>9项、与相关部门的职责边界0项、公共服务事项0项、事中事后监督管理制度1</w:t>
      </w:r>
      <w:bookmarkStart w:id="0" w:name="_GoBack"/>
      <w:bookmarkEnd w:id="0"/>
      <w:r>
        <w:rPr>
          <w:rFonts w:hint="eastAsia"/>
          <w:color w:val="auto"/>
          <w:sz w:val="32"/>
          <w:szCs w:val="32"/>
          <w:lang w:val="en-US" w:eastAsia="zh-CN"/>
        </w:rPr>
        <w:t>条。</w:t>
      </w:r>
    </w:p>
    <w:p>
      <w:pPr>
        <w:rPr>
          <w:rFonts w:hint="default" w:eastAsia="仿宋_GB2312"/>
          <w:color w:val="auto"/>
          <w:sz w:val="32"/>
          <w:szCs w:val="32"/>
          <w:lang w:val="en-US" w:eastAsia="zh-CN"/>
        </w:rPr>
      </w:pPr>
    </w:p>
    <w:p>
      <w:pPr>
        <w:rPr>
          <w:rFonts w:hint="eastAsia"/>
          <w:color w:val="auto"/>
          <w:sz w:val="32"/>
          <w:szCs w:val="32"/>
        </w:rPr>
      </w:pPr>
    </w:p>
    <w:p>
      <w:pPr>
        <w:rPr>
          <w:rFonts w:hint="eastAsia"/>
          <w:color w:val="auto"/>
          <w:sz w:val="32"/>
          <w:szCs w:val="32"/>
        </w:rPr>
      </w:pPr>
    </w:p>
    <w:p>
      <w:pPr>
        <w:rPr>
          <w:rFonts w:hint="eastAsia"/>
          <w:color w:val="auto"/>
          <w:sz w:val="32"/>
          <w:szCs w:val="32"/>
        </w:rPr>
      </w:pPr>
    </w:p>
    <w:p>
      <w:pPr>
        <w:rPr>
          <w:rFonts w:hint="eastAsia"/>
          <w:color w:val="auto"/>
          <w:sz w:val="32"/>
          <w:szCs w:val="32"/>
        </w:rPr>
      </w:pPr>
    </w:p>
    <w:p>
      <w:pPr>
        <w:rPr>
          <w:rFonts w:hint="eastAsia"/>
          <w:color w:val="auto"/>
          <w:sz w:val="32"/>
          <w:szCs w:val="32"/>
        </w:rPr>
      </w:pPr>
    </w:p>
    <w:p>
      <w:pPr>
        <w:rPr>
          <w:rFonts w:hint="eastAsia"/>
          <w:color w:val="auto"/>
          <w:sz w:val="32"/>
          <w:szCs w:val="32"/>
        </w:rPr>
      </w:pPr>
    </w:p>
    <w:p>
      <w:pPr>
        <w:jc w:val="both"/>
        <w:rPr>
          <w:rFonts w:hint="eastAsia" w:ascii="方正小标宋简体" w:eastAsia="方正小标宋简体"/>
          <w:sz w:val="44"/>
          <w:szCs w:val="44"/>
        </w:rPr>
      </w:pPr>
      <w:r>
        <w:rPr>
          <w:rFonts w:hint="eastAsia"/>
          <w:color w:val="auto"/>
          <w:sz w:val="32"/>
          <w:szCs w:val="32"/>
        </w:rPr>
        <w:br w:type="page"/>
      </w:r>
    </w:p>
    <w:p>
      <w:pPr>
        <w:jc w:val="center"/>
        <w:rPr>
          <w:rFonts w:hint="eastAsia" w:ascii="方正小标宋简体" w:eastAsia="方正小标宋简体"/>
          <w:sz w:val="44"/>
          <w:szCs w:val="44"/>
        </w:rPr>
      </w:pPr>
      <w:r>
        <w:rPr>
          <w:rFonts w:hint="eastAsia" w:ascii="方正小标宋简体" w:eastAsia="方正小标宋简体"/>
          <w:sz w:val="44"/>
          <w:szCs w:val="44"/>
        </w:rPr>
        <w:t>部门职责登记表</w:t>
      </w:r>
    </w:p>
    <w:p>
      <w:pPr>
        <w:rPr>
          <w:rFonts w:hint="eastAsia" w:ascii="楷体_GB2312" w:eastAsia="楷体_GB2312"/>
          <w:sz w:val="32"/>
          <w:szCs w:val="32"/>
        </w:rPr>
      </w:pPr>
      <w:r>
        <w:rPr>
          <w:rFonts w:hint="eastAsia" w:ascii="楷体_GB2312" w:eastAsia="楷体_GB2312"/>
          <w:sz w:val="32"/>
          <w:szCs w:val="32"/>
        </w:rPr>
        <w:t xml:space="preserve">部门名称（盖章）                                                </w:t>
      </w:r>
    </w:p>
    <w:tbl>
      <w:tblPr>
        <w:tblStyle w:val="3"/>
        <w:tblW w:w="141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3513"/>
        <w:gridCol w:w="5205"/>
        <w:gridCol w:w="2505"/>
        <w:gridCol w:w="1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2" w:type="dxa"/>
            <w:noWrap w:val="0"/>
            <w:vAlign w:val="top"/>
          </w:tcPr>
          <w:p>
            <w:pPr>
              <w:jc w:val="center"/>
              <w:rPr>
                <w:rFonts w:hint="eastAsia"/>
                <w:sz w:val="32"/>
                <w:szCs w:val="32"/>
              </w:rPr>
            </w:pPr>
            <w:r>
              <w:rPr>
                <w:rFonts w:hint="eastAsia"/>
                <w:sz w:val="32"/>
                <w:szCs w:val="32"/>
              </w:rPr>
              <w:t>序号</w:t>
            </w:r>
          </w:p>
        </w:tc>
        <w:tc>
          <w:tcPr>
            <w:tcW w:w="3513" w:type="dxa"/>
            <w:noWrap w:val="0"/>
            <w:vAlign w:val="top"/>
          </w:tcPr>
          <w:p>
            <w:pPr>
              <w:jc w:val="center"/>
              <w:rPr>
                <w:rFonts w:hint="eastAsia"/>
                <w:sz w:val="32"/>
                <w:szCs w:val="32"/>
              </w:rPr>
            </w:pPr>
            <w:r>
              <w:rPr>
                <w:rFonts w:hint="eastAsia"/>
                <w:sz w:val="32"/>
                <w:szCs w:val="32"/>
              </w:rPr>
              <w:t>主要职责</w:t>
            </w:r>
          </w:p>
        </w:tc>
        <w:tc>
          <w:tcPr>
            <w:tcW w:w="5205" w:type="dxa"/>
            <w:noWrap w:val="0"/>
            <w:vAlign w:val="top"/>
          </w:tcPr>
          <w:p>
            <w:pPr>
              <w:jc w:val="center"/>
              <w:rPr>
                <w:rFonts w:hint="eastAsia"/>
                <w:sz w:val="32"/>
                <w:szCs w:val="32"/>
              </w:rPr>
            </w:pPr>
            <w:r>
              <w:rPr>
                <w:rFonts w:hint="eastAsia"/>
                <w:sz w:val="32"/>
                <w:szCs w:val="32"/>
              </w:rPr>
              <w:t>具体工作事项</w:t>
            </w:r>
          </w:p>
        </w:tc>
        <w:tc>
          <w:tcPr>
            <w:tcW w:w="2505" w:type="dxa"/>
            <w:noWrap w:val="0"/>
            <w:vAlign w:val="top"/>
          </w:tcPr>
          <w:p>
            <w:pPr>
              <w:jc w:val="center"/>
              <w:rPr>
                <w:rFonts w:hint="eastAsia" w:eastAsia="仿宋_GB2312"/>
                <w:sz w:val="32"/>
                <w:szCs w:val="32"/>
                <w:lang w:eastAsia="zh-CN"/>
              </w:rPr>
            </w:pPr>
            <w:r>
              <w:rPr>
                <w:rFonts w:hint="eastAsia"/>
                <w:sz w:val="32"/>
                <w:szCs w:val="32"/>
                <w:lang w:eastAsia="zh-CN"/>
              </w:rPr>
              <w:t>责任处室</w:t>
            </w:r>
          </w:p>
        </w:tc>
        <w:tc>
          <w:tcPr>
            <w:tcW w:w="1931" w:type="dxa"/>
            <w:noWrap w:val="0"/>
            <w:vAlign w:val="top"/>
          </w:tcPr>
          <w:p>
            <w:pPr>
              <w:jc w:val="center"/>
              <w:rPr>
                <w:rFonts w:hint="eastAsia"/>
                <w:sz w:val="32"/>
                <w:szCs w:val="32"/>
              </w:rPr>
            </w:pPr>
            <w:r>
              <w:rPr>
                <w:rFonts w:hint="eastAsia"/>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3" w:hRule="atLeast"/>
        </w:trPr>
        <w:tc>
          <w:tcPr>
            <w:tcW w:w="972" w:type="dxa"/>
            <w:tcBorders>
              <w:top w:val="double" w:color="auto" w:sz="4" w:space="0"/>
            </w:tcBorders>
            <w:noWrap w:val="0"/>
            <w:vAlign w:val="top"/>
          </w:tcPr>
          <w:p>
            <w:pPr>
              <w:jc w:val="center"/>
              <w:rPr>
                <w:rFonts w:hint="eastAsia"/>
                <w:lang w:val="en-US" w:eastAsia="zh-CN"/>
              </w:rPr>
            </w:pPr>
          </w:p>
          <w:p>
            <w:pPr>
              <w:jc w:val="center"/>
              <w:rPr>
                <w:rFonts w:hint="eastAsia" w:eastAsia="仿宋_GB2312"/>
                <w:lang w:val="en-US" w:eastAsia="zh-CN"/>
              </w:rPr>
            </w:pPr>
            <w:r>
              <w:rPr>
                <w:rFonts w:hint="eastAsia"/>
                <w:lang w:val="en-US" w:eastAsia="zh-CN"/>
              </w:rPr>
              <w:t>1</w:t>
            </w:r>
          </w:p>
        </w:tc>
        <w:tc>
          <w:tcPr>
            <w:tcW w:w="3513" w:type="dxa"/>
            <w:tcBorders>
              <w:top w:val="double" w:color="auto" w:sz="4" w:space="0"/>
            </w:tcBorders>
            <w:noWrap w:val="0"/>
            <w:vAlign w:val="top"/>
          </w:tcPr>
          <w:p>
            <w:pPr>
              <w:rPr>
                <w:rFonts w:hint="eastAsia" w:eastAsia="仿宋_GB2312" w:cs="Arial"/>
                <w:color w:val="000000"/>
                <w:sz w:val="22"/>
                <w:szCs w:val="22"/>
                <w:shd w:val="clear" w:color="auto" w:fill="FFFFFF"/>
              </w:rPr>
            </w:pPr>
          </w:p>
          <w:p>
            <w:pPr>
              <w:ind w:firstLine="220" w:firstLineChars="100"/>
              <w:rPr>
                <w:rFonts w:hint="eastAsia" w:eastAsia="仿宋_GB2312" w:cs="Arial"/>
                <w:color w:val="000000"/>
                <w:sz w:val="22"/>
                <w:szCs w:val="22"/>
                <w:shd w:val="clear" w:color="auto" w:fill="FFFFFF"/>
              </w:rPr>
            </w:pPr>
            <w:r>
              <w:rPr>
                <w:rFonts w:hint="eastAsia" w:eastAsia="仿宋_GB2312" w:cs="Arial"/>
                <w:color w:val="000000"/>
                <w:sz w:val="22"/>
                <w:szCs w:val="22"/>
                <w:shd w:val="clear" w:color="auto" w:fill="FFFFFF"/>
              </w:rPr>
              <w:t>贯彻执行国家、省、市思想政治、管理保障和安置优抚等工作政策法规。拟定全县退役军人思想政治、管理保障和安置优抚等规范性文件并组织实施，褒扬、彰显退役军人为党、国家和人民牺牲奉献的精神风范和价值导向。</w:t>
            </w:r>
          </w:p>
          <w:p>
            <w:pPr>
              <w:ind w:firstLine="240" w:firstLineChars="100"/>
              <w:rPr>
                <w:rFonts w:hint="eastAsia"/>
                <w:sz w:val="24"/>
                <w:szCs w:val="24"/>
              </w:rPr>
            </w:pPr>
          </w:p>
        </w:tc>
        <w:tc>
          <w:tcPr>
            <w:tcW w:w="5205" w:type="dxa"/>
            <w:tcBorders>
              <w:top w:val="double" w:color="auto" w:sz="4" w:space="0"/>
            </w:tcBorders>
            <w:noWrap w:val="0"/>
            <w:vAlign w:val="top"/>
          </w:tcPr>
          <w:p>
            <w:pPr>
              <w:rPr>
                <w:rFonts w:hint="eastAsia" w:eastAsia="仿宋_GB2312" w:cs="Arial"/>
                <w:color w:val="000000"/>
                <w:sz w:val="22"/>
                <w:szCs w:val="22"/>
                <w:shd w:val="clear" w:color="auto" w:fill="FFFFFF"/>
              </w:rPr>
            </w:pPr>
          </w:p>
          <w:p>
            <w:pPr>
              <w:numPr>
                <w:ilvl w:val="0"/>
                <w:numId w:val="1"/>
              </w:numPr>
              <w:ind w:firstLine="220" w:firstLineChars="100"/>
              <w:rPr>
                <w:rFonts w:hint="eastAsia" w:eastAsia="仿宋_GB2312" w:cs="Arial"/>
                <w:color w:val="000000"/>
                <w:sz w:val="22"/>
                <w:szCs w:val="22"/>
                <w:shd w:val="clear" w:color="auto" w:fill="FFFFFF"/>
              </w:rPr>
            </w:pPr>
            <w:r>
              <w:rPr>
                <w:rFonts w:hint="eastAsia" w:eastAsia="仿宋_GB2312" w:cs="Arial"/>
                <w:color w:val="000000"/>
                <w:sz w:val="22"/>
                <w:szCs w:val="22"/>
                <w:shd w:val="clear" w:color="auto" w:fill="FFFFFF"/>
              </w:rPr>
              <w:t>负责机关日常运转，承担文秘、信息、安全、保密、政务公开、后勤管理、退役军人事务系统信息化建设等工作；</w:t>
            </w:r>
          </w:p>
          <w:p>
            <w:pPr>
              <w:numPr>
                <w:ilvl w:val="0"/>
                <w:numId w:val="1"/>
              </w:numPr>
              <w:ind w:firstLine="220" w:firstLineChars="100"/>
              <w:rPr>
                <w:rFonts w:hint="eastAsia" w:eastAsia="仿宋_GB2312"/>
                <w:sz w:val="24"/>
                <w:szCs w:val="24"/>
                <w:lang w:eastAsia="zh-CN"/>
              </w:rPr>
            </w:pPr>
            <w:r>
              <w:rPr>
                <w:rFonts w:hint="eastAsia" w:eastAsia="仿宋_GB2312" w:cs="Arial"/>
                <w:color w:val="000000"/>
                <w:sz w:val="22"/>
                <w:szCs w:val="22"/>
                <w:shd w:val="clear" w:color="auto" w:fill="FFFFFF"/>
              </w:rPr>
              <w:t>组织起草相关规范性文件，承担规范性文件的合法性审查和行政复议、行政应诉等工作；</w:t>
            </w:r>
          </w:p>
          <w:p>
            <w:pPr>
              <w:numPr>
                <w:ilvl w:val="0"/>
                <w:numId w:val="1"/>
              </w:numPr>
              <w:ind w:firstLine="220" w:firstLineChars="100"/>
              <w:rPr>
                <w:rFonts w:hint="eastAsia" w:eastAsia="仿宋_GB2312"/>
                <w:sz w:val="24"/>
                <w:szCs w:val="24"/>
                <w:lang w:eastAsia="zh-CN"/>
              </w:rPr>
            </w:pPr>
            <w:r>
              <w:rPr>
                <w:rFonts w:hint="eastAsia" w:eastAsia="仿宋_GB2312" w:cs="Arial"/>
                <w:color w:val="000000"/>
                <w:sz w:val="22"/>
                <w:szCs w:val="22"/>
                <w:shd w:val="clear" w:color="auto" w:fill="FFFFFF"/>
              </w:rPr>
              <w:t>承担退役军人思想政治、舆论宣传、总结表彰、荣誉奖励和信访工作；配合做好指导退役军人党建工作</w:t>
            </w:r>
            <w:r>
              <w:rPr>
                <w:rFonts w:hint="eastAsia" w:eastAsia="仿宋_GB2312" w:cs="Arial"/>
                <w:color w:val="000000"/>
                <w:sz w:val="22"/>
                <w:szCs w:val="22"/>
                <w:shd w:val="clear" w:color="auto" w:fill="FFFFFF"/>
                <w:lang w:eastAsia="zh-CN"/>
              </w:rPr>
              <w:t>；</w:t>
            </w:r>
          </w:p>
          <w:p>
            <w:pPr>
              <w:numPr>
                <w:ilvl w:val="0"/>
                <w:numId w:val="1"/>
              </w:numPr>
              <w:ind w:firstLine="220" w:firstLineChars="100"/>
              <w:rPr>
                <w:rFonts w:hint="eastAsia" w:eastAsia="仿宋_GB2312"/>
                <w:sz w:val="24"/>
                <w:szCs w:val="24"/>
                <w:lang w:eastAsia="zh-CN"/>
              </w:rPr>
            </w:pPr>
            <w:r>
              <w:rPr>
                <w:rFonts w:hint="eastAsia" w:eastAsia="仿宋_GB2312" w:cs="Arial"/>
                <w:color w:val="000000"/>
                <w:sz w:val="22"/>
                <w:szCs w:val="22"/>
                <w:shd w:val="clear" w:color="auto" w:fill="FFFFFF"/>
              </w:rPr>
              <w:t>拟定退役军人事业发展规划、年度计划和退役军人管理保障基础设施建设标准。</w:t>
            </w:r>
          </w:p>
        </w:tc>
        <w:tc>
          <w:tcPr>
            <w:tcW w:w="2505" w:type="dxa"/>
            <w:tcBorders>
              <w:top w:val="double" w:color="auto" w:sz="4" w:space="0"/>
            </w:tcBorders>
            <w:noWrap w:val="0"/>
            <w:vAlign w:val="top"/>
          </w:tcPr>
          <w:p>
            <w:pPr>
              <w:ind w:firstLine="240" w:firstLineChars="100"/>
              <w:jc w:val="center"/>
              <w:rPr>
                <w:rFonts w:hint="eastAsia"/>
                <w:sz w:val="24"/>
                <w:szCs w:val="24"/>
                <w:lang w:eastAsia="zh-CN"/>
              </w:rPr>
            </w:pPr>
          </w:p>
          <w:p>
            <w:pPr>
              <w:ind w:firstLine="480" w:firstLineChars="200"/>
              <w:jc w:val="center"/>
              <w:rPr>
                <w:rFonts w:hint="eastAsia"/>
                <w:sz w:val="24"/>
                <w:szCs w:val="24"/>
                <w:lang w:eastAsia="zh-CN"/>
              </w:rPr>
            </w:pPr>
          </w:p>
          <w:p>
            <w:pPr>
              <w:ind w:firstLine="480" w:firstLineChars="200"/>
              <w:jc w:val="center"/>
              <w:rPr>
                <w:rFonts w:hint="eastAsia"/>
                <w:sz w:val="24"/>
                <w:szCs w:val="24"/>
                <w:lang w:eastAsia="zh-CN"/>
              </w:rPr>
            </w:pPr>
          </w:p>
          <w:p>
            <w:pPr>
              <w:ind w:firstLine="720" w:firstLineChars="300"/>
              <w:jc w:val="both"/>
              <w:rPr>
                <w:rFonts w:hint="eastAsia"/>
                <w:sz w:val="24"/>
                <w:szCs w:val="24"/>
                <w:lang w:eastAsia="zh-CN"/>
              </w:rPr>
            </w:pPr>
          </w:p>
          <w:p>
            <w:pPr>
              <w:ind w:firstLine="720" w:firstLineChars="300"/>
              <w:jc w:val="both"/>
              <w:rPr>
                <w:rFonts w:hint="eastAsia" w:eastAsia="仿宋_GB2312"/>
                <w:sz w:val="24"/>
                <w:szCs w:val="24"/>
                <w:lang w:eastAsia="zh-CN"/>
              </w:rPr>
            </w:pPr>
            <w:r>
              <w:rPr>
                <w:rFonts w:hint="eastAsia"/>
                <w:sz w:val="24"/>
                <w:szCs w:val="24"/>
                <w:lang w:eastAsia="zh-CN"/>
              </w:rPr>
              <w:t>办公室</w:t>
            </w:r>
          </w:p>
        </w:tc>
        <w:tc>
          <w:tcPr>
            <w:tcW w:w="1931" w:type="dxa"/>
            <w:tcBorders>
              <w:top w:val="double" w:color="auto" w:sz="4" w:space="0"/>
            </w:tcBorders>
            <w:noWrap w:val="0"/>
            <w:vAlign w:val="top"/>
          </w:tcPr>
          <w:p>
            <w:pPr>
              <w:rPr>
                <w:rFonts w:hint="eastAsia"/>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8" w:hRule="atLeast"/>
        </w:trPr>
        <w:tc>
          <w:tcPr>
            <w:tcW w:w="972" w:type="dxa"/>
            <w:tcBorders>
              <w:top w:val="double" w:color="auto" w:sz="4" w:space="0"/>
            </w:tcBorders>
            <w:noWrap w:val="0"/>
            <w:vAlign w:val="top"/>
          </w:tcPr>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eastAsia="仿宋_GB2312"/>
                <w:lang w:val="en-US" w:eastAsia="zh-CN"/>
              </w:rPr>
            </w:pPr>
            <w:r>
              <w:rPr>
                <w:rFonts w:hint="eastAsia"/>
                <w:lang w:val="en-US" w:eastAsia="zh-CN"/>
              </w:rPr>
              <w:t>2</w:t>
            </w:r>
          </w:p>
        </w:tc>
        <w:tc>
          <w:tcPr>
            <w:tcW w:w="3513" w:type="dxa"/>
            <w:tcBorders>
              <w:top w:val="double" w:color="auto" w:sz="4" w:space="0"/>
            </w:tcBorders>
            <w:noWrap w:val="0"/>
            <w:vAlign w:val="top"/>
          </w:tcPr>
          <w:p>
            <w:pPr>
              <w:ind w:firstLine="440" w:firstLineChars="200"/>
              <w:rPr>
                <w:rFonts w:hint="eastAsia" w:eastAsia="仿宋_GB2312" w:cs="Arial"/>
                <w:color w:val="000000"/>
                <w:sz w:val="22"/>
                <w:szCs w:val="22"/>
                <w:shd w:val="clear" w:color="auto" w:fill="FFFFFF"/>
              </w:rPr>
            </w:pPr>
          </w:p>
          <w:p>
            <w:pPr>
              <w:ind w:firstLine="440" w:firstLineChars="200"/>
              <w:rPr>
                <w:rFonts w:hint="eastAsia" w:eastAsia="仿宋_GB2312" w:cs="Arial"/>
                <w:color w:val="000000"/>
                <w:sz w:val="22"/>
                <w:szCs w:val="22"/>
                <w:shd w:val="clear" w:color="auto" w:fill="FFFFFF"/>
              </w:rPr>
            </w:pPr>
          </w:p>
          <w:p>
            <w:pPr>
              <w:ind w:firstLine="440" w:firstLineChars="200"/>
              <w:rPr>
                <w:rFonts w:hint="eastAsia" w:eastAsia="仿宋_GB2312" w:cs="Arial"/>
                <w:color w:val="000000"/>
                <w:sz w:val="22"/>
                <w:szCs w:val="22"/>
                <w:shd w:val="clear" w:color="auto" w:fill="FFFFFF"/>
              </w:rPr>
            </w:pPr>
            <w:r>
              <w:rPr>
                <w:rFonts w:hint="eastAsia" w:eastAsia="仿宋_GB2312" w:cs="Arial"/>
                <w:color w:val="000000"/>
                <w:sz w:val="22"/>
                <w:szCs w:val="22"/>
                <w:shd w:val="clear" w:color="auto" w:fill="FFFFFF"/>
              </w:rPr>
              <w:t>负责全县军队转业干部、复员干部、离退休干部、退役士兵、符合条件消防员和无军籍退休退职职工的移交安置工作以及自主择业、就业退役军人服务管理工作。</w:t>
            </w:r>
          </w:p>
          <w:p>
            <w:pPr>
              <w:rPr>
                <w:rFonts w:hint="eastAsia" w:eastAsia="仿宋_GB2312" w:cs="Arial"/>
                <w:color w:val="000000"/>
                <w:sz w:val="22"/>
                <w:szCs w:val="22"/>
                <w:shd w:val="clear" w:color="auto" w:fill="FFFFFF"/>
              </w:rPr>
            </w:pPr>
          </w:p>
        </w:tc>
        <w:tc>
          <w:tcPr>
            <w:tcW w:w="5205" w:type="dxa"/>
            <w:tcBorders>
              <w:top w:val="double" w:color="auto" w:sz="4" w:space="0"/>
            </w:tcBorders>
            <w:noWrap w:val="0"/>
            <w:vAlign w:val="top"/>
          </w:tcPr>
          <w:p>
            <w:pPr>
              <w:ind w:firstLine="440" w:firstLineChars="200"/>
              <w:rPr>
                <w:rFonts w:hint="eastAsia" w:eastAsia="仿宋_GB2312" w:cs="Arial"/>
                <w:color w:val="000000"/>
                <w:sz w:val="22"/>
                <w:szCs w:val="22"/>
                <w:shd w:val="clear" w:color="auto" w:fill="FFFFFF"/>
              </w:rPr>
            </w:pPr>
          </w:p>
          <w:p>
            <w:pPr>
              <w:numPr>
                <w:ilvl w:val="0"/>
                <w:numId w:val="2"/>
              </w:numPr>
              <w:ind w:firstLine="440" w:firstLineChars="200"/>
              <w:rPr>
                <w:rFonts w:hint="eastAsia" w:eastAsia="仿宋_GB2312" w:cs="Arial"/>
                <w:color w:val="000000"/>
                <w:sz w:val="22"/>
                <w:szCs w:val="22"/>
                <w:shd w:val="clear" w:color="auto" w:fill="FFFFFF"/>
              </w:rPr>
            </w:pPr>
            <w:r>
              <w:rPr>
                <w:rFonts w:hint="eastAsia" w:eastAsia="仿宋_GB2312" w:cs="Arial"/>
                <w:color w:val="000000"/>
                <w:sz w:val="22"/>
                <w:szCs w:val="22"/>
                <w:shd w:val="clear" w:color="auto" w:fill="FFFFFF"/>
              </w:rPr>
              <w:t>拟订全县军队转业干部、退役士兵、复员干部、伤病残退役士兵和符合条件消防员的接收安置政策并组织实施；</w:t>
            </w:r>
          </w:p>
          <w:p>
            <w:pPr>
              <w:numPr>
                <w:ilvl w:val="0"/>
                <w:numId w:val="2"/>
              </w:numPr>
              <w:ind w:firstLine="440" w:firstLineChars="200"/>
              <w:rPr>
                <w:rFonts w:hint="eastAsia"/>
                <w:sz w:val="24"/>
                <w:szCs w:val="24"/>
              </w:rPr>
            </w:pPr>
            <w:r>
              <w:rPr>
                <w:rFonts w:hint="eastAsia" w:eastAsia="仿宋_GB2312" w:cs="Arial"/>
                <w:color w:val="000000"/>
                <w:sz w:val="22"/>
                <w:szCs w:val="22"/>
                <w:shd w:val="clear" w:color="auto" w:fill="FFFFFF"/>
              </w:rPr>
              <w:t>负责军队转业干部、转业士官、符合条件消防员档案接收、审查、移交；</w:t>
            </w:r>
          </w:p>
          <w:p>
            <w:pPr>
              <w:numPr>
                <w:ilvl w:val="0"/>
                <w:numId w:val="2"/>
              </w:numPr>
              <w:ind w:firstLine="440" w:firstLineChars="200"/>
              <w:rPr>
                <w:rFonts w:hint="eastAsia"/>
                <w:sz w:val="24"/>
                <w:szCs w:val="24"/>
              </w:rPr>
            </w:pPr>
            <w:r>
              <w:rPr>
                <w:rFonts w:hint="eastAsia" w:eastAsia="仿宋_GB2312" w:cs="Arial"/>
                <w:color w:val="000000"/>
                <w:sz w:val="22"/>
                <w:szCs w:val="22"/>
                <w:shd w:val="clear" w:color="auto" w:fill="FFFFFF"/>
              </w:rPr>
              <w:t>负责拟订中央、省、市直驻魏单位和县直单位接收安置军队转业干部、符合政府安排工作条件退役士兵、符合条件消防员的计划并组织实施，承担县直单位计划安置和计划外选调工作</w:t>
            </w:r>
            <w:r>
              <w:rPr>
                <w:rFonts w:hint="eastAsia" w:cs="Arial"/>
                <w:color w:val="000000"/>
                <w:sz w:val="22"/>
                <w:szCs w:val="22"/>
                <w:shd w:val="clear" w:color="auto" w:fill="FFFFFF"/>
                <w:lang w:eastAsia="zh-CN"/>
              </w:rPr>
              <w:t>；</w:t>
            </w:r>
          </w:p>
          <w:p>
            <w:pPr>
              <w:numPr>
                <w:ilvl w:val="0"/>
                <w:numId w:val="2"/>
              </w:numPr>
              <w:ind w:firstLine="440" w:firstLineChars="200"/>
              <w:rPr>
                <w:rFonts w:hint="eastAsia"/>
                <w:sz w:val="24"/>
                <w:szCs w:val="24"/>
              </w:rPr>
            </w:pPr>
            <w:r>
              <w:rPr>
                <w:rFonts w:hint="eastAsia" w:cs="Arial"/>
                <w:color w:val="000000"/>
                <w:sz w:val="22"/>
                <w:szCs w:val="22"/>
                <w:shd w:val="clear" w:color="auto" w:fill="FFFFFF"/>
                <w:lang w:eastAsia="zh-CN"/>
              </w:rPr>
              <w:t>负责自主择业退役士兵及复员干部就业创业帮扶工作。</w:t>
            </w:r>
          </w:p>
        </w:tc>
        <w:tc>
          <w:tcPr>
            <w:tcW w:w="2505" w:type="dxa"/>
            <w:tcBorders>
              <w:top w:val="double" w:color="auto" w:sz="4" w:space="0"/>
            </w:tcBorders>
            <w:noWrap w:val="0"/>
            <w:vAlign w:val="top"/>
          </w:tcPr>
          <w:p>
            <w:pPr>
              <w:jc w:val="center"/>
              <w:rPr>
                <w:rFonts w:hint="eastAsia"/>
                <w:sz w:val="24"/>
                <w:szCs w:val="24"/>
                <w:lang w:eastAsia="zh-CN"/>
              </w:rPr>
            </w:pPr>
          </w:p>
          <w:p>
            <w:pPr>
              <w:jc w:val="center"/>
              <w:rPr>
                <w:rFonts w:hint="eastAsia"/>
                <w:sz w:val="24"/>
                <w:szCs w:val="24"/>
                <w:lang w:eastAsia="zh-CN"/>
              </w:rPr>
            </w:pPr>
          </w:p>
          <w:p>
            <w:pPr>
              <w:jc w:val="center"/>
              <w:rPr>
                <w:rFonts w:hint="eastAsia"/>
                <w:sz w:val="24"/>
                <w:szCs w:val="24"/>
                <w:lang w:eastAsia="zh-CN"/>
              </w:rPr>
            </w:pPr>
          </w:p>
          <w:p>
            <w:pPr>
              <w:jc w:val="center"/>
              <w:rPr>
                <w:rFonts w:hint="eastAsia"/>
                <w:sz w:val="24"/>
                <w:szCs w:val="24"/>
                <w:lang w:eastAsia="zh-CN"/>
              </w:rPr>
            </w:pPr>
          </w:p>
          <w:p>
            <w:pPr>
              <w:jc w:val="center"/>
              <w:rPr>
                <w:rFonts w:hint="eastAsia"/>
                <w:sz w:val="24"/>
                <w:szCs w:val="24"/>
                <w:lang w:eastAsia="zh-CN"/>
              </w:rPr>
            </w:pPr>
          </w:p>
          <w:p>
            <w:pPr>
              <w:jc w:val="center"/>
              <w:rPr>
                <w:rFonts w:hint="eastAsia" w:eastAsia="仿宋_GB2312"/>
                <w:sz w:val="24"/>
                <w:szCs w:val="24"/>
                <w:lang w:eastAsia="zh-CN"/>
              </w:rPr>
            </w:pPr>
            <w:r>
              <w:rPr>
                <w:rFonts w:hint="eastAsia"/>
                <w:sz w:val="24"/>
                <w:szCs w:val="24"/>
                <w:lang w:eastAsia="zh-CN"/>
              </w:rPr>
              <w:t>移交安置股</w:t>
            </w:r>
          </w:p>
        </w:tc>
        <w:tc>
          <w:tcPr>
            <w:tcW w:w="1931" w:type="dxa"/>
            <w:tcBorders>
              <w:top w:val="double" w:color="auto" w:sz="4" w:space="0"/>
            </w:tcBorders>
            <w:noWrap w:val="0"/>
            <w:vAlign w:val="top"/>
          </w:tcPr>
          <w:p>
            <w:pPr>
              <w:rPr>
                <w:rFonts w:hint="eastAsia"/>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4" w:hRule="atLeast"/>
        </w:trPr>
        <w:tc>
          <w:tcPr>
            <w:tcW w:w="972" w:type="dxa"/>
            <w:tcBorders>
              <w:top w:val="double" w:color="auto" w:sz="4" w:space="0"/>
            </w:tcBorders>
            <w:noWrap w:val="0"/>
            <w:vAlign w:val="top"/>
          </w:tcPr>
          <w:p>
            <w:pPr>
              <w:jc w:val="center"/>
              <w:rPr>
                <w:rFonts w:hint="eastAsia"/>
                <w:lang w:val="en-US" w:eastAsia="zh-CN"/>
              </w:rPr>
            </w:pPr>
          </w:p>
          <w:p>
            <w:pPr>
              <w:jc w:val="center"/>
              <w:rPr>
                <w:rFonts w:hint="eastAsia"/>
                <w:lang w:val="en-US" w:eastAsia="zh-CN"/>
              </w:rPr>
            </w:pPr>
          </w:p>
          <w:p>
            <w:pPr>
              <w:jc w:val="center"/>
              <w:rPr>
                <w:rFonts w:hint="eastAsia" w:eastAsia="仿宋_GB2312"/>
                <w:lang w:val="en-US" w:eastAsia="zh-CN"/>
              </w:rPr>
            </w:pPr>
            <w:r>
              <w:rPr>
                <w:rFonts w:hint="eastAsia"/>
                <w:lang w:val="en-US" w:eastAsia="zh-CN"/>
              </w:rPr>
              <w:t>3</w:t>
            </w:r>
          </w:p>
        </w:tc>
        <w:tc>
          <w:tcPr>
            <w:tcW w:w="3513" w:type="dxa"/>
            <w:tcBorders>
              <w:top w:val="double" w:color="auto" w:sz="4" w:space="0"/>
            </w:tcBorders>
            <w:noWrap w:val="0"/>
            <w:vAlign w:val="top"/>
          </w:tcPr>
          <w:p>
            <w:pPr>
              <w:ind w:firstLine="440" w:firstLineChars="200"/>
              <w:rPr>
                <w:rFonts w:hint="eastAsia" w:eastAsia="仿宋_GB2312" w:cs="Arial"/>
                <w:color w:val="000000"/>
                <w:sz w:val="22"/>
                <w:szCs w:val="22"/>
                <w:shd w:val="clear" w:color="auto" w:fill="FFFFFF"/>
              </w:rPr>
            </w:pPr>
          </w:p>
          <w:p>
            <w:pPr>
              <w:ind w:firstLine="440" w:firstLineChars="200"/>
              <w:rPr>
                <w:rFonts w:hint="eastAsia" w:eastAsia="仿宋_GB2312" w:cs="Arial"/>
                <w:color w:val="000000"/>
                <w:sz w:val="22"/>
                <w:szCs w:val="22"/>
                <w:shd w:val="clear" w:color="auto" w:fill="FFFFFF"/>
              </w:rPr>
            </w:pPr>
          </w:p>
          <w:p>
            <w:pPr>
              <w:ind w:firstLine="440" w:firstLineChars="200"/>
              <w:rPr>
                <w:rFonts w:hint="eastAsia" w:eastAsia="仿宋_GB2312" w:cs="Arial"/>
                <w:color w:val="000000"/>
                <w:sz w:val="22"/>
                <w:szCs w:val="22"/>
                <w:shd w:val="clear" w:color="auto" w:fill="FFFFFF"/>
              </w:rPr>
            </w:pPr>
            <w:r>
              <w:rPr>
                <w:rFonts w:hint="eastAsia" w:eastAsia="仿宋_GB2312" w:cs="Arial"/>
                <w:color w:val="000000"/>
                <w:sz w:val="22"/>
                <w:szCs w:val="22"/>
                <w:shd w:val="clear" w:color="auto" w:fill="FFFFFF"/>
              </w:rPr>
              <w:t>组织指导退役军人教育培训工作，协调扶持退役军人和随军随调家属就业创业。</w:t>
            </w:r>
          </w:p>
          <w:p>
            <w:pPr>
              <w:rPr>
                <w:rFonts w:hint="eastAsia" w:eastAsia="仿宋_GB2312" w:cs="Arial"/>
                <w:color w:val="000000"/>
                <w:sz w:val="22"/>
                <w:szCs w:val="22"/>
                <w:shd w:val="clear" w:color="auto" w:fill="FFFFFF"/>
              </w:rPr>
            </w:pPr>
          </w:p>
        </w:tc>
        <w:tc>
          <w:tcPr>
            <w:tcW w:w="5205" w:type="dxa"/>
            <w:tcBorders>
              <w:top w:val="double" w:color="auto" w:sz="4" w:space="0"/>
            </w:tcBorders>
            <w:noWrap w:val="0"/>
            <w:vAlign w:val="top"/>
          </w:tcPr>
          <w:p>
            <w:pPr>
              <w:ind w:firstLine="440" w:firstLineChars="200"/>
              <w:rPr>
                <w:rFonts w:hint="eastAsia" w:eastAsia="仿宋_GB2312" w:cs="Arial"/>
                <w:color w:val="000000"/>
                <w:sz w:val="22"/>
                <w:szCs w:val="22"/>
                <w:shd w:val="clear" w:color="auto" w:fill="FFFFFF"/>
                <w:lang w:val="en-US" w:eastAsia="zh-CN"/>
              </w:rPr>
            </w:pPr>
          </w:p>
          <w:p>
            <w:pPr>
              <w:numPr>
                <w:ilvl w:val="0"/>
                <w:numId w:val="3"/>
              </w:numPr>
              <w:ind w:firstLine="440" w:firstLineChars="200"/>
              <w:rPr>
                <w:rFonts w:hint="eastAsia" w:eastAsia="仿宋_GB2312" w:cs="Arial"/>
                <w:color w:val="000000"/>
                <w:sz w:val="22"/>
                <w:szCs w:val="22"/>
                <w:shd w:val="clear" w:color="auto" w:fill="FFFFFF"/>
                <w:lang w:val="en-US" w:eastAsia="zh-CN"/>
              </w:rPr>
            </w:pPr>
            <w:r>
              <w:rPr>
                <w:rFonts w:hint="eastAsia" w:eastAsia="仿宋_GB2312" w:cs="Arial"/>
                <w:color w:val="000000"/>
                <w:sz w:val="22"/>
                <w:szCs w:val="22"/>
                <w:shd w:val="clear" w:color="auto" w:fill="FFFFFF"/>
                <w:lang w:val="en-US" w:eastAsia="zh-CN"/>
              </w:rPr>
              <w:t>拟订自主择业军队转业干部、复员干部、自主就业退役士兵就业创业年度计划并组织实施；</w:t>
            </w:r>
          </w:p>
          <w:p>
            <w:pPr>
              <w:numPr>
                <w:ilvl w:val="0"/>
                <w:numId w:val="3"/>
              </w:numPr>
              <w:ind w:firstLine="440" w:firstLineChars="200"/>
              <w:rPr>
                <w:rFonts w:hint="eastAsia" w:eastAsia="仿宋_GB2312" w:cs="Arial"/>
                <w:color w:val="000000"/>
                <w:sz w:val="22"/>
                <w:szCs w:val="22"/>
                <w:shd w:val="clear" w:color="auto" w:fill="FFFFFF"/>
                <w:lang w:val="en-US" w:eastAsia="zh-CN"/>
              </w:rPr>
            </w:pPr>
            <w:r>
              <w:rPr>
                <w:rFonts w:hint="eastAsia" w:eastAsia="仿宋_GB2312" w:cs="Arial"/>
                <w:color w:val="000000"/>
                <w:sz w:val="22"/>
                <w:szCs w:val="22"/>
                <w:shd w:val="clear" w:color="auto" w:fill="FFFFFF"/>
                <w:lang w:val="en-US" w:eastAsia="zh-CN"/>
              </w:rPr>
              <w:t>组织开展就业创业促进和教育培训工作，指导开展有关中介服务工作；</w:t>
            </w:r>
          </w:p>
          <w:p>
            <w:pPr>
              <w:numPr>
                <w:ilvl w:val="0"/>
                <w:numId w:val="3"/>
              </w:numPr>
              <w:ind w:firstLine="440" w:firstLineChars="200"/>
              <w:rPr>
                <w:rFonts w:hint="eastAsia" w:eastAsia="仿宋_GB2312" w:cs="Arial"/>
                <w:color w:val="000000"/>
                <w:sz w:val="22"/>
                <w:szCs w:val="22"/>
                <w:shd w:val="clear" w:color="auto" w:fill="FFFFFF"/>
                <w:lang w:val="en-US" w:eastAsia="zh-CN"/>
              </w:rPr>
            </w:pPr>
            <w:r>
              <w:rPr>
                <w:rFonts w:hint="eastAsia" w:eastAsia="仿宋_GB2312" w:cs="Arial"/>
                <w:color w:val="000000"/>
                <w:sz w:val="22"/>
                <w:szCs w:val="22"/>
                <w:shd w:val="clear" w:color="auto" w:fill="FFFFFF"/>
                <w:lang w:val="en-US" w:eastAsia="zh-CN"/>
              </w:rPr>
              <w:t>组织协调落实退役军人和符合条件消防员社会保险等待遇保障工作</w:t>
            </w:r>
            <w:r>
              <w:rPr>
                <w:rFonts w:hint="eastAsia" w:cs="Arial"/>
                <w:color w:val="000000"/>
                <w:sz w:val="22"/>
                <w:szCs w:val="22"/>
                <w:shd w:val="clear" w:color="auto" w:fill="FFFFFF"/>
                <w:lang w:val="en-US" w:eastAsia="zh-CN"/>
              </w:rPr>
              <w:t>；</w:t>
            </w:r>
          </w:p>
          <w:p>
            <w:pPr>
              <w:numPr>
                <w:ilvl w:val="0"/>
                <w:numId w:val="3"/>
              </w:numPr>
              <w:ind w:firstLine="440" w:firstLineChars="200"/>
              <w:rPr>
                <w:rFonts w:hint="eastAsia" w:eastAsia="仿宋_GB2312" w:cs="Arial"/>
                <w:color w:val="000000"/>
                <w:sz w:val="22"/>
                <w:szCs w:val="22"/>
                <w:shd w:val="clear" w:color="auto" w:fill="FFFFFF"/>
                <w:lang w:val="en-US" w:eastAsia="zh-CN"/>
              </w:rPr>
            </w:pPr>
            <w:r>
              <w:rPr>
                <w:rFonts w:hint="eastAsia" w:cs="Arial"/>
                <w:color w:val="000000"/>
                <w:sz w:val="22"/>
                <w:szCs w:val="22"/>
                <w:shd w:val="clear" w:color="auto" w:fill="FFFFFF"/>
                <w:lang w:val="en-US" w:eastAsia="zh-CN"/>
              </w:rPr>
              <w:t>联系企业开展培训，并扶持其就业创业。</w:t>
            </w:r>
          </w:p>
        </w:tc>
        <w:tc>
          <w:tcPr>
            <w:tcW w:w="2505" w:type="dxa"/>
            <w:tcBorders>
              <w:top w:val="double" w:color="auto" w:sz="4" w:space="0"/>
            </w:tcBorders>
            <w:noWrap w:val="0"/>
            <w:vAlign w:val="top"/>
          </w:tcPr>
          <w:p>
            <w:pPr>
              <w:jc w:val="center"/>
              <w:rPr>
                <w:rFonts w:hint="eastAsia"/>
                <w:sz w:val="24"/>
                <w:szCs w:val="24"/>
                <w:lang w:eastAsia="zh-CN"/>
              </w:rPr>
            </w:pPr>
          </w:p>
          <w:p>
            <w:pPr>
              <w:jc w:val="center"/>
              <w:rPr>
                <w:rFonts w:hint="eastAsia"/>
                <w:sz w:val="24"/>
                <w:szCs w:val="24"/>
                <w:lang w:eastAsia="zh-CN"/>
              </w:rPr>
            </w:pPr>
          </w:p>
          <w:p>
            <w:pPr>
              <w:jc w:val="center"/>
              <w:rPr>
                <w:rFonts w:hint="eastAsia"/>
                <w:sz w:val="24"/>
                <w:szCs w:val="24"/>
                <w:lang w:eastAsia="zh-CN"/>
              </w:rPr>
            </w:pPr>
          </w:p>
          <w:p>
            <w:pPr>
              <w:jc w:val="center"/>
              <w:rPr>
                <w:rFonts w:hint="eastAsia"/>
                <w:sz w:val="24"/>
                <w:szCs w:val="24"/>
              </w:rPr>
            </w:pPr>
            <w:r>
              <w:rPr>
                <w:rFonts w:hint="eastAsia"/>
                <w:sz w:val="24"/>
                <w:szCs w:val="24"/>
                <w:lang w:eastAsia="zh-CN"/>
              </w:rPr>
              <w:t>移交安置股</w:t>
            </w:r>
          </w:p>
        </w:tc>
        <w:tc>
          <w:tcPr>
            <w:tcW w:w="1931" w:type="dxa"/>
            <w:tcBorders>
              <w:top w:val="double" w:color="auto" w:sz="4" w:space="0"/>
            </w:tcBorders>
            <w:noWrap w:val="0"/>
            <w:vAlign w:val="top"/>
          </w:tcPr>
          <w:p>
            <w:pPr>
              <w:rPr>
                <w:rFonts w:hint="eastAsia"/>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0" w:hRule="atLeast"/>
        </w:trPr>
        <w:tc>
          <w:tcPr>
            <w:tcW w:w="972" w:type="dxa"/>
            <w:tcBorders>
              <w:top w:val="double" w:color="auto" w:sz="4" w:space="0"/>
            </w:tcBorders>
            <w:noWrap w:val="0"/>
            <w:vAlign w:val="top"/>
          </w:tcPr>
          <w:p>
            <w:pPr>
              <w:jc w:val="center"/>
              <w:rPr>
                <w:rFonts w:hint="eastAsia"/>
                <w:lang w:val="en-US" w:eastAsia="zh-CN"/>
              </w:rPr>
            </w:pPr>
          </w:p>
          <w:p>
            <w:pPr>
              <w:jc w:val="center"/>
              <w:rPr>
                <w:rFonts w:hint="eastAsia" w:eastAsia="仿宋_GB2312"/>
                <w:lang w:val="en-US" w:eastAsia="zh-CN"/>
              </w:rPr>
            </w:pPr>
            <w:r>
              <w:rPr>
                <w:rFonts w:hint="eastAsia"/>
                <w:lang w:val="en-US" w:eastAsia="zh-CN"/>
              </w:rPr>
              <w:t>4</w:t>
            </w:r>
          </w:p>
        </w:tc>
        <w:tc>
          <w:tcPr>
            <w:tcW w:w="3513" w:type="dxa"/>
            <w:tcBorders>
              <w:top w:val="double" w:color="auto" w:sz="4" w:space="0"/>
            </w:tcBorders>
            <w:noWrap w:val="0"/>
            <w:vAlign w:val="top"/>
          </w:tcPr>
          <w:p>
            <w:pPr>
              <w:ind w:firstLine="440" w:firstLineChars="200"/>
              <w:rPr>
                <w:rFonts w:hint="eastAsia" w:eastAsia="仿宋_GB2312" w:cs="Arial"/>
                <w:color w:val="000000"/>
                <w:sz w:val="22"/>
                <w:szCs w:val="22"/>
                <w:shd w:val="clear" w:color="auto" w:fill="FFFFFF"/>
              </w:rPr>
            </w:pPr>
          </w:p>
          <w:p>
            <w:pPr>
              <w:ind w:firstLine="440" w:firstLineChars="200"/>
              <w:rPr>
                <w:rFonts w:hint="eastAsia" w:eastAsia="仿宋_GB2312" w:cs="Arial"/>
                <w:color w:val="000000"/>
                <w:sz w:val="22"/>
                <w:szCs w:val="22"/>
                <w:shd w:val="clear" w:color="auto" w:fill="FFFFFF"/>
              </w:rPr>
            </w:pPr>
            <w:r>
              <w:rPr>
                <w:rFonts w:hint="eastAsia" w:eastAsia="仿宋_GB2312" w:cs="Arial"/>
                <w:color w:val="000000"/>
                <w:sz w:val="22"/>
                <w:szCs w:val="22"/>
                <w:shd w:val="clear" w:color="auto" w:fill="FFFFFF"/>
              </w:rPr>
              <w:t>会同有关部门组织落实全县退役军人特殊保障政策和企业中军队转业干部解困政策。</w:t>
            </w:r>
          </w:p>
          <w:p>
            <w:pPr>
              <w:rPr>
                <w:rFonts w:hint="eastAsia" w:eastAsia="仿宋_GB2312" w:cs="Arial"/>
                <w:color w:val="000000"/>
                <w:sz w:val="22"/>
                <w:szCs w:val="22"/>
                <w:shd w:val="clear" w:color="auto" w:fill="FFFFFF"/>
              </w:rPr>
            </w:pPr>
          </w:p>
        </w:tc>
        <w:tc>
          <w:tcPr>
            <w:tcW w:w="5205" w:type="dxa"/>
            <w:tcBorders>
              <w:top w:val="double" w:color="auto" w:sz="4" w:space="0"/>
            </w:tcBorders>
            <w:noWrap w:val="0"/>
            <w:vAlign w:val="top"/>
          </w:tcPr>
          <w:p>
            <w:pPr>
              <w:ind w:firstLine="440" w:firstLineChars="200"/>
              <w:rPr>
                <w:rFonts w:hint="eastAsia" w:eastAsia="仿宋_GB2312" w:cs="Arial"/>
                <w:color w:val="000000"/>
                <w:sz w:val="22"/>
                <w:szCs w:val="22"/>
                <w:shd w:val="clear" w:color="auto" w:fill="FFFFFF"/>
                <w:lang w:val="en-US" w:eastAsia="zh-CN"/>
              </w:rPr>
            </w:pPr>
          </w:p>
          <w:p>
            <w:pPr>
              <w:numPr>
                <w:ilvl w:val="0"/>
                <w:numId w:val="4"/>
              </w:numPr>
              <w:ind w:firstLine="440" w:firstLineChars="200"/>
              <w:rPr>
                <w:rFonts w:hint="eastAsia" w:cs="Arial"/>
                <w:color w:val="000000"/>
                <w:sz w:val="22"/>
                <w:szCs w:val="22"/>
                <w:shd w:val="clear" w:color="auto" w:fill="FFFFFF"/>
                <w:lang w:val="en-US" w:eastAsia="zh-CN"/>
              </w:rPr>
            </w:pPr>
            <w:r>
              <w:rPr>
                <w:rFonts w:hint="eastAsia" w:cs="Arial"/>
                <w:color w:val="000000"/>
                <w:sz w:val="22"/>
                <w:szCs w:val="22"/>
                <w:shd w:val="clear" w:color="auto" w:fill="FFFFFF"/>
                <w:lang w:val="en-US" w:eastAsia="zh-CN"/>
              </w:rPr>
              <w:t>负责退役军人权益维护和有关人员的帮扶救助工作；</w:t>
            </w:r>
          </w:p>
          <w:p>
            <w:pPr>
              <w:numPr>
                <w:ilvl w:val="0"/>
                <w:numId w:val="4"/>
              </w:numPr>
              <w:ind w:firstLine="440" w:firstLineChars="200"/>
              <w:rPr>
                <w:rFonts w:hint="eastAsia" w:eastAsia="仿宋_GB2312" w:cs="Arial"/>
                <w:color w:val="000000"/>
                <w:sz w:val="22"/>
                <w:szCs w:val="22"/>
                <w:shd w:val="clear" w:color="auto" w:fill="FFFFFF"/>
                <w:lang w:val="en-US" w:eastAsia="zh-CN"/>
              </w:rPr>
            </w:pPr>
            <w:r>
              <w:rPr>
                <w:rFonts w:hint="eastAsia" w:eastAsia="仿宋_GB2312" w:cs="Arial"/>
                <w:color w:val="000000"/>
                <w:sz w:val="22"/>
                <w:szCs w:val="22"/>
                <w:shd w:val="clear" w:color="auto" w:fill="FFFFFF"/>
                <w:lang w:val="en-US" w:eastAsia="zh-CN"/>
              </w:rPr>
              <w:t>参与拟订企业中军队转业干部解困专项经费管理办法并组织实施</w:t>
            </w:r>
          </w:p>
        </w:tc>
        <w:tc>
          <w:tcPr>
            <w:tcW w:w="2505" w:type="dxa"/>
            <w:tcBorders>
              <w:top w:val="double" w:color="auto" w:sz="4" w:space="0"/>
            </w:tcBorders>
            <w:noWrap w:val="0"/>
            <w:vAlign w:val="top"/>
          </w:tcPr>
          <w:p>
            <w:pPr>
              <w:jc w:val="center"/>
              <w:rPr>
                <w:rFonts w:hint="eastAsia"/>
                <w:sz w:val="24"/>
                <w:szCs w:val="24"/>
                <w:lang w:eastAsia="zh-CN"/>
              </w:rPr>
            </w:pPr>
          </w:p>
          <w:p>
            <w:pPr>
              <w:jc w:val="center"/>
              <w:rPr>
                <w:rFonts w:hint="eastAsia"/>
                <w:sz w:val="24"/>
                <w:szCs w:val="24"/>
                <w:lang w:eastAsia="zh-CN"/>
              </w:rPr>
            </w:pPr>
          </w:p>
          <w:p>
            <w:pPr>
              <w:jc w:val="center"/>
              <w:rPr>
                <w:rFonts w:hint="eastAsia" w:eastAsia="仿宋_GB2312"/>
                <w:sz w:val="24"/>
                <w:szCs w:val="24"/>
                <w:lang w:eastAsia="zh-CN"/>
              </w:rPr>
            </w:pPr>
            <w:r>
              <w:rPr>
                <w:rFonts w:hint="eastAsia"/>
                <w:sz w:val="24"/>
                <w:szCs w:val="24"/>
                <w:lang w:eastAsia="zh-CN"/>
              </w:rPr>
              <w:t>办公室</w:t>
            </w:r>
          </w:p>
        </w:tc>
        <w:tc>
          <w:tcPr>
            <w:tcW w:w="1931" w:type="dxa"/>
            <w:tcBorders>
              <w:top w:val="double" w:color="auto" w:sz="4" w:space="0"/>
            </w:tcBorders>
            <w:noWrap w:val="0"/>
            <w:vAlign w:val="top"/>
          </w:tcPr>
          <w:p>
            <w:pPr>
              <w:rPr>
                <w:rFonts w:hint="eastAsia"/>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72" w:type="dxa"/>
            <w:noWrap w:val="0"/>
            <w:vAlign w:val="top"/>
          </w:tcPr>
          <w:p>
            <w:pPr>
              <w:jc w:val="center"/>
              <w:rPr>
                <w:rFonts w:hint="eastAsia"/>
                <w:lang w:val="en-US" w:eastAsia="zh-CN"/>
              </w:rPr>
            </w:pPr>
          </w:p>
          <w:p>
            <w:pPr>
              <w:jc w:val="center"/>
              <w:rPr>
                <w:rFonts w:hint="eastAsia"/>
                <w:lang w:val="en-US" w:eastAsia="zh-CN"/>
              </w:rPr>
            </w:pPr>
          </w:p>
          <w:p>
            <w:pPr>
              <w:jc w:val="center"/>
              <w:rPr>
                <w:rFonts w:hint="eastAsia" w:eastAsia="仿宋_GB2312"/>
                <w:lang w:val="en-US" w:eastAsia="zh-CN"/>
              </w:rPr>
            </w:pPr>
            <w:r>
              <w:rPr>
                <w:rFonts w:hint="eastAsia"/>
                <w:lang w:val="en-US" w:eastAsia="zh-CN"/>
              </w:rPr>
              <w:t>5</w:t>
            </w:r>
          </w:p>
        </w:tc>
        <w:tc>
          <w:tcPr>
            <w:tcW w:w="3513" w:type="dxa"/>
            <w:noWrap w:val="0"/>
            <w:vAlign w:val="top"/>
          </w:tcPr>
          <w:p>
            <w:pPr>
              <w:ind w:firstLine="220" w:firstLineChars="100"/>
              <w:rPr>
                <w:rFonts w:hint="eastAsia" w:eastAsia="仿宋_GB2312" w:cs="Arial"/>
                <w:color w:val="000000"/>
                <w:sz w:val="22"/>
                <w:szCs w:val="22"/>
                <w:shd w:val="clear" w:color="auto" w:fill="FFFFFF"/>
              </w:rPr>
            </w:pPr>
          </w:p>
          <w:p>
            <w:pPr>
              <w:ind w:firstLine="220" w:firstLineChars="100"/>
              <w:rPr>
                <w:rFonts w:hint="eastAsia" w:eastAsia="仿宋_GB2312" w:cs="Arial"/>
                <w:color w:val="000000"/>
                <w:sz w:val="22"/>
                <w:szCs w:val="22"/>
                <w:shd w:val="clear" w:color="auto" w:fill="FFFFFF"/>
              </w:rPr>
            </w:pPr>
          </w:p>
          <w:p>
            <w:pPr>
              <w:ind w:firstLine="220" w:firstLineChars="100"/>
              <w:rPr>
                <w:rFonts w:hint="eastAsia" w:eastAsia="仿宋_GB2312" w:cs="Arial"/>
                <w:color w:val="000000"/>
                <w:sz w:val="22"/>
                <w:szCs w:val="22"/>
                <w:shd w:val="clear" w:color="auto" w:fill="FFFFFF"/>
              </w:rPr>
            </w:pPr>
          </w:p>
          <w:p>
            <w:pPr>
              <w:ind w:firstLine="220" w:firstLineChars="100"/>
              <w:rPr>
                <w:rFonts w:hint="eastAsia" w:eastAsia="仿宋_GB2312" w:cs="Arial"/>
                <w:color w:val="000000"/>
                <w:sz w:val="22"/>
                <w:szCs w:val="22"/>
                <w:shd w:val="clear" w:color="auto" w:fill="FFFFFF"/>
              </w:rPr>
            </w:pPr>
            <w:r>
              <w:rPr>
                <w:rFonts w:hint="eastAsia" w:eastAsia="仿宋_GB2312" w:cs="Arial"/>
                <w:color w:val="000000"/>
                <w:sz w:val="22"/>
                <w:szCs w:val="22"/>
                <w:shd w:val="clear" w:color="auto" w:fill="FFFFFF"/>
              </w:rPr>
              <w:t>组织协调落实移交地方的离退休军人、符合条件的其他退役军人和无军籍退休退职职工的住房保障工作，以及退役军人医疗保障、社会保险等待遇保障工作。</w:t>
            </w:r>
          </w:p>
          <w:p>
            <w:pPr>
              <w:rPr>
                <w:rFonts w:hint="eastAsia" w:eastAsia="仿宋_GB2312" w:cs="Arial"/>
                <w:color w:val="000000"/>
                <w:sz w:val="22"/>
                <w:szCs w:val="22"/>
                <w:shd w:val="clear" w:color="auto" w:fill="FFFFFF"/>
              </w:rPr>
            </w:pPr>
          </w:p>
        </w:tc>
        <w:tc>
          <w:tcPr>
            <w:tcW w:w="5205" w:type="dxa"/>
            <w:noWrap w:val="0"/>
            <w:vAlign w:val="top"/>
          </w:tcPr>
          <w:p>
            <w:pPr>
              <w:ind w:firstLine="480" w:firstLineChars="200"/>
              <w:rPr>
                <w:rFonts w:hint="eastAsia"/>
                <w:sz w:val="24"/>
                <w:szCs w:val="24"/>
              </w:rPr>
            </w:pPr>
          </w:p>
          <w:p>
            <w:pPr>
              <w:numPr>
                <w:ilvl w:val="0"/>
                <w:numId w:val="5"/>
              </w:numPr>
              <w:ind w:firstLine="440" w:firstLineChars="200"/>
              <w:rPr>
                <w:rFonts w:hint="eastAsia" w:eastAsia="仿宋_GB2312" w:cs="Arial"/>
                <w:color w:val="000000"/>
                <w:sz w:val="22"/>
                <w:szCs w:val="22"/>
                <w:shd w:val="clear" w:color="auto" w:fill="FFFFFF"/>
                <w:lang w:val="en-US" w:eastAsia="zh-CN"/>
              </w:rPr>
            </w:pPr>
            <w:r>
              <w:rPr>
                <w:rFonts w:hint="eastAsia" w:eastAsia="仿宋_GB2312" w:cs="Arial"/>
                <w:color w:val="000000"/>
                <w:sz w:val="22"/>
                <w:szCs w:val="22"/>
                <w:shd w:val="clear" w:color="auto" w:fill="FFFFFF"/>
                <w:lang w:val="en-US" w:eastAsia="zh-CN"/>
              </w:rPr>
              <w:t>组织协调落实退役军人和符合条件消防员社会保险等待遇保障工作；</w:t>
            </w:r>
          </w:p>
          <w:p>
            <w:pPr>
              <w:numPr>
                <w:ilvl w:val="0"/>
                <w:numId w:val="5"/>
              </w:numPr>
              <w:ind w:firstLine="440" w:firstLineChars="200"/>
              <w:rPr>
                <w:rFonts w:hint="eastAsia"/>
                <w:sz w:val="24"/>
                <w:szCs w:val="24"/>
              </w:rPr>
            </w:pPr>
            <w:r>
              <w:rPr>
                <w:rFonts w:hint="eastAsia" w:eastAsia="仿宋_GB2312" w:cs="Arial"/>
                <w:color w:val="000000"/>
                <w:sz w:val="22"/>
                <w:szCs w:val="22"/>
                <w:shd w:val="clear" w:color="auto" w:fill="FFFFFF"/>
                <w:lang w:val="en-US" w:eastAsia="zh-CN"/>
              </w:rPr>
              <w:t>负责军队移交本县安置管理的军队离退休干部、退休士官和军队无军籍退休退职职工接收安置和服务管理工作；</w:t>
            </w:r>
          </w:p>
          <w:p>
            <w:pPr>
              <w:numPr>
                <w:ilvl w:val="0"/>
                <w:numId w:val="5"/>
              </w:numPr>
              <w:ind w:firstLine="440" w:firstLineChars="200"/>
              <w:rPr>
                <w:rFonts w:hint="eastAsia"/>
                <w:sz w:val="24"/>
                <w:szCs w:val="24"/>
              </w:rPr>
            </w:pPr>
            <w:r>
              <w:rPr>
                <w:rFonts w:hint="eastAsia" w:eastAsia="仿宋_GB2312" w:cs="Arial"/>
                <w:color w:val="000000"/>
                <w:sz w:val="22"/>
                <w:szCs w:val="22"/>
                <w:shd w:val="clear" w:color="auto" w:fill="FFFFFF"/>
                <w:lang w:val="en-US" w:eastAsia="zh-CN"/>
              </w:rPr>
              <w:t>负责拟订安置经费分配方案，规划军队离退休干部休养机构工作人员配备和车辆配置，指导军队离退休干部服务管理机构的工作；</w:t>
            </w:r>
          </w:p>
          <w:p>
            <w:pPr>
              <w:numPr>
                <w:ilvl w:val="0"/>
                <w:numId w:val="5"/>
              </w:numPr>
              <w:ind w:firstLine="440" w:firstLineChars="200"/>
              <w:rPr>
                <w:rFonts w:hint="eastAsia"/>
                <w:sz w:val="24"/>
                <w:szCs w:val="24"/>
              </w:rPr>
            </w:pPr>
            <w:r>
              <w:rPr>
                <w:rFonts w:hint="eastAsia" w:eastAsia="仿宋_GB2312" w:cs="Arial"/>
                <w:color w:val="000000"/>
                <w:sz w:val="22"/>
                <w:szCs w:val="22"/>
                <w:shd w:val="clear" w:color="auto" w:fill="FFFFFF"/>
                <w:lang w:val="en-US" w:eastAsia="zh-CN"/>
              </w:rPr>
              <w:t>检查指导军队离退休干部政治待遇和生活待遇的落实；</w:t>
            </w:r>
          </w:p>
          <w:p>
            <w:pPr>
              <w:numPr>
                <w:ilvl w:val="0"/>
                <w:numId w:val="5"/>
              </w:numPr>
              <w:ind w:firstLine="440" w:firstLineChars="200"/>
              <w:rPr>
                <w:rFonts w:hint="eastAsia"/>
                <w:sz w:val="24"/>
                <w:szCs w:val="24"/>
              </w:rPr>
            </w:pPr>
            <w:r>
              <w:rPr>
                <w:rFonts w:hint="eastAsia" w:eastAsia="仿宋_GB2312" w:cs="Arial"/>
                <w:color w:val="000000"/>
                <w:sz w:val="22"/>
                <w:szCs w:val="22"/>
                <w:shd w:val="clear" w:color="auto" w:fill="FFFFFF"/>
                <w:lang w:val="en-US" w:eastAsia="zh-CN"/>
              </w:rPr>
              <w:t>组织协调落实移交地方的离休退休军人、无军籍退休退职职工和符合条件的其他退役军人的住房保障工作。</w:t>
            </w:r>
          </w:p>
        </w:tc>
        <w:tc>
          <w:tcPr>
            <w:tcW w:w="2505" w:type="dxa"/>
            <w:noWrap w:val="0"/>
            <w:vAlign w:val="top"/>
          </w:tcPr>
          <w:p>
            <w:pPr>
              <w:jc w:val="center"/>
              <w:rPr>
                <w:rFonts w:hint="eastAsia"/>
                <w:sz w:val="24"/>
                <w:szCs w:val="24"/>
                <w:lang w:eastAsia="zh-CN"/>
              </w:rPr>
            </w:pPr>
          </w:p>
          <w:p>
            <w:pPr>
              <w:jc w:val="center"/>
              <w:rPr>
                <w:rFonts w:hint="eastAsia"/>
                <w:sz w:val="24"/>
                <w:szCs w:val="24"/>
                <w:lang w:eastAsia="zh-CN"/>
              </w:rPr>
            </w:pPr>
          </w:p>
          <w:p>
            <w:pPr>
              <w:jc w:val="center"/>
              <w:rPr>
                <w:rFonts w:hint="eastAsia"/>
                <w:sz w:val="24"/>
                <w:szCs w:val="24"/>
                <w:lang w:eastAsia="zh-CN"/>
              </w:rPr>
            </w:pPr>
          </w:p>
          <w:p>
            <w:pPr>
              <w:jc w:val="center"/>
              <w:rPr>
                <w:rFonts w:hint="eastAsia"/>
                <w:sz w:val="24"/>
                <w:szCs w:val="24"/>
                <w:lang w:eastAsia="zh-CN"/>
              </w:rPr>
            </w:pPr>
          </w:p>
          <w:p>
            <w:pPr>
              <w:jc w:val="center"/>
              <w:rPr>
                <w:rFonts w:hint="eastAsia"/>
                <w:sz w:val="24"/>
                <w:szCs w:val="24"/>
                <w:lang w:eastAsia="zh-CN"/>
              </w:rPr>
            </w:pPr>
          </w:p>
          <w:p>
            <w:pPr>
              <w:jc w:val="center"/>
              <w:rPr>
                <w:rFonts w:hint="eastAsia" w:eastAsia="仿宋_GB2312"/>
                <w:sz w:val="24"/>
                <w:szCs w:val="24"/>
                <w:lang w:eastAsia="zh-CN"/>
              </w:rPr>
            </w:pPr>
            <w:r>
              <w:rPr>
                <w:rFonts w:hint="eastAsia"/>
                <w:sz w:val="24"/>
                <w:szCs w:val="24"/>
                <w:lang w:eastAsia="zh-CN"/>
              </w:rPr>
              <w:t>移交安置股</w:t>
            </w:r>
          </w:p>
        </w:tc>
        <w:tc>
          <w:tcPr>
            <w:tcW w:w="1931" w:type="dxa"/>
            <w:noWrap w:val="0"/>
            <w:vAlign w:val="top"/>
          </w:tcPr>
          <w:p>
            <w:pPr>
              <w:rPr>
                <w:rFonts w:hint="eastAsia"/>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3" w:hRule="atLeast"/>
        </w:trPr>
        <w:tc>
          <w:tcPr>
            <w:tcW w:w="972" w:type="dxa"/>
            <w:vMerge w:val="restart"/>
            <w:noWrap w:val="0"/>
            <w:vAlign w:val="top"/>
          </w:tcPr>
          <w:p>
            <w:pPr>
              <w:jc w:val="center"/>
              <w:rPr>
                <w:rFonts w:hint="eastAsia"/>
                <w:lang w:val="en-US" w:eastAsia="zh-CN"/>
              </w:rPr>
            </w:pPr>
          </w:p>
          <w:p>
            <w:pPr>
              <w:jc w:val="center"/>
              <w:rPr>
                <w:rFonts w:hint="eastAsia" w:eastAsia="仿宋_GB2312"/>
                <w:lang w:val="en-US" w:eastAsia="zh-CN"/>
              </w:rPr>
            </w:pPr>
            <w:r>
              <w:rPr>
                <w:rFonts w:hint="eastAsia"/>
                <w:lang w:val="en-US" w:eastAsia="zh-CN"/>
              </w:rPr>
              <w:t>6</w:t>
            </w:r>
          </w:p>
        </w:tc>
        <w:tc>
          <w:tcPr>
            <w:tcW w:w="3513" w:type="dxa"/>
            <w:vMerge w:val="restart"/>
            <w:noWrap w:val="0"/>
            <w:vAlign w:val="top"/>
          </w:tcPr>
          <w:p>
            <w:pPr>
              <w:rPr>
                <w:rFonts w:hint="eastAsia" w:eastAsia="仿宋_GB2312" w:cs="Arial"/>
                <w:color w:val="000000"/>
                <w:sz w:val="22"/>
                <w:szCs w:val="22"/>
                <w:shd w:val="clear" w:color="auto" w:fill="FFFFFF"/>
              </w:rPr>
            </w:pPr>
          </w:p>
          <w:p>
            <w:pPr>
              <w:ind w:firstLine="440" w:firstLineChars="200"/>
              <w:rPr>
                <w:rFonts w:hint="eastAsia" w:eastAsia="仿宋_GB2312" w:cs="Arial"/>
                <w:color w:val="000000"/>
                <w:sz w:val="22"/>
                <w:szCs w:val="22"/>
                <w:shd w:val="clear" w:color="auto" w:fill="FFFFFF"/>
                <w:lang w:val="en-US" w:eastAsia="zh-CN"/>
              </w:rPr>
            </w:pPr>
            <w:r>
              <w:rPr>
                <w:rFonts w:hint="eastAsia" w:eastAsia="仿宋_GB2312" w:cs="Arial"/>
                <w:color w:val="000000"/>
                <w:sz w:val="22"/>
                <w:szCs w:val="22"/>
                <w:shd w:val="clear" w:color="auto" w:fill="FFFFFF"/>
              </w:rPr>
              <w:t>组织指导伤病残退役军人服务管理和抚恤工作。</w:t>
            </w:r>
            <w:r>
              <w:rPr>
                <w:rFonts w:hint="eastAsia" w:eastAsia="仿宋_GB2312" w:cs="Arial"/>
                <w:color w:val="000000"/>
                <w:sz w:val="22"/>
                <w:szCs w:val="22"/>
                <w:shd w:val="clear" w:color="auto" w:fill="FFFFFF"/>
                <w:lang w:val="en-US" w:eastAsia="zh-CN"/>
              </w:rPr>
              <w:t>拟订有关退役军人医疗、疗养、养老等机构的规划政策并指导实施；承担不适宜继续服役的伤病残军人相关工作；组织指导军供服务保障工作。</w:t>
            </w:r>
          </w:p>
          <w:p>
            <w:pPr>
              <w:ind w:firstLine="440" w:firstLineChars="200"/>
              <w:rPr>
                <w:rFonts w:hint="eastAsia" w:eastAsia="仿宋_GB2312" w:cs="Arial"/>
                <w:color w:val="000000"/>
                <w:sz w:val="22"/>
                <w:szCs w:val="22"/>
                <w:shd w:val="clear" w:color="auto" w:fill="FFFFFF"/>
              </w:rPr>
            </w:pPr>
          </w:p>
        </w:tc>
        <w:tc>
          <w:tcPr>
            <w:tcW w:w="5205" w:type="dxa"/>
            <w:noWrap w:val="0"/>
            <w:vAlign w:val="top"/>
          </w:tcPr>
          <w:p>
            <w:pPr>
              <w:ind w:firstLine="440" w:firstLineChars="200"/>
              <w:rPr>
                <w:rFonts w:hint="eastAsia" w:eastAsia="仿宋_GB2312" w:cs="Arial"/>
                <w:color w:val="000000"/>
                <w:sz w:val="22"/>
                <w:szCs w:val="22"/>
                <w:shd w:val="clear" w:color="auto" w:fill="FFFFFF"/>
                <w:lang w:val="en-US" w:eastAsia="zh-CN"/>
              </w:rPr>
            </w:pPr>
          </w:p>
          <w:p>
            <w:pPr>
              <w:numPr>
                <w:ilvl w:val="0"/>
                <w:numId w:val="6"/>
              </w:numPr>
              <w:ind w:firstLine="220" w:firstLineChars="100"/>
              <w:rPr>
                <w:rFonts w:hint="eastAsia" w:cs="Arial"/>
                <w:color w:val="000000"/>
                <w:kern w:val="10"/>
                <w:sz w:val="22"/>
                <w:szCs w:val="22"/>
                <w:shd w:val="clear" w:color="auto" w:fill="FFFFFF"/>
                <w:lang w:val="en-US" w:eastAsia="zh-CN" w:bidi="ar-SA"/>
              </w:rPr>
            </w:pPr>
            <w:r>
              <w:rPr>
                <w:rFonts w:hint="eastAsia" w:cs="Arial"/>
                <w:color w:val="000000"/>
                <w:kern w:val="10"/>
                <w:sz w:val="22"/>
                <w:szCs w:val="22"/>
                <w:shd w:val="clear" w:color="auto" w:fill="FFFFFF"/>
                <w:lang w:val="en-US" w:eastAsia="zh-CN" w:bidi="ar-SA"/>
              </w:rPr>
              <w:t>负责伤残、带病回乡退役军人的初审、上报工作。</w:t>
            </w:r>
          </w:p>
          <w:p>
            <w:pPr>
              <w:numPr>
                <w:ilvl w:val="0"/>
                <w:numId w:val="6"/>
              </w:numPr>
              <w:ind w:firstLine="220" w:firstLineChars="100"/>
              <w:rPr>
                <w:rFonts w:hint="eastAsia" w:ascii="Times New Roman" w:hAnsi="Times New Roman" w:eastAsia="仿宋_GB2312" w:cs="Arial"/>
                <w:color w:val="000000"/>
                <w:kern w:val="10"/>
                <w:sz w:val="22"/>
                <w:szCs w:val="22"/>
                <w:shd w:val="clear" w:color="auto" w:fill="FFFFFF"/>
                <w:lang w:val="en-US" w:eastAsia="zh-CN" w:bidi="ar-SA"/>
              </w:rPr>
            </w:pPr>
            <w:r>
              <w:rPr>
                <w:rFonts w:hint="eastAsia" w:cs="Arial"/>
                <w:color w:val="000000"/>
                <w:kern w:val="10"/>
                <w:sz w:val="22"/>
                <w:szCs w:val="22"/>
                <w:shd w:val="clear" w:color="auto" w:fill="FFFFFF"/>
                <w:lang w:val="en-US" w:eastAsia="zh-CN" w:bidi="ar-SA"/>
              </w:rPr>
              <w:t>负责优抚对象抚恤金和生活补助费发放，组织协调落实重点优抚对象医疗保障工作。</w:t>
            </w:r>
          </w:p>
          <w:p>
            <w:pPr>
              <w:numPr>
                <w:ilvl w:val="0"/>
                <w:numId w:val="0"/>
              </w:numPr>
              <w:rPr>
                <w:rFonts w:hint="eastAsia" w:ascii="Times New Roman" w:hAnsi="Times New Roman" w:eastAsia="仿宋_GB2312" w:cs="Arial"/>
                <w:color w:val="000000"/>
                <w:kern w:val="10"/>
                <w:sz w:val="22"/>
                <w:szCs w:val="22"/>
                <w:shd w:val="clear" w:color="auto" w:fill="FFFFFF"/>
                <w:lang w:val="en-US" w:eastAsia="zh-CN" w:bidi="ar-SA"/>
              </w:rPr>
            </w:pPr>
          </w:p>
        </w:tc>
        <w:tc>
          <w:tcPr>
            <w:tcW w:w="2505" w:type="dxa"/>
            <w:noWrap w:val="0"/>
            <w:vAlign w:val="top"/>
          </w:tcPr>
          <w:p>
            <w:pPr>
              <w:jc w:val="center"/>
              <w:rPr>
                <w:rFonts w:hint="eastAsia"/>
                <w:sz w:val="24"/>
                <w:szCs w:val="24"/>
                <w:lang w:eastAsia="zh-CN"/>
              </w:rPr>
            </w:pPr>
          </w:p>
          <w:p>
            <w:pPr>
              <w:jc w:val="center"/>
              <w:rPr>
                <w:rFonts w:hint="eastAsia"/>
                <w:sz w:val="24"/>
                <w:szCs w:val="24"/>
                <w:lang w:eastAsia="zh-CN"/>
              </w:rPr>
            </w:pPr>
          </w:p>
          <w:p>
            <w:pPr>
              <w:jc w:val="center"/>
              <w:rPr>
                <w:rFonts w:hint="eastAsia"/>
                <w:sz w:val="24"/>
                <w:szCs w:val="24"/>
              </w:rPr>
            </w:pPr>
            <w:r>
              <w:rPr>
                <w:rFonts w:hint="eastAsia"/>
                <w:sz w:val="24"/>
                <w:szCs w:val="24"/>
                <w:lang w:eastAsia="zh-CN"/>
              </w:rPr>
              <w:t>拥军优抚和褒扬纪念股</w:t>
            </w:r>
          </w:p>
        </w:tc>
        <w:tc>
          <w:tcPr>
            <w:tcW w:w="1931" w:type="dxa"/>
            <w:vMerge w:val="restart"/>
            <w:noWrap w:val="0"/>
            <w:vAlign w:val="top"/>
          </w:tcPr>
          <w:p>
            <w:pPr>
              <w:rPr>
                <w:rFonts w:hint="eastAsia"/>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3" w:hRule="atLeast"/>
        </w:trPr>
        <w:tc>
          <w:tcPr>
            <w:tcW w:w="972" w:type="dxa"/>
            <w:vMerge w:val="continue"/>
            <w:noWrap w:val="0"/>
            <w:vAlign w:val="top"/>
          </w:tcPr>
          <w:p>
            <w:pPr>
              <w:ind w:firstLine="340" w:firstLineChars="100"/>
            </w:pPr>
          </w:p>
        </w:tc>
        <w:tc>
          <w:tcPr>
            <w:tcW w:w="3513" w:type="dxa"/>
            <w:vMerge w:val="continue"/>
            <w:noWrap w:val="0"/>
            <w:vAlign w:val="top"/>
          </w:tcPr>
          <w:p>
            <w:pPr>
              <w:ind w:firstLine="340" w:firstLineChars="100"/>
            </w:pPr>
          </w:p>
        </w:tc>
        <w:tc>
          <w:tcPr>
            <w:tcW w:w="5205" w:type="dxa"/>
            <w:noWrap w:val="0"/>
            <w:vAlign w:val="top"/>
          </w:tcPr>
          <w:p>
            <w:pPr>
              <w:numPr>
                <w:ilvl w:val="0"/>
                <w:numId w:val="0"/>
              </w:numPr>
              <w:rPr>
                <w:rFonts w:hint="eastAsia" w:cs="Arial"/>
                <w:color w:val="000000"/>
                <w:kern w:val="10"/>
                <w:sz w:val="22"/>
                <w:szCs w:val="22"/>
                <w:shd w:val="clear" w:color="auto" w:fill="FFFFFF"/>
                <w:lang w:val="en-US" w:eastAsia="zh-CN" w:bidi="ar-SA"/>
              </w:rPr>
            </w:pPr>
          </w:p>
          <w:p>
            <w:pPr>
              <w:numPr>
                <w:ilvl w:val="0"/>
                <w:numId w:val="6"/>
              </w:numPr>
              <w:ind w:firstLine="220" w:firstLineChars="100"/>
              <w:rPr>
                <w:rFonts w:hint="eastAsia" w:cs="Arial"/>
                <w:color w:val="000000"/>
                <w:kern w:val="10"/>
                <w:sz w:val="22"/>
                <w:szCs w:val="22"/>
                <w:shd w:val="clear" w:color="auto" w:fill="FFFFFF"/>
                <w:lang w:val="en-US" w:eastAsia="zh-CN" w:bidi="ar-SA"/>
              </w:rPr>
            </w:pPr>
            <w:r>
              <w:rPr>
                <w:rFonts w:hint="eastAsia" w:cs="Arial"/>
                <w:color w:val="000000"/>
                <w:kern w:val="10"/>
                <w:sz w:val="22"/>
                <w:szCs w:val="22"/>
                <w:shd w:val="clear" w:color="auto" w:fill="FFFFFF"/>
                <w:lang w:val="en-US" w:eastAsia="zh-CN" w:bidi="ar-SA"/>
              </w:rPr>
              <w:t>做好优抚对象的短期疗养工作。</w:t>
            </w:r>
          </w:p>
        </w:tc>
        <w:tc>
          <w:tcPr>
            <w:tcW w:w="2505" w:type="dxa"/>
            <w:noWrap w:val="0"/>
            <w:vAlign w:val="top"/>
          </w:tcPr>
          <w:p>
            <w:pPr>
              <w:ind w:firstLine="240" w:firstLineChars="100"/>
              <w:rPr>
                <w:rFonts w:hint="eastAsia"/>
                <w:sz w:val="24"/>
                <w:szCs w:val="24"/>
                <w:lang w:eastAsia="zh-CN"/>
              </w:rPr>
            </w:pPr>
          </w:p>
          <w:p>
            <w:pPr>
              <w:ind w:firstLine="240" w:firstLineChars="100"/>
              <w:rPr>
                <w:rFonts w:hint="eastAsia" w:cs="Arial"/>
                <w:color w:val="000000"/>
                <w:kern w:val="10"/>
                <w:sz w:val="22"/>
                <w:szCs w:val="22"/>
                <w:shd w:val="clear" w:color="auto" w:fill="FFFFFF"/>
                <w:lang w:val="en-US" w:eastAsia="zh-CN" w:bidi="ar-SA"/>
              </w:rPr>
            </w:pPr>
            <w:r>
              <w:rPr>
                <w:rFonts w:hint="eastAsia"/>
                <w:sz w:val="24"/>
                <w:szCs w:val="24"/>
                <w:lang w:eastAsia="zh-CN"/>
              </w:rPr>
              <w:t>移交安置股</w:t>
            </w:r>
          </w:p>
        </w:tc>
        <w:tc>
          <w:tcPr>
            <w:tcW w:w="1931" w:type="dxa"/>
            <w:vMerge w:val="continue"/>
            <w:noWrap w:val="0"/>
            <w:vAlign w:val="top"/>
          </w:tcPr>
          <w:p>
            <w:pPr>
              <w:ind w:firstLine="220" w:firstLineChars="100"/>
              <w:rPr>
                <w:rFonts w:hint="eastAsia" w:cs="Arial"/>
                <w:color w:val="000000"/>
                <w:kern w:val="10"/>
                <w:sz w:val="22"/>
                <w:szCs w:val="22"/>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2" w:hRule="atLeast"/>
        </w:trPr>
        <w:tc>
          <w:tcPr>
            <w:tcW w:w="972" w:type="dxa"/>
            <w:noWrap w:val="0"/>
            <w:vAlign w:val="top"/>
          </w:tcPr>
          <w:p>
            <w:pPr>
              <w:jc w:val="center"/>
              <w:rPr>
                <w:rFonts w:hint="eastAsia"/>
                <w:lang w:val="en-US" w:eastAsia="zh-CN"/>
              </w:rPr>
            </w:pPr>
          </w:p>
          <w:p>
            <w:pPr>
              <w:jc w:val="center"/>
              <w:rPr>
                <w:rFonts w:hint="eastAsia" w:eastAsia="仿宋_GB2312"/>
                <w:lang w:val="en-US" w:eastAsia="zh-CN"/>
              </w:rPr>
            </w:pPr>
            <w:r>
              <w:rPr>
                <w:rFonts w:hint="eastAsia"/>
                <w:lang w:val="en-US" w:eastAsia="zh-CN"/>
              </w:rPr>
              <w:t>7</w:t>
            </w:r>
          </w:p>
        </w:tc>
        <w:tc>
          <w:tcPr>
            <w:tcW w:w="3513" w:type="dxa"/>
            <w:noWrap w:val="0"/>
            <w:vAlign w:val="top"/>
          </w:tcPr>
          <w:p>
            <w:pPr>
              <w:ind w:firstLine="220" w:firstLineChars="100"/>
              <w:rPr>
                <w:rFonts w:hint="eastAsia" w:eastAsia="仿宋_GB2312" w:cs="Arial"/>
                <w:color w:val="000000"/>
                <w:sz w:val="22"/>
                <w:szCs w:val="22"/>
                <w:shd w:val="clear" w:color="auto" w:fill="FFFFFF"/>
              </w:rPr>
            </w:pPr>
            <w:r>
              <w:rPr>
                <w:rFonts w:hint="eastAsia" w:eastAsia="仿宋_GB2312" w:cs="Arial"/>
                <w:color w:val="000000"/>
                <w:sz w:val="22"/>
                <w:szCs w:val="22"/>
                <w:shd w:val="clear" w:color="auto" w:fill="FFFFFF"/>
              </w:rPr>
              <w:t>组织指导全县拥军优属工作。</w:t>
            </w:r>
            <w:r>
              <w:rPr>
                <w:rFonts w:hint="eastAsia" w:eastAsia="仿宋_GB2312" w:cs="Arial"/>
                <w:color w:val="000000"/>
                <w:sz w:val="22"/>
                <w:szCs w:val="22"/>
                <w:shd w:val="clear" w:color="auto" w:fill="FFFFFF"/>
                <w:lang w:val="en-US" w:eastAsia="zh-CN"/>
              </w:rPr>
              <w:t>负责现役军人、退役军人、军队文职人员、军属和符合条件的国家机关工作人员、人民警察、参战民兵民工、消防员等全县优抚对象的优待、抚恤等工作；组织落实国民党抗战老兵等有关人员优待政策</w:t>
            </w:r>
            <w:r>
              <w:rPr>
                <w:rFonts w:hint="eastAsia" w:cs="Arial"/>
                <w:color w:val="000000"/>
                <w:sz w:val="22"/>
                <w:szCs w:val="22"/>
                <w:shd w:val="clear" w:color="auto" w:fill="FFFFFF"/>
                <w:lang w:val="en-US" w:eastAsia="zh-CN"/>
              </w:rPr>
              <w:t>。</w:t>
            </w:r>
          </w:p>
        </w:tc>
        <w:tc>
          <w:tcPr>
            <w:tcW w:w="5205" w:type="dxa"/>
            <w:noWrap w:val="0"/>
            <w:vAlign w:val="top"/>
          </w:tcPr>
          <w:p>
            <w:pPr>
              <w:ind w:firstLine="440" w:firstLineChars="200"/>
              <w:rPr>
                <w:rFonts w:hint="eastAsia" w:eastAsia="仿宋_GB2312" w:cs="Arial"/>
                <w:color w:val="000000"/>
                <w:sz w:val="22"/>
                <w:szCs w:val="22"/>
                <w:shd w:val="clear" w:color="auto" w:fill="FFFFFF"/>
                <w:lang w:val="en-US" w:eastAsia="zh-CN"/>
              </w:rPr>
            </w:pPr>
          </w:p>
          <w:p>
            <w:pPr>
              <w:ind w:firstLine="440" w:firstLineChars="200"/>
              <w:rPr>
                <w:rFonts w:hint="eastAsia" w:eastAsia="仿宋_GB2312" w:cs="Arial"/>
                <w:color w:val="000000"/>
                <w:sz w:val="22"/>
                <w:szCs w:val="22"/>
                <w:shd w:val="clear" w:color="auto" w:fill="FFFFFF"/>
                <w:lang w:val="en-US" w:eastAsia="zh-CN"/>
              </w:rPr>
            </w:pPr>
          </w:p>
          <w:p>
            <w:pPr>
              <w:numPr>
                <w:ilvl w:val="0"/>
                <w:numId w:val="7"/>
              </w:numPr>
              <w:ind w:firstLine="220" w:firstLineChars="100"/>
              <w:rPr>
                <w:rFonts w:hint="eastAsia" w:cs="Arial"/>
                <w:color w:val="000000"/>
                <w:kern w:val="10"/>
                <w:sz w:val="22"/>
                <w:szCs w:val="22"/>
                <w:shd w:val="clear" w:color="auto" w:fill="FFFFFF"/>
                <w:lang w:val="en-US" w:eastAsia="zh-CN" w:bidi="ar-SA"/>
              </w:rPr>
            </w:pPr>
            <w:r>
              <w:rPr>
                <w:rFonts w:hint="eastAsia" w:cs="Arial"/>
                <w:color w:val="000000"/>
                <w:kern w:val="10"/>
                <w:sz w:val="22"/>
                <w:szCs w:val="22"/>
                <w:shd w:val="clear" w:color="auto" w:fill="FFFFFF"/>
                <w:lang w:val="en-US" w:eastAsia="zh-CN" w:bidi="ar-SA"/>
              </w:rPr>
              <w:t>做好八一期间、春节期间优抚对象走访慰问工作，积极开展双拥活动；</w:t>
            </w:r>
          </w:p>
          <w:p>
            <w:pPr>
              <w:numPr>
                <w:ilvl w:val="0"/>
                <w:numId w:val="7"/>
              </w:numPr>
              <w:ind w:firstLine="220" w:firstLineChars="100"/>
              <w:rPr>
                <w:rFonts w:hint="eastAsia" w:ascii="Times New Roman" w:hAnsi="Times New Roman" w:eastAsia="仿宋_GB2312" w:cs="Arial"/>
                <w:color w:val="000000"/>
                <w:kern w:val="10"/>
                <w:sz w:val="22"/>
                <w:szCs w:val="22"/>
                <w:shd w:val="clear" w:color="auto" w:fill="FFFFFF"/>
                <w:lang w:val="en-US" w:eastAsia="zh-CN" w:bidi="ar-SA"/>
              </w:rPr>
            </w:pPr>
            <w:r>
              <w:rPr>
                <w:rFonts w:hint="eastAsia" w:cs="Arial"/>
                <w:color w:val="000000"/>
                <w:kern w:val="10"/>
                <w:sz w:val="22"/>
                <w:szCs w:val="22"/>
                <w:shd w:val="clear" w:color="auto" w:fill="FFFFFF"/>
                <w:lang w:val="en-US" w:eastAsia="zh-CN" w:bidi="ar-SA"/>
              </w:rPr>
              <w:t>负责全县优抚对象的优待、优抚工作，足额、及时发放到位。</w:t>
            </w:r>
          </w:p>
        </w:tc>
        <w:tc>
          <w:tcPr>
            <w:tcW w:w="2505" w:type="dxa"/>
            <w:noWrap w:val="0"/>
            <w:vAlign w:val="top"/>
          </w:tcPr>
          <w:p>
            <w:pPr>
              <w:jc w:val="center"/>
              <w:rPr>
                <w:rFonts w:hint="eastAsia"/>
                <w:sz w:val="24"/>
                <w:szCs w:val="24"/>
                <w:lang w:eastAsia="zh-CN"/>
              </w:rPr>
            </w:pPr>
          </w:p>
          <w:p>
            <w:pPr>
              <w:jc w:val="center"/>
              <w:rPr>
                <w:rFonts w:hint="eastAsia"/>
                <w:sz w:val="24"/>
                <w:szCs w:val="24"/>
                <w:lang w:eastAsia="zh-CN"/>
              </w:rPr>
            </w:pPr>
          </w:p>
          <w:p>
            <w:pPr>
              <w:jc w:val="center"/>
              <w:rPr>
                <w:rFonts w:hint="eastAsia"/>
                <w:sz w:val="24"/>
                <w:szCs w:val="24"/>
                <w:lang w:eastAsia="zh-CN"/>
              </w:rPr>
            </w:pPr>
          </w:p>
          <w:p>
            <w:pPr>
              <w:jc w:val="center"/>
              <w:rPr>
                <w:rFonts w:hint="eastAsia"/>
                <w:sz w:val="24"/>
                <w:szCs w:val="24"/>
              </w:rPr>
            </w:pPr>
            <w:r>
              <w:rPr>
                <w:rFonts w:hint="eastAsia"/>
                <w:sz w:val="24"/>
                <w:szCs w:val="24"/>
                <w:lang w:eastAsia="zh-CN"/>
              </w:rPr>
              <w:t>拥军优抚和褒扬纪念股</w:t>
            </w:r>
          </w:p>
        </w:tc>
        <w:tc>
          <w:tcPr>
            <w:tcW w:w="1931" w:type="dxa"/>
            <w:noWrap w:val="0"/>
            <w:vAlign w:val="top"/>
          </w:tcPr>
          <w:p>
            <w:pPr>
              <w:rPr>
                <w:rFonts w:hint="eastAsia"/>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2" w:hRule="atLeast"/>
        </w:trPr>
        <w:tc>
          <w:tcPr>
            <w:tcW w:w="972" w:type="dxa"/>
            <w:noWrap w:val="0"/>
            <w:vAlign w:val="top"/>
          </w:tcPr>
          <w:p>
            <w:pPr>
              <w:jc w:val="center"/>
              <w:rPr>
                <w:rFonts w:hint="eastAsia"/>
                <w:lang w:val="en-US" w:eastAsia="zh-CN"/>
              </w:rPr>
            </w:pPr>
          </w:p>
          <w:p>
            <w:pPr>
              <w:jc w:val="center"/>
              <w:rPr>
                <w:rFonts w:hint="eastAsia" w:eastAsia="仿宋_GB2312"/>
                <w:lang w:val="en-US" w:eastAsia="zh-CN"/>
              </w:rPr>
            </w:pPr>
            <w:r>
              <w:rPr>
                <w:rFonts w:hint="eastAsia"/>
                <w:lang w:val="en-US" w:eastAsia="zh-CN"/>
              </w:rPr>
              <w:t>8</w:t>
            </w:r>
          </w:p>
        </w:tc>
        <w:tc>
          <w:tcPr>
            <w:tcW w:w="3513" w:type="dxa"/>
            <w:noWrap w:val="0"/>
            <w:vAlign w:val="top"/>
          </w:tcPr>
          <w:p>
            <w:pPr>
              <w:rPr>
                <w:rFonts w:hint="eastAsia" w:eastAsia="仿宋_GB2312" w:cs="Arial"/>
                <w:color w:val="000000"/>
                <w:sz w:val="22"/>
                <w:szCs w:val="22"/>
                <w:shd w:val="clear" w:color="auto" w:fill="FFFFFF"/>
              </w:rPr>
            </w:pPr>
          </w:p>
          <w:p>
            <w:pPr>
              <w:ind w:firstLine="440" w:firstLineChars="200"/>
              <w:rPr>
                <w:rFonts w:hint="eastAsia" w:eastAsia="仿宋_GB2312" w:cs="Arial"/>
                <w:color w:val="000000"/>
                <w:sz w:val="22"/>
                <w:szCs w:val="22"/>
                <w:shd w:val="clear" w:color="auto" w:fill="FFFFFF"/>
              </w:rPr>
            </w:pPr>
            <w:r>
              <w:rPr>
                <w:rFonts w:hint="eastAsia" w:eastAsia="仿宋_GB2312" w:cs="Arial"/>
                <w:color w:val="000000"/>
                <w:sz w:val="22"/>
                <w:szCs w:val="22"/>
                <w:shd w:val="clear" w:color="auto" w:fill="FFFFFF"/>
              </w:rPr>
              <w:t>负责烈士及退役军人荣誉奖励、军人公墓管理维护、纪念活动等工作。</w:t>
            </w:r>
            <w:r>
              <w:rPr>
                <w:rFonts w:hint="eastAsia" w:ascii="Times New Roman" w:hAnsi="Times New Roman" w:eastAsia="仿宋_GB2312" w:cs="Arial"/>
                <w:color w:val="000000"/>
                <w:sz w:val="22"/>
                <w:szCs w:val="22"/>
              </w:rPr>
              <w:t>依法承担英雄烈士保护相关工作，审核拟列入全国、省、市、</w:t>
            </w:r>
            <w:r>
              <w:rPr>
                <w:rFonts w:hint="eastAsia" w:eastAsia="仿宋_GB2312" w:cs="Arial"/>
                <w:color w:val="000000"/>
                <w:sz w:val="22"/>
                <w:szCs w:val="22"/>
                <w:shd w:val="clear" w:color="auto" w:fill="FFFFFF"/>
                <w:lang w:val="en-US" w:eastAsia="zh-CN"/>
              </w:rPr>
              <w:t>县级</w:t>
            </w:r>
            <w:r>
              <w:rPr>
                <w:rFonts w:hint="eastAsia" w:ascii="Times New Roman" w:hAnsi="Times New Roman" w:eastAsia="仿宋_GB2312" w:cs="Arial"/>
                <w:color w:val="000000"/>
                <w:sz w:val="22"/>
                <w:szCs w:val="22"/>
              </w:rPr>
              <w:t>重点保护单位的烈士纪念建筑物名录，总结表彰和宣传退役军人、退役军人工作单位和个人先进典型事迹。</w:t>
            </w:r>
          </w:p>
        </w:tc>
        <w:tc>
          <w:tcPr>
            <w:tcW w:w="5205" w:type="dxa"/>
            <w:noWrap w:val="0"/>
            <w:vAlign w:val="top"/>
          </w:tcPr>
          <w:p>
            <w:pPr>
              <w:numPr>
                <w:ilvl w:val="0"/>
                <w:numId w:val="0"/>
              </w:numPr>
              <w:rPr>
                <w:rFonts w:hint="eastAsia"/>
                <w:sz w:val="24"/>
                <w:szCs w:val="24"/>
                <w:lang w:eastAsia="zh-CN"/>
              </w:rPr>
            </w:pPr>
          </w:p>
          <w:p>
            <w:pPr>
              <w:numPr>
                <w:ilvl w:val="0"/>
                <w:numId w:val="0"/>
              </w:numPr>
              <w:rPr>
                <w:rFonts w:hint="eastAsia"/>
                <w:sz w:val="24"/>
                <w:szCs w:val="24"/>
                <w:lang w:eastAsia="zh-CN"/>
              </w:rPr>
            </w:pPr>
          </w:p>
          <w:p>
            <w:pPr>
              <w:numPr>
                <w:ilvl w:val="0"/>
                <w:numId w:val="8"/>
              </w:numPr>
              <w:ind w:firstLine="480" w:firstLineChars="200"/>
              <w:rPr>
                <w:rFonts w:hint="eastAsia"/>
                <w:sz w:val="24"/>
                <w:szCs w:val="24"/>
                <w:lang w:eastAsia="zh-CN"/>
              </w:rPr>
            </w:pPr>
            <w:r>
              <w:rPr>
                <w:rFonts w:hint="eastAsia"/>
                <w:sz w:val="24"/>
                <w:szCs w:val="24"/>
                <w:lang w:eastAsia="zh-CN"/>
              </w:rPr>
              <w:t>负责烈士褒扬、烈士纪念馆设施管理维护、纪念活动等工作，承担英雄烈士保护工作；</w:t>
            </w:r>
          </w:p>
          <w:p>
            <w:pPr>
              <w:numPr>
                <w:ilvl w:val="0"/>
                <w:numId w:val="8"/>
              </w:numPr>
              <w:ind w:firstLine="480" w:firstLineChars="200"/>
              <w:rPr>
                <w:rFonts w:hint="eastAsia"/>
                <w:sz w:val="24"/>
                <w:szCs w:val="24"/>
                <w:lang w:eastAsia="zh-CN"/>
              </w:rPr>
            </w:pPr>
            <w:r>
              <w:rPr>
                <w:rFonts w:hint="eastAsia"/>
                <w:sz w:val="24"/>
                <w:szCs w:val="24"/>
                <w:lang w:eastAsia="zh-CN"/>
              </w:rPr>
              <w:t>负责退役军人思想政治、舆论宣传、总结表扬表彰、荣誉奖励和信访工作。</w:t>
            </w:r>
          </w:p>
          <w:p>
            <w:pPr>
              <w:ind w:firstLine="480" w:firstLineChars="200"/>
              <w:rPr>
                <w:rFonts w:hint="eastAsia"/>
                <w:sz w:val="24"/>
                <w:szCs w:val="24"/>
                <w:lang w:eastAsia="zh-CN"/>
              </w:rPr>
            </w:pPr>
          </w:p>
        </w:tc>
        <w:tc>
          <w:tcPr>
            <w:tcW w:w="2505" w:type="dxa"/>
            <w:noWrap w:val="0"/>
            <w:vAlign w:val="top"/>
          </w:tcPr>
          <w:p>
            <w:pPr>
              <w:jc w:val="center"/>
              <w:rPr>
                <w:rFonts w:hint="eastAsia"/>
                <w:sz w:val="24"/>
                <w:szCs w:val="24"/>
                <w:lang w:eastAsia="zh-CN"/>
              </w:rPr>
            </w:pPr>
          </w:p>
          <w:p>
            <w:pPr>
              <w:jc w:val="center"/>
              <w:rPr>
                <w:rFonts w:hint="eastAsia"/>
                <w:sz w:val="24"/>
                <w:szCs w:val="24"/>
                <w:lang w:eastAsia="zh-CN"/>
              </w:rPr>
            </w:pPr>
          </w:p>
          <w:p>
            <w:pPr>
              <w:jc w:val="center"/>
              <w:rPr>
                <w:rFonts w:hint="eastAsia" w:eastAsia="仿宋_GB2312"/>
                <w:sz w:val="24"/>
                <w:szCs w:val="24"/>
                <w:lang w:eastAsia="zh-CN"/>
              </w:rPr>
            </w:pPr>
            <w:r>
              <w:rPr>
                <w:rFonts w:hint="eastAsia"/>
                <w:sz w:val="24"/>
                <w:szCs w:val="24"/>
                <w:lang w:eastAsia="zh-CN"/>
              </w:rPr>
              <w:t>拥军优抚和褒扬纪念股</w:t>
            </w:r>
          </w:p>
        </w:tc>
        <w:tc>
          <w:tcPr>
            <w:tcW w:w="1931" w:type="dxa"/>
            <w:noWrap w:val="0"/>
            <w:vAlign w:val="top"/>
          </w:tcPr>
          <w:p>
            <w:pPr>
              <w:rPr>
                <w:rFonts w:hint="eastAsia"/>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72" w:type="dxa"/>
            <w:noWrap w:val="0"/>
            <w:vAlign w:val="top"/>
          </w:tcPr>
          <w:p>
            <w:pPr>
              <w:jc w:val="center"/>
              <w:rPr>
                <w:rFonts w:hint="eastAsia"/>
                <w:lang w:val="en-US" w:eastAsia="zh-CN"/>
              </w:rPr>
            </w:pPr>
          </w:p>
          <w:p>
            <w:pPr>
              <w:jc w:val="center"/>
              <w:rPr>
                <w:rFonts w:hint="eastAsia" w:eastAsia="仿宋_GB2312"/>
                <w:lang w:val="en-US" w:eastAsia="zh-CN"/>
              </w:rPr>
            </w:pPr>
            <w:r>
              <w:rPr>
                <w:rFonts w:hint="eastAsia"/>
                <w:lang w:val="en-US" w:eastAsia="zh-CN"/>
              </w:rPr>
              <w:t>9</w:t>
            </w:r>
          </w:p>
        </w:tc>
        <w:tc>
          <w:tcPr>
            <w:tcW w:w="3513" w:type="dxa"/>
            <w:noWrap w:val="0"/>
            <w:vAlign w:val="top"/>
          </w:tcPr>
          <w:p>
            <w:pPr>
              <w:ind w:firstLine="220" w:firstLineChars="100"/>
              <w:rPr>
                <w:rFonts w:hint="eastAsia" w:eastAsia="仿宋_GB2312" w:cs="Arial"/>
                <w:color w:val="000000"/>
                <w:sz w:val="22"/>
                <w:szCs w:val="22"/>
                <w:shd w:val="clear" w:color="auto" w:fill="FFFFFF"/>
              </w:rPr>
            </w:pPr>
          </w:p>
          <w:p>
            <w:pPr>
              <w:ind w:firstLine="220" w:firstLineChars="100"/>
              <w:rPr>
                <w:rFonts w:hint="eastAsia" w:eastAsia="仿宋_GB2312" w:cs="Arial"/>
                <w:color w:val="000000"/>
                <w:sz w:val="22"/>
                <w:szCs w:val="22"/>
                <w:shd w:val="clear" w:color="auto" w:fill="FFFFFF"/>
              </w:rPr>
            </w:pPr>
            <w:r>
              <w:rPr>
                <w:rFonts w:hint="eastAsia" w:eastAsia="仿宋_GB2312" w:cs="Arial"/>
                <w:color w:val="000000"/>
                <w:sz w:val="22"/>
                <w:szCs w:val="22"/>
                <w:shd w:val="clear" w:color="auto" w:fill="FFFFFF"/>
              </w:rPr>
              <w:t>指导并监督检查退役军人相关法律法规和政策措施的落实，组织开展退役军人权益维护和有关人员的帮扶援助工作。</w:t>
            </w:r>
          </w:p>
          <w:p>
            <w:pPr>
              <w:rPr>
                <w:rFonts w:hint="eastAsia" w:eastAsia="仿宋_GB2312" w:cs="Arial"/>
                <w:color w:val="000000"/>
                <w:sz w:val="22"/>
                <w:szCs w:val="22"/>
                <w:shd w:val="clear" w:color="auto" w:fill="FFFFFF"/>
              </w:rPr>
            </w:pPr>
          </w:p>
        </w:tc>
        <w:tc>
          <w:tcPr>
            <w:tcW w:w="5205" w:type="dxa"/>
            <w:noWrap w:val="0"/>
            <w:vAlign w:val="top"/>
          </w:tcPr>
          <w:p>
            <w:pPr>
              <w:rPr>
                <w:rFonts w:hint="eastAsia"/>
                <w:sz w:val="24"/>
                <w:szCs w:val="24"/>
              </w:rPr>
            </w:pPr>
          </w:p>
          <w:p>
            <w:pPr>
              <w:numPr>
                <w:ilvl w:val="0"/>
                <w:numId w:val="9"/>
              </w:numPr>
              <w:ind w:firstLine="440" w:firstLineChars="200"/>
              <w:rPr>
                <w:rFonts w:hint="eastAsia" w:eastAsia="仿宋_GB2312" w:cs="Arial"/>
                <w:color w:val="000000"/>
                <w:sz w:val="22"/>
                <w:szCs w:val="22"/>
                <w:shd w:val="clear" w:color="auto" w:fill="FFFFFF"/>
              </w:rPr>
            </w:pPr>
            <w:r>
              <w:rPr>
                <w:rFonts w:hint="eastAsia" w:eastAsia="仿宋_GB2312" w:cs="Arial"/>
                <w:color w:val="000000"/>
                <w:sz w:val="22"/>
                <w:szCs w:val="22"/>
                <w:shd w:val="clear" w:color="auto" w:fill="FFFFFF"/>
              </w:rPr>
              <w:t>监督检查退役军人相关法律法规和政策措施的落实，</w:t>
            </w:r>
          </w:p>
          <w:p>
            <w:pPr>
              <w:numPr>
                <w:ilvl w:val="0"/>
                <w:numId w:val="9"/>
              </w:numPr>
              <w:ind w:firstLine="440" w:firstLineChars="200"/>
              <w:rPr>
                <w:rFonts w:hint="eastAsia"/>
                <w:sz w:val="24"/>
                <w:szCs w:val="24"/>
              </w:rPr>
            </w:pPr>
            <w:r>
              <w:rPr>
                <w:rFonts w:hint="eastAsia" w:cs="Arial"/>
                <w:color w:val="000000"/>
                <w:sz w:val="22"/>
                <w:szCs w:val="22"/>
                <w:shd w:val="clear" w:color="auto" w:fill="FFFFFF"/>
                <w:lang w:eastAsia="zh-CN"/>
              </w:rPr>
              <w:t>负责</w:t>
            </w:r>
            <w:r>
              <w:rPr>
                <w:rFonts w:hint="eastAsia" w:eastAsia="仿宋_GB2312" w:cs="Arial"/>
                <w:color w:val="000000"/>
                <w:sz w:val="22"/>
                <w:szCs w:val="22"/>
                <w:shd w:val="clear" w:color="auto" w:fill="FFFFFF"/>
              </w:rPr>
              <w:t>退役军人权益维护和有关人员的帮扶援助工作。</w:t>
            </w:r>
          </w:p>
        </w:tc>
        <w:tc>
          <w:tcPr>
            <w:tcW w:w="2505" w:type="dxa"/>
            <w:noWrap w:val="0"/>
            <w:vAlign w:val="top"/>
          </w:tcPr>
          <w:p>
            <w:pPr>
              <w:jc w:val="center"/>
              <w:rPr>
                <w:rFonts w:hint="eastAsia"/>
                <w:sz w:val="24"/>
                <w:szCs w:val="24"/>
                <w:lang w:eastAsia="zh-CN"/>
              </w:rPr>
            </w:pPr>
          </w:p>
          <w:p>
            <w:pPr>
              <w:jc w:val="center"/>
              <w:rPr>
                <w:rFonts w:hint="eastAsia"/>
                <w:sz w:val="24"/>
                <w:szCs w:val="24"/>
                <w:lang w:eastAsia="zh-CN"/>
              </w:rPr>
            </w:pPr>
          </w:p>
          <w:p>
            <w:pPr>
              <w:jc w:val="center"/>
              <w:rPr>
                <w:rFonts w:hint="eastAsia" w:eastAsia="仿宋_GB2312"/>
                <w:sz w:val="24"/>
                <w:szCs w:val="24"/>
                <w:lang w:eastAsia="zh-CN"/>
              </w:rPr>
            </w:pPr>
            <w:r>
              <w:rPr>
                <w:rFonts w:hint="eastAsia"/>
                <w:sz w:val="24"/>
                <w:szCs w:val="24"/>
                <w:lang w:eastAsia="zh-CN"/>
              </w:rPr>
              <w:t>办公室</w:t>
            </w:r>
          </w:p>
        </w:tc>
        <w:tc>
          <w:tcPr>
            <w:tcW w:w="1931" w:type="dxa"/>
            <w:noWrap w:val="0"/>
            <w:vAlign w:val="top"/>
          </w:tcPr>
          <w:p>
            <w:pPr>
              <w:rPr>
                <w:rFonts w:hint="eastAsia"/>
                <w:color w:val="FF0000"/>
              </w:rPr>
            </w:pPr>
          </w:p>
        </w:tc>
      </w:tr>
    </w:tbl>
    <w:p>
      <w:pPr>
        <w:spacing w:line="400" w:lineRule="exact"/>
        <w:rPr>
          <w:rFonts w:hint="eastAsia" w:ascii="仿宋_GB2312"/>
          <w:sz w:val="28"/>
          <w:szCs w:val="28"/>
        </w:rPr>
      </w:pPr>
      <w:r>
        <w:rPr>
          <w:rFonts w:hint="eastAsia" w:ascii="仿宋_GB2312"/>
          <w:sz w:val="28"/>
          <w:szCs w:val="28"/>
        </w:rPr>
        <w:t>注：1.根据形势任务发展，需要突出强化和增加的职责，请特别单列，并在备注栏中说明依据；</w:t>
      </w:r>
    </w:p>
    <w:p>
      <w:pPr>
        <w:spacing w:line="400" w:lineRule="exact"/>
        <w:rPr>
          <w:rFonts w:hint="eastAsia" w:ascii="仿宋_GB2312"/>
          <w:sz w:val="28"/>
          <w:szCs w:val="28"/>
        </w:rPr>
      </w:pPr>
      <w:r>
        <w:rPr>
          <w:rFonts w:hint="eastAsia" w:ascii="仿宋_GB2312"/>
          <w:sz w:val="28"/>
          <w:szCs w:val="28"/>
        </w:rPr>
        <w:t xml:space="preserve">    2.由承担行政职能的事业单位履行的职责和工作事项，在备注栏中注明责任单位。</w:t>
      </w:r>
    </w:p>
    <w:p>
      <w:pPr>
        <w:ind w:firstLine="640" w:firstLineChars="200"/>
        <w:rPr>
          <w:rFonts w:hint="eastAsia" w:ascii="仿宋_GB2312"/>
          <w:sz w:val="32"/>
          <w:szCs w:val="32"/>
        </w:rPr>
      </w:pPr>
      <w:r>
        <w:rPr>
          <w:rFonts w:hint="eastAsia" w:ascii="仿宋_GB2312"/>
          <w:sz w:val="32"/>
          <w:szCs w:val="32"/>
        </w:rPr>
        <w:t>填报人</w:t>
      </w:r>
      <w:r>
        <w:rPr>
          <w:rFonts w:hint="eastAsia" w:ascii="仿宋_GB2312"/>
        </w:rPr>
        <w:t xml:space="preserve">：                        </w:t>
      </w:r>
      <w:r>
        <w:rPr>
          <w:rFonts w:hint="eastAsia" w:ascii="仿宋_GB2312"/>
          <w:sz w:val="32"/>
          <w:szCs w:val="32"/>
        </w:rPr>
        <w:t>填报时间：</w:t>
      </w:r>
      <w:r>
        <w:rPr>
          <w:rFonts w:hint="eastAsia" w:ascii="仿宋_GB2312"/>
        </w:rPr>
        <w:t xml:space="preserve">                  </w:t>
      </w:r>
      <w:r>
        <w:rPr>
          <w:rFonts w:hint="eastAsia" w:ascii="仿宋_GB2312"/>
          <w:sz w:val="32"/>
          <w:szCs w:val="32"/>
        </w:rPr>
        <w:t xml:space="preserve"> 联系电话：</w:t>
      </w:r>
    </w:p>
    <w:p>
      <w:pPr>
        <w:spacing w:line="700" w:lineRule="exact"/>
        <w:jc w:val="center"/>
        <w:rPr>
          <w:rFonts w:hint="eastAsia" w:asciiTheme="majorEastAsia" w:hAnsiTheme="majorEastAsia" w:eastAsiaTheme="majorEastAsia" w:cstheme="majorEastAsia"/>
          <w:b/>
          <w:bCs/>
          <w:sz w:val="44"/>
          <w:szCs w:val="44"/>
        </w:rPr>
        <w:sectPr>
          <w:pgSz w:w="16838" w:h="11906" w:orient="landscape"/>
          <w:pgMar w:top="1800" w:right="1440" w:bottom="1800" w:left="1440" w:header="851" w:footer="992" w:gutter="0"/>
          <w:cols w:space="425" w:num="1"/>
          <w:docGrid w:type="lines" w:linePitch="312" w:charSpace="0"/>
        </w:sectPr>
      </w:pPr>
    </w:p>
    <w:p>
      <w:pPr>
        <w:spacing w:line="700" w:lineRule="exact"/>
        <w:jc w:val="center"/>
        <w:rPr>
          <w:rFonts w:hint="eastAsia" w:ascii="方正小标宋简体" w:hAnsi="宋体" w:eastAsia="方正小标宋简体"/>
          <w:b/>
          <w:bCs/>
          <w:sz w:val="40"/>
          <w:szCs w:val="40"/>
        </w:rPr>
      </w:pPr>
      <w:r>
        <w:rPr>
          <w:rFonts w:hint="eastAsia" w:asciiTheme="majorEastAsia" w:hAnsiTheme="majorEastAsia" w:eastAsiaTheme="majorEastAsia" w:cstheme="majorEastAsia"/>
          <w:b/>
          <w:bCs/>
          <w:sz w:val="44"/>
          <w:szCs w:val="44"/>
        </w:rPr>
        <w:t>事中事后监督管理制度</w:t>
      </w:r>
    </w:p>
    <w:p>
      <w:pPr>
        <w:spacing w:line="700" w:lineRule="exact"/>
        <w:jc w:val="center"/>
        <w:rPr>
          <w:rFonts w:hint="eastAsia" w:ascii="方正小标宋简体" w:hAnsi="宋体" w:eastAsia="方正小标宋简体"/>
          <w:sz w:val="40"/>
          <w:szCs w:val="40"/>
        </w:rPr>
      </w:pPr>
      <w:r>
        <w:rPr>
          <w:rFonts w:hint="eastAsia" w:asciiTheme="majorEastAsia" w:hAnsiTheme="majorEastAsia" w:eastAsiaTheme="majorEastAsia" w:cstheme="majorEastAsia"/>
          <w:b/>
          <w:bCs/>
          <w:sz w:val="44"/>
          <w:szCs w:val="44"/>
        </w:rPr>
        <w:t>（职权名称：</w:t>
      </w:r>
      <w:r>
        <w:rPr>
          <w:rFonts w:hint="eastAsia" w:asciiTheme="majorEastAsia" w:hAnsiTheme="majorEastAsia" w:eastAsiaTheme="majorEastAsia" w:cstheme="majorEastAsia"/>
          <w:b/>
          <w:bCs/>
          <w:sz w:val="44"/>
          <w:szCs w:val="44"/>
          <w:lang w:eastAsia="zh-CN"/>
        </w:rPr>
        <w:t>退役士兵教育培训</w:t>
      </w:r>
      <w:r>
        <w:rPr>
          <w:rFonts w:hint="eastAsia" w:ascii="方正小标宋简体" w:hAnsi="宋体" w:eastAsia="方正小标宋简体"/>
          <w:b/>
          <w:bCs/>
          <w:sz w:val="40"/>
          <w:szCs w:val="40"/>
        </w:rPr>
        <w:t>）</w:t>
      </w:r>
    </w:p>
    <w:p>
      <w:pPr>
        <w:rPr>
          <w:rFonts w:hint="eastAsia" w:ascii="楷体_GB2312" w:eastAsia="楷体_GB2312"/>
          <w:sz w:val="32"/>
          <w:szCs w:val="32"/>
        </w:rPr>
      </w:pPr>
    </w:p>
    <w:p>
      <w:pPr>
        <w:rPr>
          <w:rFonts w:hint="eastAsia" w:ascii="楷体_GB2312" w:eastAsia="楷体_GB2312"/>
          <w:sz w:val="32"/>
          <w:szCs w:val="32"/>
        </w:rPr>
      </w:pPr>
      <w:r>
        <w:rPr>
          <w:rFonts w:hint="eastAsia" w:ascii="楷体_GB2312" w:eastAsia="楷体_GB2312"/>
          <w:sz w:val="32"/>
          <w:szCs w:val="32"/>
        </w:rPr>
        <w:t>单位：</w:t>
      </w:r>
      <w:r>
        <w:rPr>
          <w:rFonts w:hint="eastAsia" w:ascii="楷体_GB2312" w:eastAsia="楷体_GB2312"/>
          <w:sz w:val="32"/>
          <w:szCs w:val="32"/>
          <w:lang w:eastAsia="zh-CN"/>
        </w:rPr>
        <w:t>魏县退役军人事务局</w:t>
      </w:r>
    </w:p>
    <w:p>
      <w:pPr>
        <w:ind w:firstLine="640" w:firstLineChars="200"/>
        <w:rPr>
          <w:rFonts w:hint="eastAsia" w:eastAsia="仿宋_GB2312"/>
          <w:sz w:val="32"/>
          <w:szCs w:val="32"/>
        </w:rPr>
      </w:pPr>
      <w:r>
        <w:rPr>
          <w:rFonts w:hint="eastAsia" w:ascii="仿宋" w:hAnsi="仿宋" w:eastAsia="仿宋" w:cs="仿宋"/>
          <w:sz w:val="32"/>
          <w:szCs w:val="40"/>
          <w:lang w:eastAsia="zh-CN"/>
        </w:rPr>
        <w:t>为大力推进退役士兵职业技能教育培训工作，提高退役士兵职业技能和综合能力，促进退役士兵就业创业，指导各类承训机构规范教学组织、加强教育管理和就业服务，结合我县实际，特制订如下监管制度；</w:t>
      </w:r>
    </w:p>
    <w:p>
      <w:pPr>
        <w:pStyle w:val="5"/>
        <w:spacing w:before="0" w:after="0" w:line="560" w:lineRule="exact"/>
        <w:rPr>
          <w:rFonts w:hint="eastAsia" w:ascii="黑体" w:eastAsia="黑体"/>
          <w:sz w:val="32"/>
          <w:szCs w:val="32"/>
        </w:rPr>
      </w:pPr>
      <w:r>
        <w:rPr>
          <w:rFonts w:hint="eastAsia" w:ascii="黑体" w:eastAsia="黑体"/>
          <w:sz w:val="32"/>
          <w:szCs w:val="32"/>
        </w:rPr>
        <w:t>一、监督检查对象</w:t>
      </w:r>
    </w:p>
    <w:p>
      <w:pPr>
        <w:pStyle w:val="5"/>
        <w:spacing w:before="0" w:after="0" w:line="560" w:lineRule="exact"/>
        <w:rPr>
          <w:rFonts w:hint="eastAsia" w:ascii="仿宋" w:hAnsi="仿宋" w:eastAsia="仿宋" w:cs="仿宋"/>
          <w:kern w:val="2"/>
          <w:sz w:val="32"/>
          <w:szCs w:val="40"/>
          <w:lang w:val="en-US" w:eastAsia="zh-CN" w:bidi="ar-SA"/>
        </w:rPr>
      </w:pPr>
      <w:r>
        <w:rPr>
          <w:rFonts w:hint="eastAsia" w:ascii="黑体" w:eastAsia="黑体"/>
          <w:sz w:val="32"/>
          <w:szCs w:val="32"/>
          <w:lang w:eastAsia="zh-CN"/>
        </w:rPr>
        <w:t>（</w:t>
      </w:r>
      <w:r>
        <w:rPr>
          <w:rFonts w:hint="eastAsia" w:ascii="仿宋" w:hAnsi="仿宋" w:eastAsia="仿宋" w:cs="仿宋"/>
          <w:kern w:val="2"/>
          <w:sz w:val="32"/>
          <w:szCs w:val="40"/>
          <w:lang w:val="en-US" w:eastAsia="zh-CN" w:bidi="ar-SA"/>
        </w:rPr>
        <w:t>一）落实退役士兵安置工作岗位的接收单位；</w:t>
      </w:r>
    </w:p>
    <w:p>
      <w:pPr>
        <w:pStyle w:val="5"/>
        <w:spacing w:before="0" w:after="0" w:line="560" w:lineRule="exact"/>
        <w:rPr>
          <w:rFonts w:hint="default" w:ascii="仿宋" w:hAnsi="仿宋" w:eastAsia="仿宋" w:cs="仿宋"/>
          <w:kern w:val="2"/>
          <w:sz w:val="32"/>
          <w:szCs w:val="40"/>
          <w:lang w:val="en-US" w:eastAsia="zh-CN" w:bidi="ar-SA"/>
        </w:rPr>
      </w:pPr>
      <w:r>
        <w:rPr>
          <w:rFonts w:hint="eastAsia" w:ascii="仿宋" w:hAnsi="仿宋" w:eastAsia="仿宋" w:cs="仿宋"/>
          <w:kern w:val="2"/>
          <w:sz w:val="32"/>
          <w:szCs w:val="40"/>
          <w:lang w:val="en-US" w:eastAsia="zh-CN" w:bidi="ar-SA"/>
        </w:rPr>
        <w:t>（二）负责退役士兵职业教育和技能培训的教育培训。</w:t>
      </w:r>
    </w:p>
    <w:p>
      <w:pPr>
        <w:pStyle w:val="5"/>
        <w:spacing w:before="0" w:after="0" w:line="560" w:lineRule="exact"/>
        <w:rPr>
          <w:rFonts w:hint="eastAsia" w:ascii="黑体" w:eastAsia="黑体"/>
          <w:sz w:val="32"/>
          <w:szCs w:val="32"/>
        </w:rPr>
      </w:pPr>
      <w:r>
        <w:rPr>
          <w:rFonts w:hint="eastAsia" w:ascii="黑体" w:eastAsia="黑体"/>
          <w:sz w:val="32"/>
          <w:szCs w:val="32"/>
        </w:rPr>
        <w:t>二、监督检查内容</w:t>
      </w:r>
    </w:p>
    <w:p>
      <w:pPr>
        <w:pStyle w:val="5"/>
        <w:spacing w:before="0" w:after="0" w:line="560" w:lineRule="exact"/>
        <w:rPr>
          <w:rFonts w:hint="eastAsia" w:ascii="仿宋" w:hAnsi="仿宋" w:eastAsia="仿宋" w:cs="仿宋"/>
          <w:kern w:val="2"/>
          <w:sz w:val="32"/>
          <w:szCs w:val="40"/>
          <w:lang w:val="en-US" w:eastAsia="zh-CN" w:bidi="ar-SA"/>
        </w:rPr>
      </w:pPr>
      <w:r>
        <w:rPr>
          <w:rFonts w:hint="eastAsia" w:ascii="仿宋" w:hAnsi="仿宋" w:eastAsia="仿宋" w:cs="仿宋"/>
          <w:kern w:val="2"/>
          <w:sz w:val="32"/>
          <w:szCs w:val="40"/>
          <w:lang w:val="en-US" w:eastAsia="zh-CN" w:bidi="ar-SA"/>
        </w:rPr>
        <w:t>（一）全县符合政府安排工作条件的初级士官、转业士官以及平时荣立二等功、战士荣立三等功、烈士子女、因战5至8级伤残退役士兵公开选岗、安排工作情况；</w:t>
      </w:r>
    </w:p>
    <w:p>
      <w:pPr>
        <w:pStyle w:val="5"/>
        <w:spacing w:before="0" w:after="0" w:line="560" w:lineRule="exact"/>
        <w:rPr>
          <w:rFonts w:hint="eastAsia" w:ascii="仿宋" w:hAnsi="仿宋" w:eastAsia="仿宋" w:cs="仿宋"/>
          <w:kern w:val="2"/>
          <w:sz w:val="32"/>
          <w:szCs w:val="40"/>
          <w:lang w:val="en-US" w:eastAsia="zh-CN" w:bidi="ar-SA"/>
        </w:rPr>
      </w:pPr>
      <w:r>
        <w:rPr>
          <w:rFonts w:hint="eastAsia" w:ascii="仿宋" w:hAnsi="仿宋" w:eastAsia="仿宋" w:cs="仿宋"/>
          <w:kern w:val="2"/>
          <w:sz w:val="32"/>
          <w:szCs w:val="40"/>
          <w:lang w:val="en-US" w:eastAsia="zh-CN" w:bidi="ar-SA"/>
        </w:rPr>
        <w:t>（二）全县自主就业退役士兵经济补助经费落实情况；</w:t>
      </w:r>
    </w:p>
    <w:p>
      <w:pPr>
        <w:pStyle w:val="5"/>
        <w:spacing w:before="0" w:after="0" w:line="560" w:lineRule="exact"/>
        <w:rPr>
          <w:rFonts w:hint="eastAsia" w:ascii="仿宋" w:hAnsi="仿宋" w:eastAsia="仿宋" w:cs="仿宋"/>
          <w:kern w:val="2"/>
          <w:sz w:val="32"/>
          <w:szCs w:val="40"/>
          <w:lang w:val="en-US" w:eastAsia="zh-CN" w:bidi="ar-SA"/>
        </w:rPr>
      </w:pPr>
      <w:r>
        <w:rPr>
          <w:rFonts w:hint="eastAsia" w:ascii="仿宋" w:hAnsi="仿宋" w:eastAsia="仿宋" w:cs="仿宋"/>
          <w:kern w:val="2"/>
          <w:sz w:val="32"/>
          <w:szCs w:val="40"/>
          <w:lang w:val="en-US" w:eastAsia="zh-CN" w:bidi="ar-SA"/>
        </w:rPr>
        <w:t>（三）全县自谋职业退役士兵补助金发放情况；</w:t>
      </w:r>
    </w:p>
    <w:p>
      <w:pPr>
        <w:pStyle w:val="5"/>
        <w:spacing w:before="0" w:after="0" w:line="560" w:lineRule="exact"/>
        <w:rPr>
          <w:rFonts w:hint="default" w:ascii="仿宋" w:hAnsi="仿宋" w:eastAsia="仿宋" w:cs="仿宋"/>
          <w:kern w:val="2"/>
          <w:sz w:val="32"/>
          <w:szCs w:val="40"/>
          <w:lang w:val="en-US" w:eastAsia="zh-CN" w:bidi="ar-SA"/>
        </w:rPr>
      </w:pPr>
      <w:r>
        <w:rPr>
          <w:rFonts w:hint="eastAsia" w:ascii="仿宋" w:hAnsi="仿宋" w:eastAsia="仿宋" w:cs="仿宋"/>
          <w:kern w:val="2"/>
          <w:sz w:val="32"/>
          <w:szCs w:val="40"/>
          <w:lang w:val="en-US" w:eastAsia="zh-CN" w:bidi="ar-SA"/>
        </w:rPr>
        <w:t>（四）退役士兵职业教育和技能培训情况及资金拨付使用情况。</w:t>
      </w:r>
    </w:p>
    <w:p>
      <w:pPr>
        <w:pStyle w:val="5"/>
        <w:spacing w:before="0" w:after="0" w:line="560" w:lineRule="exact"/>
        <w:rPr>
          <w:rFonts w:hint="eastAsia" w:ascii="黑体" w:eastAsia="黑体"/>
          <w:sz w:val="32"/>
          <w:szCs w:val="32"/>
        </w:rPr>
      </w:pPr>
      <w:r>
        <w:rPr>
          <w:rFonts w:hint="eastAsia" w:ascii="黑体" w:eastAsia="黑体"/>
          <w:sz w:val="32"/>
          <w:szCs w:val="32"/>
        </w:rPr>
        <w:t>三、监督检查方式</w:t>
      </w:r>
    </w:p>
    <w:p>
      <w:pPr>
        <w:pStyle w:val="5"/>
        <w:spacing w:before="0" w:after="0" w:line="560" w:lineRule="exact"/>
        <w:rPr>
          <w:rFonts w:hint="eastAsia" w:ascii="仿宋" w:hAnsi="仿宋" w:eastAsia="仿宋" w:cs="仿宋"/>
          <w:kern w:val="2"/>
          <w:sz w:val="32"/>
          <w:szCs w:val="40"/>
          <w:lang w:val="en-US" w:eastAsia="zh-CN" w:bidi="ar-SA"/>
        </w:rPr>
      </w:pPr>
      <w:r>
        <w:rPr>
          <w:rFonts w:hint="eastAsia" w:ascii="仿宋" w:hAnsi="仿宋" w:eastAsia="仿宋" w:cs="仿宋"/>
          <w:kern w:val="2"/>
          <w:sz w:val="32"/>
          <w:szCs w:val="40"/>
          <w:lang w:val="en-US" w:eastAsia="zh-CN" w:bidi="ar-SA"/>
        </w:rPr>
        <w:t>（一）查阅有关文件、资料、账单、数据、凭证、报表；要求有关单位和人员对安置工作进展落实，教育培训经费等情况作出说明。</w:t>
      </w:r>
    </w:p>
    <w:p>
      <w:pPr>
        <w:pStyle w:val="5"/>
        <w:spacing w:before="0" w:after="0" w:line="560" w:lineRule="exact"/>
        <w:rPr>
          <w:rFonts w:hint="eastAsia" w:ascii="仿宋" w:hAnsi="仿宋" w:eastAsia="仿宋" w:cs="仿宋"/>
          <w:kern w:val="2"/>
          <w:sz w:val="32"/>
          <w:szCs w:val="40"/>
          <w:lang w:val="en-US" w:eastAsia="zh-CN" w:bidi="ar-SA"/>
        </w:rPr>
      </w:pPr>
      <w:r>
        <w:rPr>
          <w:rFonts w:hint="eastAsia" w:ascii="仿宋" w:hAnsi="仿宋" w:eastAsia="仿宋" w:cs="仿宋"/>
          <w:kern w:val="2"/>
          <w:sz w:val="32"/>
          <w:szCs w:val="40"/>
          <w:lang w:val="en-US" w:eastAsia="zh-CN" w:bidi="ar-SA"/>
        </w:rPr>
        <w:t>（二）实地考察确定定点教育培训机构的师资力量、实训设施等情况。</w:t>
      </w:r>
    </w:p>
    <w:p>
      <w:pPr>
        <w:pStyle w:val="5"/>
        <w:spacing w:before="0" w:after="0" w:line="560" w:lineRule="exact"/>
        <w:rPr>
          <w:rFonts w:hint="eastAsia" w:ascii="黑体" w:eastAsia="黑体"/>
          <w:sz w:val="32"/>
          <w:szCs w:val="32"/>
        </w:rPr>
      </w:pPr>
      <w:r>
        <w:rPr>
          <w:rFonts w:hint="eastAsia" w:ascii="黑体" w:eastAsia="黑体"/>
          <w:sz w:val="32"/>
          <w:szCs w:val="32"/>
        </w:rPr>
        <w:t>四、监督检查措施</w:t>
      </w:r>
    </w:p>
    <w:p>
      <w:pPr>
        <w:pStyle w:val="5"/>
        <w:spacing w:before="0" w:after="0" w:line="560" w:lineRule="exact"/>
        <w:rPr>
          <w:rFonts w:hint="eastAsia" w:ascii="仿宋" w:hAnsi="仿宋" w:eastAsia="仿宋" w:cs="仿宋"/>
          <w:kern w:val="2"/>
          <w:sz w:val="32"/>
          <w:szCs w:val="40"/>
          <w:lang w:val="en-US" w:eastAsia="zh-CN" w:bidi="ar-SA"/>
        </w:rPr>
      </w:pPr>
      <w:r>
        <w:rPr>
          <w:rFonts w:hint="eastAsia" w:ascii="黑体" w:eastAsia="黑体"/>
          <w:sz w:val="32"/>
          <w:szCs w:val="32"/>
          <w:lang w:eastAsia="zh-CN"/>
        </w:rPr>
        <w:t>（</w:t>
      </w:r>
      <w:r>
        <w:rPr>
          <w:rFonts w:hint="eastAsia" w:ascii="仿宋" w:hAnsi="仿宋" w:eastAsia="仿宋" w:cs="仿宋"/>
          <w:kern w:val="2"/>
          <w:sz w:val="32"/>
          <w:szCs w:val="40"/>
          <w:lang w:val="en-US" w:eastAsia="zh-CN" w:bidi="ar-SA"/>
        </w:rPr>
        <w:t>一）听取汇报</w:t>
      </w:r>
    </w:p>
    <w:p>
      <w:pPr>
        <w:pStyle w:val="5"/>
        <w:spacing w:before="0" w:after="0" w:line="560" w:lineRule="exact"/>
        <w:rPr>
          <w:rFonts w:hint="eastAsia" w:ascii="仿宋" w:hAnsi="仿宋" w:eastAsia="仿宋" w:cs="仿宋"/>
          <w:kern w:val="2"/>
          <w:sz w:val="32"/>
          <w:szCs w:val="40"/>
          <w:lang w:val="en-US" w:eastAsia="zh-CN" w:bidi="ar-SA"/>
        </w:rPr>
      </w:pPr>
      <w:r>
        <w:rPr>
          <w:rFonts w:hint="eastAsia" w:ascii="仿宋" w:hAnsi="仿宋" w:eastAsia="仿宋" w:cs="仿宋"/>
          <w:kern w:val="2"/>
          <w:sz w:val="32"/>
          <w:szCs w:val="40"/>
          <w:lang w:val="en-US" w:eastAsia="zh-CN" w:bidi="ar-SA"/>
        </w:rPr>
        <w:t>（二）查阅相关台账资料，核实培训情况；</w:t>
      </w:r>
    </w:p>
    <w:p>
      <w:pPr>
        <w:pStyle w:val="5"/>
        <w:spacing w:before="0" w:after="0" w:line="560" w:lineRule="exact"/>
        <w:rPr>
          <w:rFonts w:hint="eastAsia" w:ascii="仿宋" w:hAnsi="仿宋" w:eastAsia="仿宋" w:cs="仿宋"/>
          <w:kern w:val="2"/>
          <w:sz w:val="32"/>
          <w:szCs w:val="40"/>
          <w:lang w:val="en-US" w:eastAsia="zh-CN" w:bidi="ar-SA"/>
        </w:rPr>
      </w:pPr>
      <w:r>
        <w:rPr>
          <w:rFonts w:hint="eastAsia" w:ascii="仿宋" w:hAnsi="仿宋" w:eastAsia="仿宋" w:cs="仿宋"/>
          <w:kern w:val="2"/>
          <w:sz w:val="32"/>
          <w:szCs w:val="40"/>
          <w:lang w:val="en-US" w:eastAsia="zh-CN" w:bidi="ar-SA"/>
        </w:rPr>
        <w:t>（三）召集退役士兵学员座谈；</w:t>
      </w:r>
    </w:p>
    <w:p>
      <w:pPr>
        <w:pStyle w:val="5"/>
        <w:spacing w:before="0" w:after="0" w:line="560" w:lineRule="exact"/>
        <w:rPr>
          <w:rFonts w:hint="eastAsia" w:ascii="黑体" w:eastAsia="黑体"/>
          <w:sz w:val="32"/>
          <w:szCs w:val="32"/>
          <w:lang w:eastAsia="zh-CN"/>
        </w:rPr>
      </w:pPr>
      <w:r>
        <w:rPr>
          <w:rFonts w:hint="eastAsia" w:ascii="仿宋" w:hAnsi="仿宋" w:eastAsia="仿宋" w:cs="仿宋"/>
          <w:kern w:val="2"/>
          <w:sz w:val="32"/>
          <w:szCs w:val="40"/>
          <w:lang w:val="en-US" w:eastAsia="zh-CN" w:bidi="ar-SA"/>
        </w:rPr>
        <w:t>（四）召开检查考核情况反馈。</w:t>
      </w:r>
    </w:p>
    <w:p>
      <w:pPr>
        <w:pStyle w:val="5"/>
        <w:spacing w:before="0" w:after="0" w:line="560" w:lineRule="exact"/>
        <w:rPr>
          <w:rFonts w:hint="eastAsia" w:ascii="黑体" w:eastAsia="黑体"/>
          <w:sz w:val="32"/>
          <w:szCs w:val="32"/>
        </w:rPr>
      </w:pPr>
      <w:r>
        <w:rPr>
          <w:rFonts w:hint="eastAsia" w:ascii="黑体" w:eastAsia="黑体"/>
          <w:sz w:val="32"/>
          <w:szCs w:val="32"/>
        </w:rPr>
        <w:t>五、监督检查程序</w:t>
      </w:r>
    </w:p>
    <w:p>
      <w:pPr>
        <w:pStyle w:val="5"/>
        <w:spacing w:before="0" w:after="0" w:line="560" w:lineRule="exact"/>
        <w:rPr>
          <w:rFonts w:hint="eastAsia" w:ascii="仿宋" w:hAnsi="仿宋" w:eastAsia="仿宋" w:cs="仿宋"/>
          <w:kern w:val="2"/>
          <w:sz w:val="32"/>
          <w:szCs w:val="40"/>
          <w:lang w:val="en-US" w:eastAsia="zh-CN" w:bidi="ar-SA"/>
        </w:rPr>
      </w:pPr>
      <w:r>
        <w:rPr>
          <w:rFonts w:hint="eastAsia" w:ascii="仿宋" w:hAnsi="仿宋" w:eastAsia="仿宋" w:cs="仿宋"/>
          <w:kern w:val="2"/>
          <w:sz w:val="32"/>
          <w:szCs w:val="40"/>
          <w:lang w:val="en-US" w:eastAsia="zh-CN" w:bidi="ar-SA"/>
        </w:rPr>
        <w:t>（一）拟定监督检查方案；</w:t>
      </w:r>
    </w:p>
    <w:p>
      <w:pPr>
        <w:pStyle w:val="5"/>
        <w:spacing w:before="0" w:after="0" w:line="560" w:lineRule="exact"/>
        <w:rPr>
          <w:rFonts w:hint="eastAsia" w:ascii="仿宋" w:hAnsi="仿宋" w:eastAsia="仿宋" w:cs="仿宋"/>
          <w:kern w:val="2"/>
          <w:sz w:val="32"/>
          <w:szCs w:val="40"/>
          <w:lang w:val="en-US" w:eastAsia="zh-CN" w:bidi="ar-SA"/>
        </w:rPr>
      </w:pPr>
      <w:r>
        <w:rPr>
          <w:rFonts w:hint="eastAsia" w:ascii="仿宋" w:hAnsi="仿宋" w:eastAsia="仿宋" w:cs="仿宋"/>
          <w:kern w:val="2"/>
          <w:sz w:val="32"/>
          <w:szCs w:val="40"/>
          <w:lang w:val="en-US" w:eastAsia="zh-CN" w:bidi="ar-SA"/>
        </w:rPr>
        <w:t>（二）组织实施检查；</w:t>
      </w:r>
    </w:p>
    <w:p>
      <w:pPr>
        <w:pStyle w:val="5"/>
        <w:spacing w:before="0" w:after="0" w:line="560" w:lineRule="exact"/>
        <w:rPr>
          <w:rFonts w:hint="eastAsia" w:ascii="仿宋" w:hAnsi="仿宋" w:eastAsia="仿宋" w:cs="仿宋"/>
          <w:kern w:val="2"/>
          <w:sz w:val="32"/>
          <w:szCs w:val="40"/>
          <w:lang w:val="en-US" w:eastAsia="zh-CN" w:bidi="ar-SA"/>
        </w:rPr>
      </w:pPr>
      <w:r>
        <w:rPr>
          <w:rFonts w:hint="eastAsia" w:ascii="仿宋" w:hAnsi="仿宋" w:eastAsia="仿宋" w:cs="仿宋"/>
          <w:kern w:val="2"/>
          <w:sz w:val="32"/>
          <w:szCs w:val="40"/>
          <w:lang w:val="en-US" w:eastAsia="zh-CN" w:bidi="ar-SA"/>
        </w:rPr>
        <w:t>（三）督促相关单位整改；</w:t>
      </w:r>
    </w:p>
    <w:p>
      <w:pPr>
        <w:pStyle w:val="5"/>
        <w:spacing w:before="0" w:after="0" w:line="560" w:lineRule="exact"/>
        <w:rPr>
          <w:rFonts w:hint="eastAsia" w:ascii="仿宋" w:hAnsi="仿宋" w:eastAsia="仿宋" w:cs="仿宋"/>
          <w:kern w:val="2"/>
          <w:sz w:val="32"/>
          <w:szCs w:val="40"/>
          <w:lang w:val="en-US" w:eastAsia="zh-CN" w:bidi="ar-SA"/>
        </w:rPr>
      </w:pPr>
      <w:r>
        <w:rPr>
          <w:rFonts w:hint="eastAsia" w:ascii="仿宋" w:hAnsi="仿宋" w:eastAsia="仿宋" w:cs="仿宋"/>
          <w:kern w:val="2"/>
          <w:sz w:val="32"/>
          <w:szCs w:val="40"/>
          <w:lang w:val="en-US" w:eastAsia="zh-CN" w:bidi="ar-SA"/>
        </w:rPr>
        <w:t>（四）了解整改情况并反馈上级有关部门。</w:t>
      </w:r>
    </w:p>
    <w:p>
      <w:pPr>
        <w:pStyle w:val="5"/>
        <w:spacing w:before="0" w:after="0" w:line="560" w:lineRule="exact"/>
        <w:rPr>
          <w:rFonts w:hint="eastAsia" w:ascii="黑体" w:eastAsia="黑体"/>
          <w:sz w:val="32"/>
          <w:szCs w:val="32"/>
        </w:rPr>
      </w:pPr>
      <w:r>
        <w:rPr>
          <w:rFonts w:hint="eastAsia" w:ascii="黑体" w:eastAsia="黑体"/>
          <w:sz w:val="32"/>
          <w:szCs w:val="32"/>
        </w:rPr>
        <w:t>六、监督检查处理</w:t>
      </w:r>
    </w:p>
    <w:p>
      <w:pPr>
        <w:pStyle w:val="5"/>
        <w:spacing w:before="0" w:after="0" w:line="560" w:lineRule="exact"/>
        <w:ind w:firstLine="320" w:firstLineChars="100"/>
        <w:rPr>
          <w:rFonts w:hint="eastAsia" w:ascii="仿宋" w:hAnsi="仿宋" w:eastAsia="仿宋" w:cs="仿宋"/>
          <w:kern w:val="2"/>
          <w:sz w:val="32"/>
          <w:szCs w:val="40"/>
          <w:lang w:val="en-US" w:eastAsia="zh-CN" w:bidi="ar-SA"/>
        </w:rPr>
      </w:pPr>
      <w:r>
        <w:rPr>
          <w:rFonts w:hint="eastAsia" w:ascii="仿宋" w:hAnsi="仿宋" w:eastAsia="仿宋" w:cs="仿宋"/>
          <w:kern w:val="2"/>
          <w:sz w:val="32"/>
          <w:szCs w:val="40"/>
          <w:lang w:val="en-US" w:eastAsia="zh-CN" w:bidi="ar-SA"/>
        </w:rPr>
        <w:t>按属地管理，职能分工，有下列情形之一的，应当追究相关部门和相关责任人过错责任，由其上级行政部门责令改正：</w:t>
      </w:r>
    </w:p>
    <w:p>
      <w:pPr>
        <w:pStyle w:val="5"/>
        <w:spacing w:before="0" w:after="0" w:line="560" w:lineRule="exact"/>
        <w:rPr>
          <w:rFonts w:hint="eastAsia" w:ascii="仿宋" w:hAnsi="仿宋" w:eastAsia="仿宋" w:cs="仿宋"/>
          <w:kern w:val="2"/>
          <w:sz w:val="32"/>
          <w:szCs w:val="40"/>
          <w:lang w:val="en-US" w:eastAsia="zh-CN" w:bidi="ar-SA"/>
        </w:rPr>
      </w:pPr>
      <w:r>
        <w:rPr>
          <w:rFonts w:hint="eastAsia" w:ascii="仿宋" w:hAnsi="仿宋" w:eastAsia="仿宋" w:cs="仿宋"/>
          <w:kern w:val="2"/>
          <w:sz w:val="32"/>
          <w:szCs w:val="40"/>
          <w:lang w:val="en-US" w:eastAsia="zh-CN" w:bidi="ar-SA"/>
        </w:rPr>
        <w:t>（一）组织报名形式不够多样，未指导退役士兵填写有关参加教育培训申请，退役士兵本人无法知晓教育培训政策的；</w:t>
      </w:r>
    </w:p>
    <w:p>
      <w:pPr>
        <w:pStyle w:val="5"/>
        <w:spacing w:before="0" w:after="0" w:line="560" w:lineRule="exact"/>
        <w:rPr>
          <w:rFonts w:hint="eastAsia" w:ascii="仿宋" w:hAnsi="仿宋" w:eastAsia="仿宋" w:cs="仿宋"/>
          <w:kern w:val="2"/>
          <w:sz w:val="32"/>
          <w:szCs w:val="40"/>
          <w:lang w:val="en-US" w:eastAsia="zh-CN" w:bidi="ar-SA"/>
        </w:rPr>
      </w:pPr>
      <w:r>
        <w:rPr>
          <w:rFonts w:hint="eastAsia" w:ascii="仿宋" w:hAnsi="仿宋" w:eastAsia="仿宋" w:cs="仿宋"/>
          <w:kern w:val="2"/>
          <w:sz w:val="32"/>
          <w:szCs w:val="40"/>
          <w:lang w:val="en-US" w:eastAsia="zh-CN" w:bidi="ar-SA"/>
        </w:rPr>
        <w:t>（二）教育培训资金拨付不及时，影响承训学校正常教学秩序的；</w:t>
      </w:r>
    </w:p>
    <w:p>
      <w:pPr>
        <w:pStyle w:val="5"/>
        <w:spacing w:before="0" w:after="0" w:line="560" w:lineRule="exact"/>
        <w:rPr>
          <w:rFonts w:hint="eastAsia" w:ascii="仿宋" w:hAnsi="仿宋" w:eastAsia="仿宋" w:cs="仿宋"/>
          <w:kern w:val="2"/>
          <w:sz w:val="32"/>
          <w:szCs w:val="40"/>
          <w:lang w:val="en-US" w:eastAsia="zh-CN" w:bidi="ar-SA"/>
        </w:rPr>
      </w:pPr>
      <w:r>
        <w:rPr>
          <w:rFonts w:hint="eastAsia" w:ascii="仿宋" w:hAnsi="仿宋" w:eastAsia="仿宋" w:cs="仿宋"/>
          <w:kern w:val="2"/>
          <w:sz w:val="32"/>
          <w:szCs w:val="40"/>
          <w:lang w:val="en-US" w:eastAsia="zh-CN" w:bidi="ar-SA"/>
        </w:rPr>
        <w:t>（三）虚报、冒领、挪用、截留、教育培训经费的。</w:t>
      </w:r>
    </w:p>
    <w:p>
      <w:pPr>
        <w:pStyle w:val="5"/>
        <w:spacing w:before="0" w:after="0" w:line="560" w:lineRule="exact"/>
        <w:ind w:firstLine="640" w:firstLineChars="200"/>
        <w:rPr>
          <w:rFonts w:hint="eastAsia" w:ascii="仿宋" w:hAnsi="仿宋" w:eastAsia="仿宋" w:cs="仿宋"/>
          <w:kern w:val="2"/>
          <w:sz w:val="32"/>
          <w:szCs w:val="40"/>
          <w:lang w:val="en-US" w:eastAsia="zh-CN" w:bidi="ar-SA"/>
        </w:rPr>
      </w:pPr>
      <w:r>
        <w:rPr>
          <w:rFonts w:hint="eastAsia" w:ascii="仿宋" w:hAnsi="仿宋" w:eastAsia="仿宋" w:cs="仿宋"/>
          <w:kern w:val="2"/>
          <w:sz w:val="32"/>
          <w:szCs w:val="40"/>
          <w:lang w:val="en-US" w:eastAsia="zh-CN" w:bidi="ar-SA"/>
        </w:rPr>
        <w:t>有下列情形之一的，由县退役军人事务局会同相关部门研究决定，取消承训机构和学校承担退役士兵教育培训资格：</w:t>
      </w:r>
    </w:p>
    <w:p>
      <w:pPr>
        <w:pStyle w:val="5"/>
        <w:spacing w:before="0" w:after="0" w:line="560" w:lineRule="exact"/>
        <w:rPr>
          <w:rFonts w:hint="eastAsia" w:ascii="仿宋" w:hAnsi="仿宋" w:eastAsia="仿宋" w:cs="仿宋"/>
          <w:kern w:val="2"/>
          <w:sz w:val="32"/>
          <w:szCs w:val="40"/>
          <w:lang w:val="en-US" w:eastAsia="zh-CN" w:bidi="ar-SA"/>
        </w:rPr>
      </w:pPr>
      <w:r>
        <w:rPr>
          <w:rFonts w:hint="eastAsia" w:ascii="仿宋" w:hAnsi="仿宋" w:eastAsia="仿宋" w:cs="仿宋"/>
          <w:kern w:val="2"/>
          <w:sz w:val="32"/>
          <w:szCs w:val="40"/>
          <w:lang w:val="en-US" w:eastAsia="zh-CN" w:bidi="ar-SA"/>
        </w:rPr>
        <w:t>（一）退役士兵职业技能教育培训后，未帮助推荐就业的；</w:t>
      </w:r>
    </w:p>
    <w:p>
      <w:pPr>
        <w:pStyle w:val="5"/>
        <w:spacing w:before="0" w:after="0" w:line="560" w:lineRule="exact"/>
        <w:rPr>
          <w:rFonts w:hint="eastAsia" w:ascii="仿宋" w:hAnsi="仿宋" w:eastAsia="仿宋" w:cs="仿宋"/>
          <w:kern w:val="2"/>
          <w:sz w:val="32"/>
          <w:szCs w:val="40"/>
          <w:lang w:val="en-US" w:eastAsia="zh-CN" w:bidi="ar-SA"/>
        </w:rPr>
      </w:pPr>
      <w:r>
        <w:rPr>
          <w:rFonts w:hint="eastAsia" w:ascii="仿宋" w:hAnsi="仿宋" w:eastAsia="仿宋" w:cs="仿宋"/>
          <w:kern w:val="2"/>
          <w:sz w:val="32"/>
          <w:szCs w:val="40"/>
          <w:lang w:val="en-US" w:eastAsia="zh-CN" w:bidi="ar-SA"/>
        </w:rPr>
        <w:t>（二）虚报、冒领退役士兵教育培训经费、职业技能鉴定费、住宿费或截留、挪用生活补助费等情况的；</w:t>
      </w:r>
    </w:p>
    <w:p>
      <w:pPr>
        <w:pStyle w:val="5"/>
        <w:spacing w:before="0" w:after="0" w:line="560" w:lineRule="exact"/>
        <w:rPr>
          <w:rFonts w:hint="eastAsia" w:ascii="仿宋" w:hAnsi="仿宋" w:eastAsia="仿宋" w:cs="仿宋"/>
          <w:kern w:val="2"/>
          <w:sz w:val="32"/>
          <w:szCs w:val="40"/>
          <w:lang w:val="en-US" w:eastAsia="zh-CN" w:bidi="ar-SA"/>
        </w:rPr>
      </w:pPr>
      <w:r>
        <w:rPr>
          <w:rFonts w:hint="eastAsia" w:ascii="仿宋" w:hAnsi="仿宋" w:eastAsia="仿宋" w:cs="仿宋"/>
          <w:kern w:val="2"/>
          <w:sz w:val="32"/>
          <w:szCs w:val="40"/>
          <w:lang w:val="en-US" w:eastAsia="zh-CN" w:bidi="ar-SA"/>
        </w:rPr>
        <w:t>（三）教育管理制度不严，教学秩序混乱，引发重大责任事故，在社会上造成不良影响的。</w:t>
      </w:r>
    </w:p>
    <w:p>
      <w:pPr>
        <w:ind w:firstLine="640" w:firstLineChars="200"/>
        <w:rPr>
          <w:rFonts w:hint="eastAsia" w:ascii="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方正小标宋_GBK">
    <w:altName w:val="宋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38F366"/>
    <w:multiLevelType w:val="singleLevel"/>
    <w:tmpl w:val="8D38F366"/>
    <w:lvl w:ilvl="0" w:tentative="0">
      <w:start w:val="1"/>
      <w:numFmt w:val="decimal"/>
      <w:lvlText w:val="%1."/>
      <w:lvlJc w:val="left"/>
      <w:pPr>
        <w:tabs>
          <w:tab w:val="left" w:pos="312"/>
        </w:tabs>
      </w:pPr>
    </w:lvl>
  </w:abstractNum>
  <w:abstractNum w:abstractNumId="1">
    <w:nsid w:val="9EEC7F42"/>
    <w:multiLevelType w:val="singleLevel"/>
    <w:tmpl w:val="9EEC7F42"/>
    <w:lvl w:ilvl="0" w:tentative="0">
      <w:start w:val="1"/>
      <w:numFmt w:val="decimal"/>
      <w:lvlText w:val="%1."/>
      <w:lvlJc w:val="left"/>
      <w:pPr>
        <w:tabs>
          <w:tab w:val="left" w:pos="312"/>
        </w:tabs>
      </w:pPr>
    </w:lvl>
  </w:abstractNum>
  <w:abstractNum w:abstractNumId="2">
    <w:nsid w:val="A7403DE6"/>
    <w:multiLevelType w:val="singleLevel"/>
    <w:tmpl w:val="A7403DE6"/>
    <w:lvl w:ilvl="0" w:tentative="0">
      <w:start w:val="1"/>
      <w:numFmt w:val="decimal"/>
      <w:lvlText w:val="%1."/>
      <w:lvlJc w:val="left"/>
      <w:pPr>
        <w:tabs>
          <w:tab w:val="left" w:pos="312"/>
        </w:tabs>
      </w:pPr>
    </w:lvl>
  </w:abstractNum>
  <w:abstractNum w:abstractNumId="3">
    <w:nsid w:val="AE695CD0"/>
    <w:multiLevelType w:val="singleLevel"/>
    <w:tmpl w:val="AE695CD0"/>
    <w:lvl w:ilvl="0" w:tentative="0">
      <w:start w:val="1"/>
      <w:numFmt w:val="decimal"/>
      <w:lvlText w:val="%1."/>
      <w:lvlJc w:val="left"/>
      <w:pPr>
        <w:tabs>
          <w:tab w:val="left" w:pos="312"/>
        </w:tabs>
      </w:pPr>
    </w:lvl>
  </w:abstractNum>
  <w:abstractNum w:abstractNumId="4">
    <w:nsid w:val="C3319F74"/>
    <w:multiLevelType w:val="singleLevel"/>
    <w:tmpl w:val="C3319F74"/>
    <w:lvl w:ilvl="0" w:tentative="0">
      <w:start w:val="1"/>
      <w:numFmt w:val="decimal"/>
      <w:lvlText w:val="%1."/>
      <w:lvlJc w:val="left"/>
      <w:pPr>
        <w:tabs>
          <w:tab w:val="left" w:pos="312"/>
        </w:tabs>
      </w:pPr>
    </w:lvl>
  </w:abstractNum>
  <w:abstractNum w:abstractNumId="5">
    <w:nsid w:val="C751AC8E"/>
    <w:multiLevelType w:val="singleLevel"/>
    <w:tmpl w:val="C751AC8E"/>
    <w:lvl w:ilvl="0" w:tentative="0">
      <w:start w:val="1"/>
      <w:numFmt w:val="decimal"/>
      <w:lvlText w:val="%1."/>
      <w:lvlJc w:val="left"/>
      <w:pPr>
        <w:tabs>
          <w:tab w:val="left" w:pos="312"/>
        </w:tabs>
      </w:pPr>
    </w:lvl>
  </w:abstractNum>
  <w:abstractNum w:abstractNumId="6">
    <w:nsid w:val="E4B1C33C"/>
    <w:multiLevelType w:val="singleLevel"/>
    <w:tmpl w:val="E4B1C33C"/>
    <w:lvl w:ilvl="0" w:tentative="0">
      <w:start w:val="1"/>
      <w:numFmt w:val="decimal"/>
      <w:lvlText w:val="%1."/>
      <w:lvlJc w:val="left"/>
      <w:pPr>
        <w:tabs>
          <w:tab w:val="left" w:pos="312"/>
        </w:tabs>
      </w:pPr>
    </w:lvl>
  </w:abstractNum>
  <w:abstractNum w:abstractNumId="7">
    <w:nsid w:val="F58B5B30"/>
    <w:multiLevelType w:val="singleLevel"/>
    <w:tmpl w:val="F58B5B30"/>
    <w:lvl w:ilvl="0" w:tentative="0">
      <w:start w:val="1"/>
      <w:numFmt w:val="decimal"/>
      <w:lvlText w:val="%1."/>
      <w:lvlJc w:val="left"/>
      <w:pPr>
        <w:tabs>
          <w:tab w:val="left" w:pos="312"/>
        </w:tabs>
      </w:pPr>
    </w:lvl>
  </w:abstractNum>
  <w:abstractNum w:abstractNumId="8">
    <w:nsid w:val="6680B5E9"/>
    <w:multiLevelType w:val="singleLevel"/>
    <w:tmpl w:val="6680B5E9"/>
    <w:lvl w:ilvl="0" w:tentative="0">
      <w:start w:val="1"/>
      <w:numFmt w:val="decimal"/>
      <w:lvlText w:val="%1."/>
      <w:lvlJc w:val="left"/>
      <w:pPr>
        <w:tabs>
          <w:tab w:val="left" w:pos="312"/>
        </w:tabs>
      </w:pPr>
    </w:lvl>
  </w:abstractNum>
  <w:num w:numId="1">
    <w:abstractNumId w:val="2"/>
  </w:num>
  <w:num w:numId="2">
    <w:abstractNumId w:val="6"/>
  </w:num>
  <w:num w:numId="3">
    <w:abstractNumId w:val="0"/>
  </w:num>
  <w:num w:numId="4">
    <w:abstractNumId w:val="3"/>
  </w:num>
  <w:num w:numId="5">
    <w:abstractNumId w:val="7"/>
  </w:num>
  <w:num w:numId="6">
    <w:abstractNumId w:val="1"/>
  </w:num>
  <w:num w:numId="7">
    <w:abstractNumId w:val="4"/>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204B4A"/>
    <w:rsid w:val="08204B4A"/>
    <w:rsid w:val="1802522B"/>
    <w:rsid w:val="1BC14688"/>
    <w:rsid w:val="391C431F"/>
    <w:rsid w:val="4A95706A"/>
    <w:rsid w:val="4DC66CBF"/>
    <w:rsid w:val="521D4A84"/>
    <w:rsid w:val="57C34CDB"/>
    <w:rsid w:val="5A9A67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10"/>
      <w:sz w:val="34"/>
      <w:szCs w:val="34"/>
      <w:lang w:val="en-US" w:eastAsia="zh-CN" w:bidi="ar-SA"/>
    </w:rPr>
  </w:style>
  <w:style w:type="character" w:default="1" w:styleId="4">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5">
    <w:name w:val="p17"/>
    <w:basedOn w:val="1"/>
    <w:qFormat/>
    <w:uiPriority w:val="0"/>
    <w:pPr>
      <w:widowControl/>
      <w:spacing w:before="100" w:beforeLines="0" w:after="100" w:afterLines="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市退役军人事务局</Company>
  <Pages>1</Pages>
  <Words>0</Words>
  <Characters>0</Characters>
  <Lines>0</Lines>
  <Paragraphs>0</Paragraphs>
  <TotalTime>1</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2019-08-26T01:51:00Z</dcterms:created>
  <dc:creator>伊藤诚</dc:creator>
  <cp:lastModifiedBy>空城北榄雨</cp:lastModifiedBy>
  <dcterms:modified xsi:type="dcterms:W3CDTF">2019-09-04T07:24:49Z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