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center"/>
        <w:textAlignment w:val="auto"/>
        <w:outlineLvl w:val="9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残疾军人、伤残人民警察、伤残国家机关工作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56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人员、伤残民兵民工残疾抚恤金标准表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</w:rPr>
        <w:t xml:space="preserve"> （从20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4"/>
        </w:rPr>
        <w:t>月1日起执行）                     单位：元/年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残疾等级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残疾性质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抚恤金标准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因病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二级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因病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三级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因病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四级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因病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五级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因病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六级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因病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七级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八级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九级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十级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因战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因公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480" w:firstLineChars="200"/>
        <w:jc w:val="center"/>
        <w:textAlignment w:val="auto"/>
        <w:outlineLvl w:val="9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eastAsia="仿宋_GB2312"/>
      <w:color w:val="000000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2019-08-23T04:06:51Z</dcterms:created>
  <dc:creator>HP</dc:creator>
  <cp:lastModifiedBy>HP</cp:lastModifiedBy>
  <dcterms:modified xsi:type="dcterms:W3CDTF">2019-08-23T04:10:55Z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