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F07DA">
      <w:pPr>
        <w:spacing w:line="600" w:lineRule="exact"/>
        <w:jc w:val="center"/>
        <w:rPr>
          <w:rFonts w:ascii="方正小标宋简体" w:hAnsi="方正小标宋简体" w:eastAsia="方正小标宋简体"/>
          <w:sz w:val="36"/>
        </w:rPr>
      </w:pPr>
      <w:r>
        <w:rPr>
          <w:rFonts w:hint="eastAsia" w:ascii="方正小标宋简体" w:hAnsi="方正小标宋简体" w:eastAsia="方正小标宋简体"/>
          <w:sz w:val="36"/>
          <w:lang w:val="en-US" w:eastAsia="zh-CN"/>
        </w:rPr>
        <w:t>魏县经济开发区</w:t>
      </w:r>
      <w:r>
        <w:rPr>
          <w:rFonts w:hint="eastAsia" w:ascii="方正小标宋简体" w:hAnsi="方正小标宋简体" w:eastAsia="方正小标宋简体"/>
          <w:sz w:val="36"/>
        </w:rPr>
        <w:t>权责清单</w:t>
      </w:r>
    </w:p>
    <w:p w14:paraId="64F090D3">
      <w:pPr>
        <w:spacing w:line="600" w:lineRule="exact"/>
        <w:jc w:val="center"/>
        <w:rPr>
          <w:rFonts w:hint="eastAsia" w:ascii="楷体_GB2312" w:hAnsi="楷体_GB2312" w:eastAsia="楷体_GB2312" w:cs="楷体_GB2312"/>
          <w:sz w:val="36"/>
        </w:rPr>
      </w:pPr>
      <w:r>
        <w:rPr>
          <w:rFonts w:hint="eastAsia" w:ascii="楷体_GB2312" w:hAnsi="楷体_GB2312" w:eastAsia="楷体_GB2312" w:cs="楷体_GB2312"/>
        </w:rPr>
        <w:t>（共</w:t>
      </w:r>
      <w:r>
        <w:rPr>
          <w:rFonts w:hint="eastAsia" w:ascii="楷体_GB2312" w:hAnsi="楷体_GB2312" w:eastAsia="楷体_GB2312" w:cs="楷体_GB231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</w:rPr>
        <w:t>类、</w:t>
      </w:r>
      <w:r>
        <w:rPr>
          <w:rFonts w:hint="eastAsia" w:ascii="楷体_GB2312" w:hAnsi="楷体_GB2312" w:eastAsia="楷体_GB2312" w:cs="楷体_GB231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</w:rPr>
        <w:t>项）</w:t>
      </w:r>
    </w:p>
    <w:tbl>
      <w:tblPr>
        <w:tblStyle w:val="4"/>
        <w:tblW w:w="13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13"/>
        <w:gridCol w:w="1875"/>
        <w:gridCol w:w="1300"/>
        <w:gridCol w:w="2487"/>
        <w:gridCol w:w="2388"/>
        <w:gridCol w:w="2550"/>
        <w:gridCol w:w="1250"/>
      </w:tblGrid>
      <w:tr w14:paraId="6886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52" w:type="dxa"/>
            <w:noWrap w:val="0"/>
            <w:vAlign w:val="center"/>
          </w:tcPr>
          <w:p w14:paraId="2334A9B9">
            <w:pPr>
              <w:autoSpaceDN w:val="0"/>
              <w:spacing w:line="300" w:lineRule="exact"/>
              <w:jc w:val="center"/>
              <w:textAlignment w:val="center"/>
              <w:rPr>
                <w:rFonts w:ascii="仿宋_GB2312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序号</w:t>
            </w:r>
          </w:p>
        </w:tc>
        <w:tc>
          <w:tcPr>
            <w:tcW w:w="1213" w:type="dxa"/>
            <w:noWrap w:val="0"/>
            <w:vAlign w:val="center"/>
          </w:tcPr>
          <w:p w14:paraId="1FFB10AA">
            <w:pPr>
              <w:autoSpaceDN w:val="0"/>
              <w:spacing w:line="30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权力类型</w:t>
            </w:r>
          </w:p>
        </w:tc>
        <w:tc>
          <w:tcPr>
            <w:tcW w:w="1875" w:type="dxa"/>
            <w:noWrap w:val="0"/>
            <w:vAlign w:val="center"/>
          </w:tcPr>
          <w:p w14:paraId="70EA40F6">
            <w:pPr>
              <w:autoSpaceDN w:val="0"/>
              <w:spacing w:line="300" w:lineRule="exact"/>
              <w:jc w:val="center"/>
              <w:textAlignment w:val="center"/>
              <w:rPr>
                <w:rFonts w:ascii="仿宋_GB2312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权力事项</w:t>
            </w:r>
          </w:p>
        </w:tc>
        <w:tc>
          <w:tcPr>
            <w:tcW w:w="1300" w:type="dxa"/>
            <w:noWrap w:val="0"/>
            <w:vAlign w:val="center"/>
          </w:tcPr>
          <w:p w14:paraId="2D5636A5">
            <w:pPr>
              <w:autoSpaceDN w:val="0"/>
              <w:spacing w:line="300" w:lineRule="exact"/>
              <w:jc w:val="center"/>
              <w:textAlignment w:val="center"/>
              <w:rPr>
                <w:rFonts w:ascii="仿宋_GB2312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行政主体</w:t>
            </w:r>
          </w:p>
        </w:tc>
        <w:tc>
          <w:tcPr>
            <w:tcW w:w="2487" w:type="dxa"/>
            <w:noWrap w:val="0"/>
            <w:vAlign w:val="center"/>
          </w:tcPr>
          <w:p w14:paraId="47949642">
            <w:pPr>
              <w:autoSpaceDN w:val="0"/>
              <w:spacing w:line="300" w:lineRule="exact"/>
              <w:jc w:val="center"/>
              <w:textAlignment w:val="center"/>
              <w:rPr>
                <w:rFonts w:ascii="仿宋_GB2312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实施依据</w:t>
            </w:r>
          </w:p>
        </w:tc>
        <w:tc>
          <w:tcPr>
            <w:tcW w:w="2388" w:type="dxa"/>
            <w:noWrap w:val="0"/>
            <w:vAlign w:val="center"/>
          </w:tcPr>
          <w:p w14:paraId="7CEF590F">
            <w:pPr>
              <w:autoSpaceDN w:val="0"/>
              <w:spacing w:line="300" w:lineRule="exact"/>
              <w:jc w:val="center"/>
              <w:textAlignment w:val="center"/>
              <w:rPr>
                <w:rFonts w:ascii="仿宋_GB2312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责任事项</w:t>
            </w:r>
          </w:p>
        </w:tc>
        <w:tc>
          <w:tcPr>
            <w:tcW w:w="2550" w:type="dxa"/>
            <w:noWrap w:val="0"/>
            <w:vAlign w:val="center"/>
          </w:tcPr>
          <w:p w14:paraId="6A454926">
            <w:pPr>
              <w:autoSpaceDN w:val="0"/>
              <w:spacing w:line="300" w:lineRule="exact"/>
              <w:jc w:val="center"/>
              <w:textAlignment w:val="center"/>
              <w:rPr>
                <w:rFonts w:ascii="仿宋_GB2312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追责情形</w:t>
            </w:r>
          </w:p>
        </w:tc>
        <w:tc>
          <w:tcPr>
            <w:tcW w:w="1250" w:type="dxa"/>
            <w:noWrap w:val="0"/>
            <w:vAlign w:val="center"/>
          </w:tcPr>
          <w:p w14:paraId="192F81C4">
            <w:pPr>
              <w:autoSpaceDN w:val="0"/>
              <w:spacing w:line="300" w:lineRule="exact"/>
              <w:jc w:val="center"/>
              <w:textAlignment w:val="center"/>
              <w:rPr>
                <w:rFonts w:ascii="仿宋_GB2312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备注</w:t>
            </w:r>
          </w:p>
        </w:tc>
      </w:tr>
      <w:tr w14:paraId="25D2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1" w:hRule="exact"/>
        </w:trPr>
        <w:tc>
          <w:tcPr>
            <w:tcW w:w="752" w:type="dxa"/>
            <w:noWrap w:val="0"/>
            <w:vAlign w:val="center"/>
          </w:tcPr>
          <w:p w14:paraId="11947297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3" w:type="dxa"/>
            <w:noWrap w:val="0"/>
            <w:vAlign w:val="center"/>
          </w:tcPr>
          <w:p w14:paraId="4886176C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其他类</w:t>
            </w:r>
          </w:p>
        </w:tc>
        <w:tc>
          <w:tcPr>
            <w:tcW w:w="1875" w:type="dxa"/>
            <w:noWrap w:val="0"/>
            <w:vAlign w:val="center"/>
          </w:tcPr>
          <w:p w14:paraId="62BA5631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项目建设</w:t>
            </w:r>
          </w:p>
          <w:p w14:paraId="685A607C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工程布局</w:t>
            </w:r>
          </w:p>
        </w:tc>
        <w:tc>
          <w:tcPr>
            <w:tcW w:w="1300" w:type="dxa"/>
            <w:noWrap w:val="0"/>
            <w:vAlign w:val="center"/>
          </w:tcPr>
          <w:p w14:paraId="1CB4185C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魏县经济开发区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管委会</w:t>
            </w:r>
          </w:p>
        </w:tc>
        <w:tc>
          <w:tcPr>
            <w:tcW w:w="2487" w:type="dxa"/>
            <w:noWrap w:val="0"/>
            <w:vAlign w:val="center"/>
          </w:tcPr>
          <w:p w14:paraId="01AACB37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《中华人民共和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国建筑法》第十一条：建设工程必须符合国家的强制性标准和规定，保证施工质量，保障人员安全和财产安全。</w:t>
            </w:r>
          </w:p>
        </w:tc>
        <w:tc>
          <w:tcPr>
            <w:tcW w:w="2388" w:type="dxa"/>
            <w:noWrap w:val="0"/>
            <w:vAlign w:val="center"/>
          </w:tcPr>
          <w:p w14:paraId="022034E1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1.检查责任：对本辖区内检检验检测机构及其工作情况组织监督检查；</w:t>
            </w:r>
          </w:p>
          <w:p w14:paraId="452384E7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2.移送责任：及时予以公告，对构成违法犯罪的移交司法机关；</w:t>
            </w:r>
          </w:p>
          <w:p w14:paraId="340D019D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3.事后管理责任：对监督检查发现的问题，检验检测机构整改完成后，对整改情况组织进行核查；</w:t>
            </w:r>
          </w:p>
          <w:p w14:paraId="60693385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4.其他责任：法律法规规章等规定应履行的责任。</w:t>
            </w:r>
          </w:p>
        </w:tc>
        <w:tc>
          <w:tcPr>
            <w:tcW w:w="2550" w:type="dxa"/>
            <w:noWrap w:val="0"/>
            <w:vAlign w:val="center"/>
          </w:tcPr>
          <w:p w14:paraId="5DFACABE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因不履行或不正确履行行政职责，有下列情形的，行政机关及相关工作人员应承担相应责任：</w:t>
            </w:r>
          </w:p>
          <w:p w14:paraId="7C84CA57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1.不对本辖区内检验检测机构及其工作情况组织监督检查；</w:t>
            </w:r>
          </w:p>
          <w:p w14:paraId="5C0752AB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2.对在检查中发现的问题，不责令限期整改；</w:t>
            </w:r>
          </w:p>
          <w:p w14:paraId="7A1E8446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3.不及时予以公告，对构成违法犯罪的不移交司法机关；</w:t>
            </w:r>
          </w:p>
          <w:p w14:paraId="2622EFED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4.对监督检查发现的问题，检验检测机构整改完成后，不对整改情况组织进行核查；</w:t>
            </w:r>
          </w:p>
          <w:p w14:paraId="476C6429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5.其他违反法律法规规章文件规定的行为。</w:t>
            </w:r>
          </w:p>
        </w:tc>
        <w:tc>
          <w:tcPr>
            <w:tcW w:w="1250" w:type="dxa"/>
            <w:noWrap w:val="0"/>
            <w:vAlign w:val="center"/>
          </w:tcPr>
          <w:p w14:paraId="5F883077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F04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1" w:hRule="exact"/>
        </w:trPr>
        <w:tc>
          <w:tcPr>
            <w:tcW w:w="752" w:type="dxa"/>
            <w:noWrap w:val="0"/>
            <w:vAlign w:val="center"/>
          </w:tcPr>
          <w:p w14:paraId="7D1CFD19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3" w:type="dxa"/>
            <w:noWrap w:val="0"/>
            <w:vAlign w:val="center"/>
          </w:tcPr>
          <w:p w14:paraId="63FC2F8B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其他类</w:t>
            </w:r>
          </w:p>
        </w:tc>
        <w:tc>
          <w:tcPr>
            <w:tcW w:w="1875" w:type="dxa"/>
            <w:noWrap w:val="0"/>
            <w:vAlign w:val="center"/>
          </w:tcPr>
          <w:p w14:paraId="0A5DB5D8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安全生产</w:t>
            </w:r>
          </w:p>
          <w:p w14:paraId="06A21CE7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监督</w:t>
            </w:r>
          </w:p>
        </w:tc>
        <w:tc>
          <w:tcPr>
            <w:tcW w:w="1300" w:type="dxa"/>
            <w:noWrap w:val="0"/>
            <w:vAlign w:val="center"/>
          </w:tcPr>
          <w:p w14:paraId="35F0BD78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魏县经济开发区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管委会</w:t>
            </w:r>
          </w:p>
        </w:tc>
        <w:tc>
          <w:tcPr>
            <w:tcW w:w="2487" w:type="dxa"/>
            <w:noWrap w:val="0"/>
            <w:vAlign w:val="center"/>
          </w:tcPr>
          <w:p w14:paraId="026C90CB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根据《中华人民共和国安全生产法》第六十五条规定，依法开展安全生产行政执法工作，对生产经营单位执行有关安全生产的法律、法规和国家标准或者行业标准的情况进行监督检查。</w:t>
            </w:r>
          </w:p>
        </w:tc>
        <w:tc>
          <w:tcPr>
            <w:tcW w:w="2388" w:type="dxa"/>
            <w:noWrap w:val="0"/>
            <w:vAlign w:val="center"/>
          </w:tcPr>
          <w:p w14:paraId="183BEA45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1.检查责任：对本辖区内检检验检测机构及其工作情况组织监督检查；</w:t>
            </w:r>
          </w:p>
          <w:p w14:paraId="560F06BB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2.移送责任：及时予以公告，对构成违法犯罪的移交司法机关；</w:t>
            </w:r>
          </w:p>
          <w:p w14:paraId="159A5C0A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3.事后管理责任：对监督检查发现的问题，检验检测机构整改完成后，对整改情况组织进行核查；</w:t>
            </w:r>
          </w:p>
          <w:p w14:paraId="68049047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4.其他责任：法律法规规章等规定应履行的责任。</w:t>
            </w:r>
          </w:p>
        </w:tc>
        <w:tc>
          <w:tcPr>
            <w:tcW w:w="2550" w:type="dxa"/>
            <w:noWrap w:val="0"/>
            <w:vAlign w:val="center"/>
          </w:tcPr>
          <w:p w14:paraId="34DC3601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因不履行或不正确履行行政职责，有下列情形的，行政机关及相关工作人员应承担相应责任：</w:t>
            </w:r>
          </w:p>
          <w:p w14:paraId="54AF639D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1.不对本辖区内检验检测机构及其工作情况组织监督检查；</w:t>
            </w:r>
          </w:p>
          <w:p w14:paraId="0E1D5959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2.对在检查中发现的问题，不责令限期整改；</w:t>
            </w:r>
          </w:p>
          <w:p w14:paraId="2418C6CB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3.不及时予以公告，对构成违法犯罪的不移交司法机关；</w:t>
            </w:r>
          </w:p>
          <w:p w14:paraId="607454A9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4.对监督检查发现的问题，检验检测机构整改完成后，不对整改情况组织进行核查；</w:t>
            </w:r>
          </w:p>
          <w:p w14:paraId="2DB6190B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5.其他违反法律法规规章文件规定的行为。</w:t>
            </w:r>
          </w:p>
        </w:tc>
        <w:tc>
          <w:tcPr>
            <w:tcW w:w="1250" w:type="dxa"/>
            <w:noWrap w:val="0"/>
            <w:vAlign w:val="center"/>
          </w:tcPr>
          <w:p w14:paraId="4C8D991E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C4CA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6" w:hRule="exact"/>
        </w:trPr>
        <w:tc>
          <w:tcPr>
            <w:tcW w:w="752" w:type="dxa"/>
            <w:noWrap w:val="0"/>
            <w:vAlign w:val="center"/>
          </w:tcPr>
          <w:p w14:paraId="7AAE0936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3" w:type="dxa"/>
            <w:noWrap w:val="0"/>
            <w:vAlign w:val="center"/>
          </w:tcPr>
          <w:p w14:paraId="432CF0CA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其他类</w:t>
            </w:r>
          </w:p>
        </w:tc>
        <w:tc>
          <w:tcPr>
            <w:tcW w:w="1875" w:type="dxa"/>
            <w:noWrap w:val="0"/>
            <w:vAlign w:val="center"/>
          </w:tcPr>
          <w:p w14:paraId="68C632B2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环境保护监督</w:t>
            </w:r>
          </w:p>
        </w:tc>
        <w:tc>
          <w:tcPr>
            <w:tcW w:w="1300" w:type="dxa"/>
            <w:noWrap w:val="0"/>
            <w:vAlign w:val="center"/>
          </w:tcPr>
          <w:p w14:paraId="5C5C5DF0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魏县经济开发区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管委会</w:t>
            </w:r>
          </w:p>
        </w:tc>
        <w:tc>
          <w:tcPr>
            <w:tcW w:w="2487" w:type="dxa"/>
            <w:noWrap w:val="0"/>
            <w:vAlign w:val="center"/>
          </w:tcPr>
          <w:p w14:paraId="2118A59E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根据《中华人民共和国大气污染防治法》第十八条　企业事业单位和其他生产经营者建设对大气环境有影响的项目，应当依法进行环境影响评价、公开环境影响评价文件；向大气排放污染物的，应当符合大气污染物排放标准，遵守重点大气污染物排放总量控制要求。</w:t>
            </w:r>
          </w:p>
          <w:p w14:paraId="70ADAE03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388" w:type="dxa"/>
            <w:noWrap w:val="0"/>
            <w:vAlign w:val="center"/>
          </w:tcPr>
          <w:p w14:paraId="13B826B0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1.检查责任：对本辖区内检检验检测机构及其工作情况组织监督检查；</w:t>
            </w:r>
          </w:p>
          <w:p w14:paraId="745D4EAD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2.移送责任：及时予以公告，对构成违法犯罪的移交司法机关；</w:t>
            </w:r>
          </w:p>
          <w:p w14:paraId="6FAB2388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3.事后管理责任：对监督检查发现的问题，检验检测机构整改完成后，对整改情况组织进行核查；</w:t>
            </w:r>
          </w:p>
          <w:p w14:paraId="36BAB57E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4.其他责任：法律法规规章等规定应履行的责任。</w:t>
            </w:r>
          </w:p>
        </w:tc>
        <w:tc>
          <w:tcPr>
            <w:tcW w:w="2550" w:type="dxa"/>
            <w:noWrap w:val="0"/>
            <w:vAlign w:val="center"/>
          </w:tcPr>
          <w:p w14:paraId="3B1856ED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因不履行或不正确履行行政职责，有下列情形的，行政机关及相关工作人员应承担相应责任：</w:t>
            </w:r>
          </w:p>
          <w:p w14:paraId="21EC6DA6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1.不对本辖区内检验检测机构及其工作情况组织监督检查；</w:t>
            </w:r>
          </w:p>
          <w:p w14:paraId="2C01E0ED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2.对在检查中发现的问题，不责令限期整改；</w:t>
            </w:r>
          </w:p>
          <w:p w14:paraId="186C9F43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3.不及时予以公告，对构成违法犯罪的不移交司法机关；</w:t>
            </w:r>
          </w:p>
          <w:p w14:paraId="06FC4AE2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4.对监督检查发现的问题，检验检测机构整改完成后，不对整改情况组织进行核查；</w:t>
            </w:r>
          </w:p>
          <w:p w14:paraId="5973A9F6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5.其他违反法律法规规章文件规定的行为。</w:t>
            </w:r>
          </w:p>
        </w:tc>
        <w:tc>
          <w:tcPr>
            <w:tcW w:w="1250" w:type="dxa"/>
            <w:noWrap w:val="0"/>
            <w:vAlign w:val="center"/>
          </w:tcPr>
          <w:p w14:paraId="6C521021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4817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7" w:hRule="exact"/>
        </w:trPr>
        <w:tc>
          <w:tcPr>
            <w:tcW w:w="752" w:type="dxa"/>
            <w:noWrap w:val="0"/>
            <w:vAlign w:val="center"/>
          </w:tcPr>
          <w:p w14:paraId="1C402542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3" w:type="dxa"/>
            <w:noWrap w:val="0"/>
            <w:vAlign w:val="center"/>
          </w:tcPr>
          <w:p w14:paraId="594986AA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其他类</w:t>
            </w:r>
          </w:p>
        </w:tc>
        <w:tc>
          <w:tcPr>
            <w:tcW w:w="1875" w:type="dxa"/>
            <w:noWrap w:val="0"/>
            <w:vAlign w:val="center"/>
          </w:tcPr>
          <w:p w14:paraId="7EA3CF5E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基层党建工作监督</w:t>
            </w:r>
          </w:p>
        </w:tc>
        <w:tc>
          <w:tcPr>
            <w:tcW w:w="1300" w:type="dxa"/>
            <w:noWrap w:val="0"/>
            <w:vAlign w:val="center"/>
          </w:tcPr>
          <w:p w14:paraId="2E7925A7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魏县经济开发区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管委会</w:t>
            </w:r>
          </w:p>
        </w:tc>
        <w:tc>
          <w:tcPr>
            <w:tcW w:w="2487" w:type="dxa"/>
            <w:noWrap w:val="0"/>
            <w:vAlign w:val="center"/>
          </w:tcPr>
          <w:p w14:paraId="0C41F2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根据《中国共产党党内监督条例》第十七条　党内监督必须加强对党组织主要负责人和关键岗位领导干部的监督，重点监督其政治立场、加强党的建设、从严治党，执行党的决议，公道正派选人用人，责任担当、廉洁自律，落实意识形态工作责任制情况。上级党组织特别是其主要负责人，对下级党组织主要负责人应当平时多过问、多提醒，发现问题及时纠正。领导班子成员发现班子主要负责人存在问题，应当及时向其提出，必要时可以直接向上级党组织报告。党组织主要负责人个人有关事项应当在党内一定范围公开，主动接受监督。</w:t>
            </w:r>
          </w:p>
          <w:p w14:paraId="10021F5D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388" w:type="dxa"/>
            <w:noWrap w:val="0"/>
            <w:vAlign w:val="center"/>
          </w:tcPr>
          <w:p w14:paraId="69CB3337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1.检查责任：对本辖区内检检验检测机构及其工作情况组织监督检查；</w:t>
            </w:r>
          </w:p>
          <w:p w14:paraId="794CFEB9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2.移送责任：及时予以公告，对构成违法犯罪的移交司法机关；</w:t>
            </w:r>
          </w:p>
          <w:p w14:paraId="7C2075BB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3.事后管理责任：对监督检查发现的问题，检验检测机构整改完成后，对整改情况组织进行核查；</w:t>
            </w:r>
          </w:p>
          <w:p w14:paraId="75701666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4.其他责任：法律法规规章等规定应履行的责任。</w:t>
            </w:r>
          </w:p>
        </w:tc>
        <w:tc>
          <w:tcPr>
            <w:tcW w:w="2550" w:type="dxa"/>
            <w:noWrap w:val="0"/>
            <w:vAlign w:val="center"/>
          </w:tcPr>
          <w:p w14:paraId="4516364F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因不履行或不正确履行行政职责，有下列情形的，行政机关及相关工作人员应承担相应责任：</w:t>
            </w:r>
          </w:p>
          <w:p w14:paraId="4D50433E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1.不对本辖区内检验检测机构及其工作情况组织监督检查；</w:t>
            </w:r>
          </w:p>
          <w:p w14:paraId="03D526A3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2.对在检查中发现的问题，不责令限期整改；</w:t>
            </w:r>
          </w:p>
          <w:p w14:paraId="28141986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3.不及时予以公告，对构成违法犯罪的不移交司法机关；</w:t>
            </w:r>
          </w:p>
          <w:p w14:paraId="04514310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4.对监督检查发现的问题，检验检测机构整改完成后，不对整改情况组织进行核查；</w:t>
            </w:r>
          </w:p>
          <w:p w14:paraId="055E4CA4">
            <w:pPr>
              <w:autoSpaceDN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5.其他违反法律法规规章文件规定的行为。</w:t>
            </w:r>
          </w:p>
        </w:tc>
        <w:tc>
          <w:tcPr>
            <w:tcW w:w="1250" w:type="dxa"/>
            <w:noWrap w:val="0"/>
            <w:vAlign w:val="center"/>
          </w:tcPr>
          <w:p w14:paraId="6D9DABDB">
            <w:pPr>
              <w:autoSpaceDN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4B64C98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322C8"/>
    <w:rsid w:val="1D43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2026-09-23T08:07:00Z</dcterms:created>
  <dc:creator>ATTRACTIVE DAVID</dc:creator>
  <cp:lastModifiedBy>ATTRACTIVE DAVID</cp:lastModifiedBy>
  <dcterms:modified xsi:type="dcterms:W3CDTF">2026-09-23T08:15:16Z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DA8056086AB04D3088D5339FE0DC5B2B_11</vt:lpwstr>
  </property>
  <property fmtid="{D5CDD505-2E9C-101B-9397-08002B2CF9AE}" pid="4" name="KSOTemplateDocerSaveRecord">
    <vt:lpwstr>eyJoZGlkIjoiZWE4ZTBkYjg2ODRiM2UwNTIzMDhiNTkwMjhmNjBmMWUiLCJ1c2VySWQiOiIxMTMyNTMwMjA1In0=</vt:lpwstr>
  </property>
</Properties>
</file>