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9" w:name="_GoBack"/>
      <w:bookmarkEnd w:id="19"/>
      <w:r>
        <w:rPr>
          <w:rFonts w:ascii="黑体" w:hAnsi="黑体" w:eastAsia="黑体" w:cs="黑体"/>
          <w:b/>
          <w:color w:val="000000"/>
          <w:sz w:val="44"/>
        </w:rPr>
        <w:t>2022年部门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pPr>
        <w:outlineLvl w:val="0"/>
        <w:rPr>
          <w:rFonts w:eastAsiaTheme="minorEastAsia"/>
          <w:lang w:eastAsia="zh-CN"/>
        </w:rPr>
      </w:pPr>
    </w:p>
    <w:p/>
    <w:p>
      <w:pPr>
        <w:pStyle w:val="32"/>
        <w:tabs>
          <w:tab w:val="right" w:leader="dot" w:pos="14562"/>
        </w:tabs>
        <w:rPr>
          <w:lang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一、魏县信访局本级收支预算</w:t>
      </w:r>
      <w:r>
        <w:tab/>
      </w:r>
      <w:r>
        <w:rPr>
          <w:rFonts w:hint="eastAsia"/>
          <w:lang w:eastAsia="zh-CN"/>
        </w:rPr>
        <w:t>1</w:t>
      </w:r>
      <w:r>
        <w:rPr>
          <w:rFonts w:hint="eastAsia"/>
          <w:lang w:eastAsia="zh-CN"/>
        </w:rPr>
        <w:fldChar w:fldCharType="end"/>
      </w:r>
    </w:p>
    <w:p>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ascii="方正小标宋_GBK" w:hAnsi="方正小标宋_GBK" w:eastAsia="方正小标宋_GBK" w:cs="方正小标宋_GBK"/>
          <w:color w:val="000000"/>
          <w:sz w:val="72"/>
          <w:lang w:eastAsia="zh-CN"/>
        </w:rPr>
      </w:pPr>
      <w:bookmarkStart w:id="0" w:name="_Toc_2_2_0000000001"/>
      <w:r>
        <w:rPr>
          <w:rFonts w:ascii="方正小标宋_GBK" w:hAnsi="方正小标宋_GBK" w:eastAsia="方正小标宋_GBK" w:cs="方正小标宋_GBK"/>
          <w:color w:val="000000"/>
          <w:sz w:val="72"/>
        </w:rPr>
        <w:t>部门</w:t>
      </w:r>
      <w:r>
        <w:rPr>
          <w:rFonts w:hint="eastAsia" w:ascii="方正小标宋_GBK" w:hAnsi="方正小标宋_GBK" w:eastAsia="方正小标宋_GBK" w:cs="方正小标宋_GBK"/>
          <w:color w:val="000000"/>
          <w:sz w:val="72"/>
          <w:lang w:eastAsia="zh-CN"/>
        </w:rPr>
        <w:t>所属单位</w:t>
      </w:r>
      <w:r>
        <w:rPr>
          <w:rFonts w:ascii="方正小标宋_GBK" w:hAnsi="方正小标宋_GBK" w:eastAsia="方正小标宋_GBK" w:cs="方正小标宋_GBK"/>
          <w:color w:val="000000"/>
          <w:sz w:val="72"/>
        </w:rPr>
        <w:t>预算</w:t>
      </w:r>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202魏县信访局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860.74</w:t>
            </w:r>
          </w:p>
        </w:tc>
        <w:tc>
          <w:tcPr>
            <w:tcW w:w="4535" w:type="dxa"/>
            <w:vAlign w:val="center"/>
          </w:tcPr>
          <w:p>
            <w:pPr>
              <w:pStyle w:val="12"/>
            </w:pPr>
            <w:r>
              <w:t>一、一般公共服务支出</w:t>
            </w:r>
          </w:p>
        </w:tc>
        <w:tc>
          <w:tcPr>
            <w:tcW w:w="2126" w:type="dxa"/>
            <w:vAlign w:val="center"/>
          </w:tcPr>
          <w:p>
            <w:pPr>
              <w:pStyle w:val="11"/>
            </w:pPr>
            <w:r>
              <w:t>845.84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860.74</w:t>
            </w:r>
          </w:p>
        </w:tc>
        <w:tc>
          <w:tcPr>
            <w:tcW w:w="4535" w:type="dxa"/>
            <w:vAlign w:val="center"/>
          </w:tcPr>
          <w:p>
            <w:pPr>
              <w:pStyle w:val="14"/>
            </w:pPr>
            <w:r>
              <w:t>本年支出合计</w:t>
            </w:r>
          </w:p>
        </w:tc>
        <w:tc>
          <w:tcPr>
            <w:tcW w:w="2126" w:type="dxa"/>
            <w:vAlign w:val="center"/>
          </w:tcPr>
          <w:p>
            <w:pPr>
              <w:pStyle w:val="15"/>
            </w:pPr>
            <w:r>
              <w:t>860.74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860.74</w:t>
            </w:r>
          </w:p>
        </w:tc>
        <w:tc>
          <w:tcPr>
            <w:tcW w:w="4535" w:type="dxa"/>
            <w:vAlign w:val="center"/>
          </w:tcPr>
          <w:p>
            <w:pPr>
              <w:pStyle w:val="14"/>
            </w:pPr>
            <w:r>
              <w:t>支出总计</w:t>
            </w:r>
          </w:p>
        </w:tc>
        <w:tc>
          <w:tcPr>
            <w:tcW w:w="2126" w:type="dxa"/>
            <w:vAlign w:val="center"/>
          </w:tcPr>
          <w:p>
            <w:pPr>
              <w:pStyle w:val="15"/>
            </w:pPr>
            <w:r>
              <w:t>860.74</w:t>
            </w:r>
          </w:p>
        </w:tc>
      </w:tr>
    </w:tbl>
    <w:p>
      <w:pPr>
        <w:sectPr>
          <w:footerReference r:id="rId9" w:type="default"/>
          <w:footerReference r:id="rId10"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202魏县信访局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860.74</w:t>
            </w:r>
          </w:p>
        </w:tc>
        <w:tc>
          <w:tcPr>
            <w:tcW w:w="1134" w:type="dxa"/>
            <w:vAlign w:val="center"/>
          </w:tcPr>
          <w:p>
            <w:pPr>
              <w:pStyle w:val="15"/>
            </w:pPr>
            <w:r>
              <w:t>860.74</w:t>
            </w:r>
          </w:p>
        </w:tc>
        <w:tc>
          <w:tcPr>
            <w:tcW w:w="1134" w:type="dxa"/>
            <w:vAlign w:val="center"/>
          </w:tcPr>
          <w:p>
            <w:pPr>
              <w:pStyle w:val="15"/>
            </w:pPr>
            <w:r>
              <w:t>860.74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845.84</w:t>
            </w:r>
          </w:p>
        </w:tc>
        <w:tc>
          <w:tcPr>
            <w:tcW w:w="1134" w:type="dxa"/>
            <w:vAlign w:val="center"/>
          </w:tcPr>
          <w:p>
            <w:pPr>
              <w:pStyle w:val="11"/>
            </w:pPr>
            <w:r>
              <w:t>845.84</w:t>
            </w:r>
          </w:p>
        </w:tc>
        <w:tc>
          <w:tcPr>
            <w:tcW w:w="1134" w:type="dxa"/>
            <w:vAlign w:val="center"/>
          </w:tcPr>
          <w:p>
            <w:pPr>
              <w:pStyle w:val="11"/>
            </w:pPr>
            <w:r>
              <w:t>845.84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2010308</w:t>
            </w:r>
          </w:p>
        </w:tc>
        <w:tc>
          <w:tcPr>
            <w:tcW w:w="1559" w:type="dxa"/>
            <w:vAlign w:val="center"/>
          </w:tcPr>
          <w:p>
            <w:pPr>
              <w:pStyle w:val="12"/>
            </w:pPr>
            <w:r>
              <w:t>信访事务</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2101199</w:t>
            </w:r>
          </w:p>
        </w:tc>
        <w:tc>
          <w:tcPr>
            <w:tcW w:w="1559" w:type="dxa"/>
            <w:vAlign w:val="center"/>
          </w:tcPr>
          <w:p>
            <w:pPr>
              <w:pStyle w:val="12"/>
            </w:pPr>
            <w:r>
              <w:t>其他行政事业单位医疗支出</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860.74</w:t>
            </w:r>
          </w:p>
        </w:tc>
        <w:tc>
          <w:tcPr>
            <w:tcW w:w="1361" w:type="dxa"/>
            <w:vAlign w:val="center"/>
          </w:tcPr>
          <w:p>
            <w:pPr>
              <w:pStyle w:val="15"/>
            </w:pPr>
            <w:r>
              <w:t>278.85</w:t>
            </w:r>
          </w:p>
        </w:tc>
        <w:tc>
          <w:tcPr>
            <w:tcW w:w="1361" w:type="dxa"/>
            <w:vAlign w:val="center"/>
          </w:tcPr>
          <w:p>
            <w:pPr>
              <w:pStyle w:val="15"/>
            </w:pPr>
            <w:r>
              <w:t>581.89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845.84</w:t>
            </w:r>
          </w:p>
        </w:tc>
        <w:tc>
          <w:tcPr>
            <w:tcW w:w="1361" w:type="dxa"/>
            <w:vAlign w:val="center"/>
          </w:tcPr>
          <w:p>
            <w:pPr>
              <w:pStyle w:val="11"/>
            </w:pPr>
            <w:r>
              <w:t>263.95</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2010308</w:t>
            </w:r>
          </w:p>
        </w:tc>
        <w:tc>
          <w:tcPr>
            <w:tcW w:w="4535" w:type="dxa"/>
            <w:vAlign w:val="center"/>
          </w:tcPr>
          <w:p>
            <w:pPr>
              <w:pStyle w:val="12"/>
            </w:pPr>
            <w:r>
              <w:t>信访事务</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263.95</w:t>
            </w:r>
          </w:p>
        </w:tc>
        <w:tc>
          <w:tcPr>
            <w:tcW w:w="1361" w:type="dxa"/>
            <w:vAlign w:val="center"/>
          </w:tcPr>
          <w:p>
            <w:pPr>
              <w:pStyle w:val="11"/>
            </w:pPr>
            <w:r>
              <w:t>263.95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263.95</w:t>
            </w:r>
          </w:p>
        </w:tc>
        <w:tc>
          <w:tcPr>
            <w:tcW w:w="1361" w:type="dxa"/>
            <w:vAlign w:val="center"/>
          </w:tcPr>
          <w:p>
            <w:pPr>
              <w:pStyle w:val="11"/>
            </w:pPr>
            <w:r>
              <w:t>263.95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2101199</w:t>
            </w:r>
          </w:p>
        </w:tc>
        <w:tc>
          <w:tcPr>
            <w:tcW w:w="4535" w:type="dxa"/>
            <w:vAlign w:val="center"/>
          </w:tcPr>
          <w:p>
            <w:pPr>
              <w:pStyle w:val="12"/>
            </w:pPr>
            <w:r>
              <w:t>其他行政事业单位医疗支出</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860.74</w:t>
            </w:r>
          </w:p>
        </w:tc>
        <w:tc>
          <w:tcPr>
            <w:tcW w:w="3402" w:type="dxa"/>
            <w:vAlign w:val="center"/>
          </w:tcPr>
          <w:p>
            <w:pPr>
              <w:pStyle w:val="12"/>
            </w:pPr>
            <w:r>
              <w:t>一、一般公共服务支出</w:t>
            </w:r>
          </w:p>
        </w:tc>
        <w:tc>
          <w:tcPr>
            <w:tcW w:w="1474" w:type="dxa"/>
            <w:vAlign w:val="center"/>
          </w:tcPr>
          <w:p>
            <w:pPr>
              <w:pStyle w:val="11"/>
            </w:pPr>
            <w:r>
              <w:t>845.84</w:t>
            </w:r>
          </w:p>
        </w:tc>
        <w:tc>
          <w:tcPr>
            <w:tcW w:w="1474" w:type="dxa"/>
            <w:vAlign w:val="center"/>
          </w:tcPr>
          <w:p>
            <w:pPr>
              <w:pStyle w:val="11"/>
            </w:pPr>
            <w:r>
              <w:t>845.84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3.12</w:t>
            </w:r>
          </w:p>
        </w:tc>
        <w:tc>
          <w:tcPr>
            <w:tcW w:w="1474" w:type="dxa"/>
            <w:vAlign w:val="center"/>
          </w:tcPr>
          <w:p>
            <w:pPr>
              <w:pStyle w:val="11"/>
            </w:pPr>
            <w:r>
              <w:t>3.12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11.78</w:t>
            </w:r>
          </w:p>
        </w:tc>
        <w:tc>
          <w:tcPr>
            <w:tcW w:w="1474" w:type="dxa"/>
            <w:vAlign w:val="center"/>
          </w:tcPr>
          <w:p>
            <w:pPr>
              <w:pStyle w:val="11"/>
            </w:pPr>
            <w:r>
              <w:t>11.78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860.74</w:t>
            </w:r>
          </w:p>
        </w:tc>
        <w:tc>
          <w:tcPr>
            <w:tcW w:w="3402" w:type="dxa"/>
            <w:vAlign w:val="center"/>
          </w:tcPr>
          <w:p>
            <w:pPr>
              <w:pStyle w:val="14"/>
            </w:pPr>
            <w:r>
              <w:t>本年支出合计</w:t>
            </w:r>
          </w:p>
        </w:tc>
        <w:tc>
          <w:tcPr>
            <w:tcW w:w="1474" w:type="dxa"/>
            <w:vAlign w:val="center"/>
          </w:tcPr>
          <w:p>
            <w:pPr>
              <w:pStyle w:val="15"/>
            </w:pPr>
            <w:r>
              <w:t>860.74</w:t>
            </w:r>
          </w:p>
        </w:tc>
        <w:tc>
          <w:tcPr>
            <w:tcW w:w="1474" w:type="dxa"/>
            <w:vAlign w:val="center"/>
          </w:tcPr>
          <w:p>
            <w:pPr>
              <w:pStyle w:val="15"/>
            </w:pPr>
            <w:r>
              <w:t>860.74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860.74</w:t>
            </w:r>
          </w:p>
        </w:tc>
        <w:tc>
          <w:tcPr>
            <w:tcW w:w="3402" w:type="dxa"/>
            <w:vAlign w:val="center"/>
          </w:tcPr>
          <w:p>
            <w:pPr>
              <w:pStyle w:val="14"/>
            </w:pPr>
            <w:r>
              <w:t>支出总计</w:t>
            </w:r>
          </w:p>
        </w:tc>
        <w:tc>
          <w:tcPr>
            <w:tcW w:w="1474" w:type="dxa"/>
            <w:vAlign w:val="center"/>
          </w:tcPr>
          <w:p>
            <w:pPr>
              <w:pStyle w:val="15"/>
            </w:pPr>
            <w:r>
              <w:t>860.74</w:t>
            </w:r>
          </w:p>
        </w:tc>
        <w:tc>
          <w:tcPr>
            <w:tcW w:w="1474" w:type="dxa"/>
            <w:vAlign w:val="center"/>
          </w:tcPr>
          <w:p>
            <w:pPr>
              <w:pStyle w:val="15"/>
            </w:pPr>
            <w:r>
              <w:t>860.74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860.74</w:t>
            </w:r>
          </w:p>
        </w:tc>
        <w:tc>
          <w:tcPr>
            <w:tcW w:w="2551" w:type="dxa"/>
            <w:vAlign w:val="center"/>
          </w:tcPr>
          <w:p>
            <w:pPr>
              <w:pStyle w:val="15"/>
            </w:pPr>
            <w:r>
              <w:t>278.85</w:t>
            </w:r>
          </w:p>
        </w:tc>
        <w:tc>
          <w:tcPr>
            <w:tcW w:w="2551" w:type="dxa"/>
            <w:vAlign w:val="center"/>
          </w:tcPr>
          <w:p>
            <w:pPr>
              <w:pStyle w:val="15"/>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845.84</w:t>
            </w:r>
          </w:p>
        </w:tc>
        <w:tc>
          <w:tcPr>
            <w:tcW w:w="2551" w:type="dxa"/>
            <w:vAlign w:val="center"/>
          </w:tcPr>
          <w:p>
            <w:pPr>
              <w:pStyle w:val="11"/>
            </w:pPr>
            <w:r>
              <w:t>263.95</w:t>
            </w: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581.89</w:t>
            </w:r>
          </w:p>
        </w:tc>
        <w:tc>
          <w:tcPr>
            <w:tcW w:w="2551" w:type="dxa"/>
            <w:vAlign w:val="center"/>
          </w:tcPr>
          <w:p>
            <w:pPr>
              <w:pStyle w:val="11"/>
            </w:pP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2010308</w:t>
            </w:r>
          </w:p>
        </w:tc>
        <w:tc>
          <w:tcPr>
            <w:tcW w:w="4535" w:type="dxa"/>
            <w:vAlign w:val="center"/>
          </w:tcPr>
          <w:p>
            <w:pPr>
              <w:pStyle w:val="12"/>
            </w:pPr>
            <w:r>
              <w:t>信访事务</w:t>
            </w:r>
          </w:p>
        </w:tc>
        <w:tc>
          <w:tcPr>
            <w:tcW w:w="2551" w:type="dxa"/>
            <w:vAlign w:val="center"/>
          </w:tcPr>
          <w:p>
            <w:pPr>
              <w:pStyle w:val="11"/>
            </w:pPr>
            <w:r>
              <w:t>581.89</w:t>
            </w:r>
          </w:p>
        </w:tc>
        <w:tc>
          <w:tcPr>
            <w:tcW w:w="2551" w:type="dxa"/>
            <w:vAlign w:val="center"/>
          </w:tcPr>
          <w:p>
            <w:pPr>
              <w:pStyle w:val="11"/>
            </w:pP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263.95</w:t>
            </w:r>
          </w:p>
        </w:tc>
        <w:tc>
          <w:tcPr>
            <w:tcW w:w="2551" w:type="dxa"/>
            <w:vAlign w:val="center"/>
          </w:tcPr>
          <w:p>
            <w:pPr>
              <w:pStyle w:val="11"/>
            </w:pPr>
            <w:r>
              <w:t>263.95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263.95</w:t>
            </w:r>
          </w:p>
        </w:tc>
        <w:tc>
          <w:tcPr>
            <w:tcW w:w="2551" w:type="dxa"/>
            <w:vAlign w:val="center"/>
          </w:tcPr>
          <w:p>
            <w:pPr>
              <w:pStyle w:val="11"/>
            </w:pPr>
            <w:r>
              <w:t>263.95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2101199</w:t>
            </w:r>
          </w:p>
        </w:tc>
        <w:tc>
          <w:tcPr>
            <w:tcW w:w="4535" w:type="dxa"/>
            <w:vAlign w:val="center"/>
          </w:tcPr>
          <w:p>
            <w:pPr>
              <w:pStyle w:val="12"/>
            </w:pPr>
            <w:r>
              <w:t>其他行政事业单位医疗支出</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278.85</w:t>
            </w:r>
          </w:p>
        </w:tc>
        <w:tc>
          <w:tcPr>
            <w:tcW w:w="2551" w:type="dxa"/>
            <w:vAlign w:val="center"/>
          </w:tcPr>
          <w:p>
            <w:pPr>
              <w:pStyle w:val="15"/>
            </w:pPr>
            <w:r>
              <w:t>245.51</w:t>
            </w:r>
          </w:p>
        </w:tc>
        <w:tc>
          <w:tcPr>
            <w:tcW w:w="2551" w:type="dxa"/>
            <w:vAlign w:val="center"/>
          </w:tcPr>
          <w:p>
            <w:pPr>
              <w:pStyle w:val="15"/>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242.39</w:t>
            </w:r>
          </w:p>
        </w:tc>
        <w:tc>
          <w:tcPr>
            <w:tcW w:w="2551" w:type="dxa"/>
            <w:vAlign w:val="center"/>
          </w:tcPr>
          <w:p>
            <w:pPr>
              <w:pStyle w:val="11"/>
            </w:pPr>
            <w:r>
              <w:t>242.39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151.12</w:t>
            </w:r>
          </w:p>
        </w:tc>
        <w:tc>
          <w:tcPr>
            <w:tcW w:w="2551" w:type="dxa"/>
            <w:vAlign w:val="center"/>
          </w:tcPr>
          <w:p>
            <w:pPr>
              <w:pStyle w:val="11"/>
            </w:pPr>
            <w:r>
              <w:t>151.12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6.77</w:t>
            </w:r>
          </w:p>
        </w:tc>
        <w:tc>
          <w:tcPr>
            <w:tcW w:w="2551" w:type="dxa"/>
            <w:vAlign w:val="center"/>
          </w:tcPr>
          <w:p>
            <w:pPr>
              <w:pStyle w:val="11"/>
            </w:pPr>
            <w:r>
              <w:t>6.77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5.18</w:t>
            </w:r>
          </w:p>
        </w:tc>
        <w:tc>
          <w:tcPr>
            <w:tcW w:w="2551" w:type="dxa"/>
            <w:vAlign w:val="center"/>
          </w:tcPr>
          <w:p>
            <w:pPr>
              <w:pStyle w:val="11"/>
            </w:pPr>
            <w:r>
              <w:t>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6.51</w:t>
            </w:r>
          </w:p>
        </w:tc>
        <w:tc>
          <w:tcPr>
            <w:tcW w:w="2551" w:type="dxa"/>
            <w:vAlign w:val="center"/>
          </w:tcPr>
          <w:p>
            <w:pPr>
              <w:pStyle w:val="11"/>
            </w:pPr>
            <w:r>
              <w:t>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22.75</w:t>
            </w:r>
          </w:p>
        </w:tc>
        <w:tc>
          <w:tcPr>
            <w:tcW w:w="2551" w:type="dxa"/>
            <w:vAlign w:val="center"/>
          </w:tcPr>
          <w:p>
            <w:pPr>
              <w:pStyle w:val="11"/>
            </w:pPr>
            <w:r>
              <w:t>22.75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11.37</w:t>
            </w:r>
          </w:p>
        </w:tc>
        <w:tc>
          <w:tcPr>
            <w:tcW w:w="2551" w:type="dxa"/>
            <w:vAlign w:val="center"/>
          </w:tcPr>
          <w:p>
            <w:pPr>
              <w:pStyle w:val="11"/>
            </w:pPr>
            <w:r>
              <w:t>11.37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26.91</w:t>
            </w:r>
          </w:p>
        </w:tc>
        <w:tc>
          <w:tcPr>
            <w:tcW w:w="2551" w:type="dxa"/>
            <w:vAlign w:val="center"/>
          </w:tcPr>
          <w:p>
            <w:pPr>
              <w:pStyle w:val="11"/>
            </w:pPr>
            <w:r>
              <w:t>26.91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33.34</w:t>
            </w:r>
          </w:p>
        </w:tc>
        <w:tc>
          <w:tcPr>
            <w:tcW w:w="2551" w:type="dxa"/>
            <w:vAlign w:val="center"/>
          </w:tcPr>
          <w:p>
            <w:pPr>
              <w:pStyle w:val="11"/>
            </w:pPr>
          </w:p>
        </w:tc>
        <w:tc>
          <w:tcPr>
            <w:tcW w:w="2551" w:type="dxa"/>
            <w:vAlign w:val="center"/>
          </w:tcPr>
          <w:p>
            <w:pPr>
              <w:pStyle w:val="11"/>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8.34</w:t>
            </w:r>
          </w:p>
        </w:tc>
        <w:tc>
          <w:tcPr>
            <w:tcW w:w="2551" w:type="dxa"/>
            <w:vAlign w:val="center"/>
          </w:tcPr>
          <w:p>
            <w:pPr>
              <w:pStyle w:val="11"/>
            </w:pPr>
          </w:p>
        </w:tc>
        <w:tc>
          <w:tcPr>
            <w:tcW w:w="2551" w:type="dxa"/>
            <w:vAlign w:val="center"/>
          </w:tcPr>
          <w:p>
            <w:pPr>
              <w:pStyle w:val="11"/>
            </w:pPr>
            <w:r>
              <w:t>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魏县信访局2022年部门预算信息公开情况说明</w:t>
      </w:r>
    </w:p>
    <w:p>
      <w:pPr>
        <w:jc w:val="center"/>
      </w:pPr>
      <w:r>
        <w:rPr>
          <w:rFonts w:ascii="方正小标宋_GBK" w:hAnsi="方正小标宋_GBK" w:eastAsia="方正小标宋_GBK" w:cs="方正小标宋_GBK"/>
          <w:color w:val="000000"/>
          <w:sz w:val="44"/>
        </w:rPr>
        <w:t>魏县信访局2022年部门预算信息公开情况说明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、《地方预决算公开操作规程》和《关于进一步推进预算公开工作的实施意见》规定，现将魏县信访局2022年部门预算公开如下：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研究提出全县信访工作思路，拟定信访工作制度，维护全县社会稳定。（2）办理人民群众来信，接待群众来访，受理群众网上投诉，查办信访案件，负责人民群众建议征集工作。（3）调查研究和综合分析全县信访形势及信访工作状况，总结推广信访工作经验，提出改进和加强信访工作的意见和建议。（4）参与组织、协调、指导全县社会治安综合治理和维护社会政治稳定工作，协助保障国家、省、市和县重大政治活动顺利进行，参与处理影响社会政治稳定的突发性、群体性事件。</w:t>
      </w:r>
    </w:p>
    <w:p>
      <w:pPr>
        <w:pStyle w:val="17"/>
      </w:pPr>
      <w:r>
        <w:t>（5）督促检查和指导各乡镇党委、政府和县直部门的信访工作,指导全县信访工作的业务建设。对各乡镇党委、政府和县直有关部门信访工作年度责任目标进行考核，对全县社会治安综合治理和维护社会政治稳定年度责任目标中有关信访工作进行考核。（6）协助国家、省和市信访局处理魏县群众进京、赴省到市上访工作，综合协调处理跨地区、跨部门、跨行业的重要信访问题，协助公安机关维护县委、县政府机关正常工作秩序。（7）负责县级领导和县直部门领导公开接访和包联案件的组织协调工作。 （8）承担县信访工作联席会议的日常工作，督促落实联席会议决定的事项。（9）完成县委、县政府以及国家、省和市信访局交办的其他任务。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魏县信访局本级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w:t>
      </w:r>
      <w:r>
        <w:rPr>
          <w:rFonts w:eastAsia="方正仿宋_GBK"/>
          <w:color w:val="000000"/>
          <w:sz w:val="28"/>
        </w:rPr>
        <w:t>部门预算的编制实行综合预算管理，即全部收入和支出都反映在预算中。魏县信访局机关及所属事业单位的收支包含在部门预算中。</w:t>
      </w:r>
    </w:p>
    <w:p>
      <w:pPr>
        <w:pStyle w:val="18"/>
      </w:pPr>
      <w:r>
        <w:t>1、收入说明：2022年收入预算共计852.41万元，全部为财政拨款收入。</w:t>
      </w:r>
    </w:p>
    <w:p>
      <w:pPr>
        <w:pStyle w:val="18"/>
      </w:pPr>
      <w:r>
        <w:t>2、支出说明：202</w:t>
      </w:r>
      <w:r>
        <w:rPr>
          <w:rFonts w:hint="eastAsia"/>
          <w:lang w:eastAsia="zh-CN"/>
        </w:rPr>
        <w:t>2</w:t>
      </w:r>
      <w:r>
        <w:t>年支出预算共计852.41万元，其中人员经费支出预算245.52万元，正常公用经费支出预算25万元，专项公用100万元，专项项目支出481.89万元。</w:t>
      </w:r>
    </w:p>
    <w:p>
      <w:pPr>
        <w:pStyle w:val="18"/>
      </w:pPr>
      <w:r>
        <w:t>3、比上年增减情况：经过对比测算，2022年财政拨款预算比2021年增加207.41万元，主要是：人员支出增加15.52万元，(人员经费增加的主要因素为工资调标)、项目经费增加191.89（解决疑难信访问题配套资金增加）。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机关运行经费共计安排25万元，主要用于保证正常办公的基本需要和维持单位日常业务运转，包括：人员经费、办公费、邮电费、差旅费、福利费、手续费、公务接待费、工会经费、公务用车运行维护费。</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rPr>
          <w:lang w:eastAsia="zh-CN"/>
        </w:rPr>
      </w:pPr>
      <w:r>
        <w:t>2022年，财政拨款“三公”经费预算安排0万元，其中因公出国(境)费0万元；公务用车购置及运维费0万元(其中：公务用车购置费为0万元，公务用车运行费0万元)。与</w:t>
      </w:r>
      <w:r>
        <w:rPr>
          <w:rFonts w:hint="eastAsia"/>
          <w:lang w:eastAsia="zh-CN"/>
        </w:rPr>
        <w:t>2021年持平，无变化。原因：我单位根据业务需要，按照政府过“紧日子”思想和上级有关要求，强化“三公”经费等一般性支出管理，未安排相关经费预算。</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我单位在县委的坚强领导下，深入贯彻中央</w:t>
      </w:r>
      <w:r>
        <w:rPr>
          <w:rFonts w:hint="eastAsia"/>
          <w:lang w:eastAsia="zh-CN"/>
        </w:rPr>
        <w:t>党的十九大</w:t>
      </w:r>
      <w:r>
        <w:t>精神，紧扣县委、县政府确定的目标任务，凝神聚力，开拓创新，</w:t>
      </w:r>
      <w:r>
        <w:rPr>
          <w:rFonts w:hint="eastAsia"/>
          <w:lang w:eastAsia="zh-CN"/>
        </w:rPr>
        <w:t>攻坚克难</w:t>
      </w:r>
      <w:r>
        <w:t>，砥砺奋进，以更加高昂的激情，更加有力的措施，更加务实的作风，全面开创信访工作新局面，为建设经济强、百姓富、环境美、发展质量高的邯郸副中心城市提供和谐稳定的社会环境。</w:t>
      </w:r>
    </w:p>
    <w:p>
      <w:pPr>
        <w:spacing w:line="500" w:lineRule="exact"/>
        <w:ind w:firstLine="560"/>
      </w:pPr>
      <w:r>
        <w:rPr>
          <w:rFonts w:eastAsia="方正仿宋_GBK"/>
          <w:color w:val="000000"/>
          <w:sz w:val="28"/>
        </w:rPr>
        <w:t>（二）分项绩效目标</w:t>
      </w:r>
    </w:p>
    <w:p>
      <w:pPr>
        <w:pStyle w:val="22"/>
      </w:pPr>
      <w:r>
        <w:t>（1）接待、登记、受理信访事项、组织开展矛盾纠纷排查调处、协调处理重要事项、安排县领导公开接访、研究分析信访情况，对县级领导签批的信访事项及时交办、督办、督导等工作，使领导签批的意见得到实处，群众反映的问题得到解决，已经解决的问题进行整理、建立档案。</w:t>
      </w:r>
    </w:p>
    <w:p>
      <w:pPr>
        <w:pStyle w:val="22"/>
      </w:pPr>
      <w:r>
        <w:t>（2）确保中央、省、市、县要结果信访案件按期办结，及时反馈结果。</w:t>
      </w:r>
    </w:p>
    <w:p>
      <w:pPr>
        <w:pStyle w:val="22"/>
      </w:pPr>
      <w:r>
        <w:t>（3）文件起草、会议安排，对信访工作的宣传报道，人民群众建议征集，对本级政府部门和下级的工作指导，机关日常管理。</w:t>
      </w:r>
    </w:p>
    <w:p>
      <w:pPr>
        <w:pStyle w:val="22"/>
      </w:pPr>
      <w:r>
        <w:t>（4）登记、受理信访事项，调处解决群众反映的信访事项，向来访群众宣传有关法律、法规和政策。</w:t>
      </w:r>
    </w:p>
    <w:p>
      <w:pPr>
        <w:spacing w:line="500" w:lineRule="exact"/>
        <w:ind w:firstLine="560"/>
      </w:pPr>
      <w:r>
        <w:rPr>
          <w:rFonts w:eastAsia="方正仿宋_GBK"/>
          <w:color w:val="000000"/>
          <w:sz w:val="28"/>
        </w:rPr>
        <w:t>（三）工作保障措施</w:t>
      </w:r>
    </w:p>
    <w:p>
      <w:pPr>
        <w:pStyle w:val="23"/>
      </w:pPr>
      <w:r>
        <w:t>一是加强宣传教育工作，进一步规范信访工作秩序。不断加大对《信访条例》等法律法规和信访政策的宣传力度，向每一名来访群众发放明白纸，进一步提高群众对有关法律规定和信访政策及信访程序的知晓程度，引导群众理性上访，合法合理反映诉求，减少盲目上访和越级上访，利用县级电视台和单位电子屏幕等形式对违法上访情况定期报导，起到教育作用。</w:t>
      </w:r>
    </w:p>
    <w:p>
      <w:pPr>
        <w:pStyle w:val="23"/>
      </w:pPr>
      <w:r>
        <w:t>二是注重源头治理防范，将信访问题化解在“萌芽”状态。做到关口前移，进一步加大排查化解力度。落实县级领导接访制度，实行县级领导首接责任制和案件首办责任制。</w:t>
      </w:r>
    </w:p>
    <w:p>
      <w:pPr>
        <w:pStyle w:val="23"/>
      </w:pPr>
      <w:r>
        <w:t>三是强化稳控工作措施，做好敏感时期的信访稳定工作。按照“非敏感期以化解问题为主，敏感期以稳控为主”的工作原则，全力做好重大敏感时期和重要时间节点的信访稳控化解工作，制定敏感时期和非敏感时期责任追究制度。</w:t>
      </w:r>
    </w:p>
    <w:p>
      <w:pPr>
        <w:pStyle w:val="23"/>
      </w:pPr>
      <w:r>
        <w:t>四、聚焦疑难信访问题，彻底化解一批积案难案。1.成立重点领域专项工作组深入到一线，深入群众，到基层现场下力度解决一批疑难积案。2.充分发挥群众工作中心入驻部门的作用，现场解决群众来访案件，解答群众的诉求问题。</w:t>
      </w:r>
    </w:p>
    <w:p>
      <w:pPr>
        <w:pStyle w:val="23"/>
      </w:pPr>
      <w:r>
        <w:t>五是坚持严格依法治访，严厉打击非法上访行为。积极配合公、检、法等部门做好对违法信访行为的依法处置工作，对违法上访、扰乱信访秩序的行为进行严厉打击，发生一起，处置一起，确保正常的信访工作秩序。</w:t>
      </w:r>
    </w:p>
    <w:p>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1、2022年电子政务外网光纤租赁费绩效目标表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1.对网上信访案件进行100%受理、登记、交办。</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乡镇、县直单位覆盖率</w:t>
            </w:r>
          </w:p>
        </w:tc>
        <w:tc>
          <w:tcPr>
            <w:tcW w:w="2835" w:type="dxa"/>
            <w:vAlign w:val="center"/>
          </w:tcPr>
          <w:p>
            <w:pPr>
              <w:pStyle w:val="12"/>
            </w:pPr>
            <w:r>
              <w:t>涉及信访案件单位覆盖率</w:t>
            </w:r>
          </w:p>
        </w:tc>
        <w:tc>
          <w:tcPr>
            <w:tcW w:w="2551" w:type="dxa"/>
            <w:vAlign w:val="center"/>
          </w:tcPr>
          <w:p>
            <w:pPr>
              <w:pStyle w:val="12"/>
            </w:pPr>
            <w:r>
              <w:t>100%</w:t>
            </w:r>
          </w:p>
        </w:tc>
        <w:tc>
          <w:tcPr>
            <w:tcW w:w="2268" w:type="dxa"/>
            <w:vAlign w:val="center"/>
          </w:tcPr>
          <w:p>
            <w:pPr>
              <w:pStyle w:val="12"/>
            </w:pPr>
            <w:r>
              <w:t>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2835" w:type="dxa"/>
            <w:vAlign w:val="center"/>
          </w:tcPr>
          <w:p>
            <w:pPr>
              <w:pStyle w:val="12"/>
            </w:pPr>
            <w:r>
              <w:t>保障电子政务外网系统的正常运行。</w:t>
            </w:r>
          </w:p>
        </w:tc>
        <w:tc>
          <w:tcPr>
            <w:tcW w:w="2551" w:type="dxa"/>
            <w:vAlign w:val="center"/>
          </w:tcPr>
          <w:p>
            <w:pPr>
              <w:pStyle w:val="12"/>
            </w:pPr>
            <w:r>
              <w:t>100%</w:t>
            </w:r>
          </w:p>
        </w:tc>
        <w:tc>
          <w:tcPr>
            <w:tcW w:w="2268" w:type="dxa"/>
            <w:vAlign w:val="center"/>
          </w:tcPr>
          <w:p>
            <w:pPr>
              <w:pStyle w:val="12"/>
            </w:pPr>
            <w:r>
              <w:t>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不超出预算数</w:t>
            </w:r>
          </w:p>
        </w:tc>
        <w:tc>
          <w:tcPr>
            <w:tcW w:w="2268" w:type="dxa"/>
            <w:vAlign w:val="center"/>
          </w:tcPr>
          <w:p>
            <w:pPr>
              <w:pStyle w:val="12"/>
            </w:pPr>
            <w:r>
              <w:t>预算安排数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国家信访局网上信访案件交办数下降率</w:t>
            </w:r>
          </w:p>
        </w:tc>
        <w:tc>
          <w:tcPr>
            <w:tcW w:w="2835" w:type="dxa"/>
            <w:vAlign w:val="center"/>
          </w:tcPr>
          <w:p>
            <w:pPr>
              <w:pStyle w:val="12"/>
            </w:pPr>
            <w:r>
              <w:t>国家信访局网上信访案件交办数要同比下降。</w:t>
            </w:r>
          </w:p>
        </w:tc>
        <w:tc>
          <w:tcPr>
            <w:tcW w:w="2551" w:type="dxa"/>
            <w:vAlign w:val="center"/>
          </w:tcPr>
          <w:p>
            <w:pPr>
              <w:pStyle w:val="12"/>
            </w:pPr>
            <w:r>
              <w:t>≥25%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省信访局网上信访案件交办数下降率</w:t>
            </w:r>
          </w:p>
        </w:tc>
        <w:tc>
          <w:tcPr>
            <w:tcW w:w="2835" w:type="dxa"/>
            <w:vAlign w:val="center"/>
          </w:tcPr>
          <w:p>
            <w:pPr>
              <w:pStyle w:val="12"/>
            </w:pPr>
            <w:r>
              <w:t>省信访局网上信访案件交办数要同比下降。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市信访局网上信访案件交办数下降率</w:t>
            </w:r>
          </w:p>
        </w:tc>
        <w:tc>
          <w:tcPr>
            <w:tcW w:w="2835" w:type="dxa"/>
            <w:vAlign w:val="center"/>
          </w:tcPr>
          <w:p>
            <w:pPr>
              <w:pStyle w:val="12"/>
            </w:pPr>
            <w:r>
              <w:t>市信访局网上信访案件交办数要同比下降。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网上信访群众满意度</w:t>
            </w:r>
          </w:p>
        </w:tc>
        <w:tc>
          <w:tcPr>
            <w:tcW w:w="2835" w:type="dxa"/>
            <w:vAlign w:val="center"/>
          </w:tcPr>
          <w:p>
            <w:pPr>
              <w:pStyle w:val="12"/>
            </w:pPr>
            <w:r>
              <w:t>通过对网上信访案件的及时受理、交办、督办，确保上访人员满意。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2、2022年国家、省、市“两会”、北戴河暑期值班等经费绩效目标表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1.及时处理进京、赴省、到市上访群众，处理、接回率达到95%以上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进京、赴省、到市上访人员稳控率</w:t>
            </w:r>
          </w:p>
        </w:tc>
        <w:tc>
          <w:tcPr>
            <w:tcW w:w="2835" w:type="dxa"/>
            <w:vAlign w:val="center"/>
          </w:tcPr>
          <w:p>
            <w:pPr>
              <w:pStyle w:val="12"/>
            </w:pPr>
            <w:r>
              <w:t>有效稳控进京、赴省、到市上访人员，保证不被京省市登记。</w:t>
            </w:r>
          </w:p>
        </w:tc>
        <w:tc>
          <w:tcPr>
            <w:tcW w:w="2551" w:type="dxa"/>
            <w:vAlign w:val="center"/>
          </w:tcPr>
          <w:p>
            <w:pPr>
              <w:pStyle w:val="12"/>
            </w:pPr>
            <w:r>
              <w:t>≥95%</w:t>
            </w:r>
          </w:p>
        </w:tc>
        <w:tc>
          <w:tcPr>
            <w:tcW w:w="2268" w:type="dxa"/>
            <w:vAlign w:val="center"/>
          </w:tcPr>
          <w:p>
            <w:pPr>
              <w:pStyle w:val="12"/>
            </w:pPr>
            <w:r>
              <w:t>稳控率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进京、赴省、到市上访人员</w:t>
            </w:r>
          </w:p>
        </w:tc>
        <w:tc>
          <w:tcPr>
            <w:tcW w:w="2835" w:type="dxa"/>
            <w:vAlign w:val="center"/>
          </w:tcPr>
          <w:p>
            <w:pPr>
              <w:pStyle w:val="12"/>
            </w:pPr>
            <w:r>
              <w:t>及时接回进京、赴省、到市上访人员。</w:t>
            </w:r>
          </w:p>
        </w:tc>
        <w:tc>
          <w:tcPr>
            <w:tcW w:w="2551" w:type="dxa"/>
            <w:vAlign w:val="center"/>
          </w:tcPr>
          <w:p>
            <w:pPr>
              <w:pStyle w:val="12"/>
            </w:pPr>
            <w:r>
              <w:t>≥95%</w:t>
            </w:r>
          </w:p>
        </w:tc>
        <w:tc>
          <w:tcPr>
            <w:tcW w:w="2268" w:type="dxa"/>
            <w:vAlign w:val="center"/>
          </w:tcPr>
          <w:p>
            <w:pPr>
              <w:pStyle w:val="12"/>
            </w:pPr>
            <w:r>
              <w:t>接回率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进京、赴省、到市上访人员处理率</w:t>
            </w:r>
          </w:p>
        </w:tc>
        <w:tc>
          <w:tcPr>
            <w:tcW w:w="2835" w:type="dxa"/>
            <w:vAlign w:val="center"/>
          </w:tcPr>
          <w:p>
            <w:pPr>
              <w:pStyle w:val="12"/>
            </w:pPr>
            <w:r>
              <w:t>及时处理接回进京到非接待场所上访人员。</w:t>
            </w:r>
          </w:p>
        </w:tc>
        <w:tc>
          <w:tcPr>
            <w:tcW w:w="2551" w:type="dxa"/>
            <w:vAlign w:val="center"/>
          </w:tcPr>
          <w:p>
            <w:pPr>
              <w:pStyle w:val="12"/>
            </w:pPr>
            <w:r>
              <w:t>≥95%</w:t>
            </w:r>
          </w:p>
        </w:tc>
        <w:tc>
          <w:tcPr>
            <w:tcW w:w="2268" w:type="dxa"/>
            <w:vAlign w:val="center"/>
          </w:tcPr>
          <w:p>
            <w:pPr>
              <w:pStyle w:val="12"/>
            </w:pPr>
            <w:r>
              <w:t>处理率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不高于预算数</w:t>
            </w:r>
          </w:p>
        </w:tc>
        <w:tc>
          <w:tcPr>
            <w:tcW w:w="2835" w:type="dxa"/>
            <w:vAlign w:val="center"/>
          </w:tcPr>
          <w:p>
            <w:pPr>
              <w:pStyle w:val="12"/>
            </w:pPr>
            <w:r>
              <w:t>合理，节约使用值班经费，确保不超出预算数</w:t>
            </w:r>
          </w:p>
        </w:tc>
        <w:tc>
          <w:tcPr>
            <w:tcW w:w="2551" w:type="dxa"/>
            <w:vAlign w:val="center"/>
          </w:tcPr>
          <w:p>
            <w:pPr>
              <w:pStyle w:val="12"/>
            </w:pPr>
            <w:r>
              <w:t>10万元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进京、赴省、到市上集体访人数下降率</w:t>
            </w:r>
          </w:p>
        </w:tc>
        <w:tc>
          <w:tcPr>
            <w:tcW w:w="2835" w:type="dxa"/>
            <w:vAlign w:val="center"/>
          </w:tcPr>
          <w:p>
            <w:pPr>
              <w:pStyle w:val="12"/>
            </w:pPr>
            <w:r>
              <w:t>进京、赴省、到市集体访人员要同比下降，有效维护我县社会稳定。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进京到非接待场所上访人数下降率</w:t>
            </w:r>
          </w:p>
        </w:tc>
        <w:tc>
          <w:tcPr>
            <w:tcW w:w="2835" w:type="dxa"/>
            <w:vAlign w:val="center"/>
          </w:tcPr>
          <w:p>
            <w:pPr>
              <w:pStyle w:val="12"/>
            </w:pPr>
            <w:r>
              <w:t>进京到非接待场所上访人员要同比下降，有效维护我县社会稳定。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进京、赴省、到市单访人数下降率</w:t>
            </w:r>
          </w:p>
        </w:tc>
        <w:tc>
          <w:tcPr>
            <w:tcW w:w="2835" w:type="dxa"/>
            <w:vAlign w:val="center"/>
          </w:tcPr>
          <w:p>
            <w:pPr>
              <w:pStyle w:val="12"/>
            </w:pPr>
            <w:r>
              <w:t>进京、赴省、到市单访人员要同比下降，有效维护我县社会稳定。</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上访人员满意度</w:t>
            </w:r>
          </w:p>
        </w:tc>
        <w:tc>
          <w:tcPr>
            <w:tcW w:w="2835" w:type="dxa"/>
            <w:vAlign w:val="center"/>
          </w:tcPr>
          <w:p>
            <w:pPr>
              <w:pStyle w:val="12"/>
            </w:pPr>
            <w:r>
              <w:t>对进京赴省上访人员，耐心细致地做思想工作，确保上访人员满意。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3、2022年接访中心运行经费绩效目标表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1.及时登记、受理来访群众反映的问题，群众反映问题化解率达到90%以上。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工作天数</w:t>
            </w:r>
          </w:p>
        </w:tc>
        <w:tc>
          <w:tcPr>
            <w:tcW w:w="2835" w:type="dxa"/>
            <w:vAlign w:val="center"/>
          </w:tcPr>
          <w:p>
            <w:pPr>
              <w:pStyle w:val="12"/>
            </w:pPr>
            <w:r>
              <w:t>保障接访中心全年日常工作正常运转</w:t>
            </w:r>
          </w:p>
        </w:tc>
        <w:tc>
          <w:tcPr>
            <w:tcW w:w="2551" w:type="dxa"/>
            <w:vAlign w:val="center"/>
          </w:tcPr>
          <w:p>
            <w:pPr>
              <w:pStyle w:val="12"/>
            </w:pPr>
            <w:r>
              <w:t>250天</w:t>
            </w:r>
          </w:p>
        </w:tc>
        <w:tc>
          <w:tcPr>
            <w:tcW w:w="2268" w:type="dxa"/>
            <w:vAlign w:val="center"/>
          </w:tcPr>
          <w:p>
            <w:pPr>
              <w:pStyle w:val="12"/>
            </w:pPr>
            <w:r>
              <w:t>正常工作天数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2835" w:type="dxa"/>
            <w:vAlign w:val="center"/>
          </w:tcPr>
          <w:p>
            <w:pPr>
              <w:pStyle w:val="12"/>
            </w:pPr>
            <w:r>
              <w:t>日常各项工作完成率</w:t>
            </w:r>
          </w:p>
        </w:tc>
        <w:tc>
          <w:tcPr>
            <w:tcW w:w="2551" w:type="dxa"/>
            <w:vAlign w:val="center"/>
          </w:tcPr>
          <w:p>
            <w:pPr>
              <w:pStyle w:val="12"/>
            </w:pPr>
            <w:r>
              <w:t>≥95</w:t>
            </w:r>
          </w:p>
          <w:p>
            <w:pPr>
              <w:pStyle w:val="12"/>
            </w:pPr>
            <w:r>
              <w:t>%</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p>
            <w:pPr>
              <w:pStyle w:val="12"/>
            </w:pPr>
            <w:r>
              <w:t>%</w:t>
            </w:r>
          </w:p>
        </w:tc>
        <w:tc>
          <w:tcPr>
            <w:tcW w:w="2268" w:type="dxa"/>
            <w:vAlign w:val="center"/>
          </w:tcPr>
          <w:p>
            <w:pPr>
              <w:pStyle w:val="12"/>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预算数</w:t>
            </w:r>
          </w:p>
        </w:tc>
        <w:tc>
          <w:tcPr>
            <w:tcW w:w="2835" w:type="dxa"/>
            <w:vAlign w:val="center"/>
          </w:tcPr>
          <w:p>
            <w:pPr>
              <w:pStyle w:val="12"/>
            </w:pPr>
            <w:r>
              <w:t>合理支出办公经费，不超出预算数</w:t>
            </w:r>
          </w:p>
        </w:tc>
        <w:tc>
          <w:tcPr>
            <w:tcW w:w="2551" w:type="dxa"/>
            <w:vAlign w:val="center"/>
          </w:tcPr>
          <w:p>
            <w:pPr>
              <w:pStyle w:val="12"/>
            </w:pPr>
            <w:r>
              <w:t>6万元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上访群众下降率</w:t>
            </w:r>
          </w:p>
        </w:tc>
        <w:tc>
          <w:tcPr>
            <w:tcW w:w="2835" w:type="dxa"/>
            <w:vAlign w:val="center"/>
          </w:tcPr>
          <w:p>
            <w:pPr>
              <w:pStyle w:val="12"/>
            </w:pPr>
            <w:r>
              <w:t>到接访中心上访人数要同比下降。</w:t>
            </w:r>
          </w:p>
        </w:tc>
        <w:tc>
          <w:tcPr>
            <w:tcW w:w="2551" w:type="dxa"/>
            <w:vAlign w:val="center"/>
          </w:tcPr>
          <w:p>
            <w:pPr>
              <w:pStyle w:val="12"/>
            </w:pPr>
            <w:r>
              <w:t>≥15</w:t>
            </w:r>
          </w:p>
          <w:p>
            <w:pPr>
              <w:pStyle w:val="12"/>
            </w:pPr>
            <w:r>
              <w:t>%</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群众反映问题下降率</w:t>
            </w:r>
          </w:p>
        </w:tc>
        <w:tc>
          <w:tcPr>
            <w:tcW w:w="2835" w:type="dxa"/>
            <w:vAlign w:val="center"/>
          </w:tcPr>
          <w:p>
            <w:pPr>
              <w:pStyle w:val="12"/>
            </w:pPr>
            <w:r>
              <w:t>反映的各类信访问题要同比下降。</w:t>
            </w:r>
          </w:p>
        </w:tc>
        <w:tc>
          <w:tcPr>
            <w:tcW w:w="2551" w:type="dxa"/>
            <w:vAlign w:val="center"/>
          </w:tcPr>
          <w:p>
            <w:pPr>
              <w:pStyle w:val="12"/>
            </w:pPr>
            <w:r>
              <w:t>≥20</w:t>
            </w:r>
          </w:p>
          <w:p>
            <w:pPr>
              <w:pStyle w:val="12"/>
            </w:pPr>
            <w:r>
              <w:t>%</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信访案件息诉率</w:t>
            </w:r>
          </w:p>
        </w:tc>
        <w:tc>
          <w:tcPr>
            <w:tcW w:w="2835" w:type="dxa"/>
            <w:vAlign w:val="center"/>
          </w:tcPr>
          <w:p>
            <w:pPr>
              <w:pStyle w:val="12"/>
            </w:pPr>
            <w:r>
              <w:t>通过有关入驻部门做工作,有效化解信访案件,确保上访群众息诉罢访，维护社会稳定。</w:t>
            </w:r>
          </w:p>
        </w:tc>
        <w:tc>
          <w:tcPr>
            <w:tcW w:w="2551" w:type="dxa"/>
            <w:vAlign w:val="center"/>
          </w:tcPr>
          <w:p>
            <w:pPr>
              <w:pStyle w:val="12"/>
            </w:pPr>
            <w:r>
              <w:t>≥85</w:t>
            </w:r>
          </w:p>
          <w:p>
            <w:pPr>
              <w:pStyle w:val="12"/>
            </w:pPr>
            <w:r>
              <w:t>%</w:t>
            </w:r>
          </w:p>
        </w:tc>
        <w:tc>
          <w:tcPr>
            <w:tcW w:w="2268" w:type="dxa"/>
            <w:vAlign w:val="center"/>
          </w:tcPr>
          <w:p>
            <w:pPr>
              <w:pStyle w:val="12"/>
            </w:pPr>
            <w:r>
              <w:t>息诉率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通过对上访群众反映问题有效化解，让群众对处理结果满意。</w:t>
            </w:r>
          </w:p>
        </w:tc>
        <w:tc>
          <w:tcPr>
            <w:tcW w:w="2551" w:type="dxa"/>
            <w:vAlign w:val="center"/>
          </w:tcPr>
          <w:p>
            <w:pPr>
              <w:pStyle w:val="12"/>
            </w:pPr>
            <w:r>
              <w:t>≥95</w:t>
            </w:r>
          </w:p>
          <w:p>
            <w:pPr>
              <w:pStyle w:val="12"/>
            </w:pPr>
            <w:r>
              <w:t>%</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1.对上访群众反映问题及时登记、受理，信访案件化解率达到90%以上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工作天数</w:t>
            </w:r>
          </w:p>
        </w:tc>
        <w:tc>
          <w:tcPr>
            <w:tcW w:w="2835" w:type="dxa"/>
            <w:vAlign w:val="center"/>
          </w:tcPr>
          <w:p>
            <w:pPr>
              <w:pStyle w:val="12"/>
            </w:pPr>
            <w:r>
              <w:t>保障全年日常工作正常运转</w:t>
            </w:r>
          </w:p>
        </w:tc>
        <w:tc>
          <w:tcPr>
            <w:tcW w:w="2551" w:type="dxa"/>
            <w:vAlign w:val="center"/>
          </w:tcPr>
          <w:p>
            <w:pPr>
              <w:pStyle w:val="12"/>
            </w:pPr>
            <w:r>
              <w:t>全年正常运转</w:t>
            </w:r>
          </w:p>
        </w:tc>
        <w:tc>
          <w:tcPr>
            <w:tcW w:w="2268" w:type="dxa"/>
            <w:vAlign w:val="center"/>
          </w:tcPr>
          <w:p>
            <w:pPr>
              <w:pStyle w:val="12"/>
            </w:pPr>
            <w:r>
              <w:t>正常工作天数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2835" w:type="dxa"/>
            <w:vAlign w:val="center"/>
          </w:tcPr>
          <w:p>
            <w:pPr>
              <w:pStyle w:val="12"/>
            </w:pPr>
            <w:r>
              <w:t>日常各项工作完成率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预算数</w:t>
            </w:r>
          </w:p>
        </w:tc>
        <w:tc>
          <w:tcPr>
            <w:tcW w:w="2835" w:type="dxa"/>
            <w:vAlign w:val="center"/>
          </w:tcPr>
          <w:p>
            <w:pPr>
              <w:pStyle w:val="12"/>
            </w:pPr>
            <w:r>
              <w:t>合理支出办公经费，不超出预算数</w:t>
            </w:r>
          </w:p>
        </w:tc>
        <w:tc>
          <w:tcPr>
            <w:tcW w:w="2551" w:type="dxa"/>
            <w:vAlign w:val="center"/>
          </w:tcPr>
          <w:p>
            <w:pPr>
              <w:pStyle w:val="12"/>
            </w:pPr>
            <w:r>
              <w:t>50万元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上访群众人数下降率</w:t>
            </w:r>
          </w:p>
        </w:tc>
        <w:tc>
          <w:tcPr>
            <w:tcW w:w="2835" w:type="dxa"/>
            <w:vAlign w:val="center"/>
          </w:tcPr>
          <w:p>
            <w:pPr>
              <w:pStyle w:val="12"/>
            </w:pPr>
            <w:r>
              <w:t>上访人数要同比下降。</w:t>
            </w:r>
          </w:p>
        </w:tc>
        <w:tc>
          <w:tcPr>
            <w:tcW w:w="2551" w:type="dxa"/>
            <w:vAlign w:val="center"/>
          </w:tcPr>
          <w:p>
            <w:pPr>
              <w:pStyle w:val="12"/>
            </w:pPr>
            <w:r>
              <w:t>≥10%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群众反映问题个数下降率</w:t>
            </w:r>
          </w:p>
        </w:tc>
        <w:tc>
          <w:tcPr>
            <w:tcW w:w="2835" w:type="dxa"/>
            <w:vAlign w:val="center"/>
          </w:tcPr>
          <w:p>
            <w:pPr>
              <w:pStyle w:val="12"/>
            </w:pPr>
            <w:r>
              <w:t>反映的各类信访问题要同比下降。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案件息诉率</w:t>
            </w:r>
          </w:p>
        </w:tc>
        <w:tc>
          <w:tcPr>
            <w:tcW w:w="2835" w:type="dxa"/>
            <w:vAlign w:val="center"/>
          </w:tcPr>
          <w:p>
            <w:pPr>
              <w:pStyle w:val="12"/>
            </w:pPr>
            <w:r>
              <w:t>通过做工作,有效化解信访案件,确保上访群众息诉罢访，维护社会稳定。</w:t>
            </w:r>
          </w:p>
        </w:tc>
        <w:tc>
          <w:tcPr>
            <w:tcW w:w="2551" w:type="dxa"/>
            <w:vAlign w:val="center"/>
          </w:tcPr>
          <w:p>
            <w:pPr>
              <w:pStyle w:val="12"/>
            </w:pPr>
            <w:r>
              <w:t>≥85%</w:t>
            </w:r>
          </w:p>
        </w:tc>
        <w:tc>
          <w:tcPr>
            <w:tcW w:w="2268" w:type="dxa"/>
            <w:vAlign w:val="center"/>
          </w:tcPr>
          <w:p>
            <w:pPr>
              <w:pStyle w:val="12"/>
            </w:pPr>
            <w:r>
              <w:t>息诉率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通过对上访群众反映问题有效化解，让群众对处理结果满意。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5、2022年解决疑难信访问题配套资金绩效目标表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1.解决疑难信访案件60个以上，促进社会和谐稳定，营造良好社会环境。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案件数量</w:t>
            </w:r>
          </w:p>
        </w:tc>
        <w:tc>
          <w:tcPr>
            <w:tcW w:w="2835" w:type="dxa"/>
            <w:vAlign w:val="center"/>
          </w:tcPr>
          <w:p>
            <w:pPr>
              <w:pStyle w:val="12"/>
            </w:pPr>
            <w:r>
              <w:t>使用配套资金解决案件的个数</w:t>
            </w:r>
          </w:p>
        </w:tc>
        <w:tc>
          <w:tcPr>
            <w:tcW w:w="2551" w:type="dxa"/>
            <w:vAlign w:val="center"/>
          </w:tcPr>
          <w:p>
            <w:pPr>
              <w:pStyle w:val="12"/>
            </w:pPr>
            <w:r>
              <w:t>≥60个</w:t>
            </w:r>
          </w:p>
        </w:tc>
        <w:tc>
          <w:tcPr>
            <w:tcW w:w="2268" w:type="dxa"/>
            <w:vAlign w:val="center"/>
          </w:tcPr>
          <w:p>
            <w:pPr>
              <w:pStyle w:val="12"/>
            </w:pPr>
            <w:r>
              <w:t>解决每个案件使用资金的平均值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案件化解率</w:t>
            </w:r>
          </w:p>
        </w:tc>
        <w:tc>
          <w:tcPr>
            <w:tcW w:w="2835" w:type="dxa"/>
            <w:vAlign w:val="center"/>
          </w:tcPr>
          <w:p>
            <w:pPr>
              <w:pStyle w:val="12"/>
            </w:pPr>
            <w:r>
              <w:t>使用配套资金解决案件的化解率</w:t>
            </w:r>
          </w:p>
        </w:tc>
        <w:tc>
          <w:tcPr>
            <w:tcW w:w="2551" w:type="dxa"/>
            <w:vAlign w:val="center"/>
          </w:tcPr>
          <w:p>
            <w:pPr>
              <w:pStyle w:val="12"/>
            </w:pPr>
            <w:r>
              <w:t>≥95%</w:t>
            </w:r>
          </w:p>
        </w:tc>
        <w:tc>
          <w:tcPr>
            <w:tcW w:w="2268" w:type="dxa"/>
            <w:vAlign w:val="center"/>
          </w:tcPr>
          <w:p>
            <w:pPr>
              <w:pStyle w:val="12"/>
            </w:pPr>
            <w:r>
              <w:t>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发放率</w:t>
            </w:r>
          </w:p>
        </w:tc>
        <w:tc>
          <w:tcPr>
            <w:tcW w:w="2835" w:type="dxa"/>
            <w:vAlign w:val="center"/>
          </w:tcPr>
          <w:p>
            <w:pPr>
              <w:pStyle w:val="12"/>
            </w:pPr>
            <w:r>
              <w:t>及时发放救助金</w:t>
            </w:r>
          </w:p>
        </w:tc>
        <w:tc>
          <w:tcPr>
            <w:tcW w:w="2551" w:type="dxa"/>
            <w:vAlign w:val="center"/>
          </w:tcPr>
          <w:p>
            <w:pPr>
              <w:pStyle w:val="12"/>
            </w:pPr>
            <w:r>
              <w:t>100%</w:t>
            </w:r>
          </w:p>
        </w:tc>
        <w:tc>
          <w:tcPr>
            <w:tcW w:w="2268" w:type="dxa"/>
            <w:vAlign w:val="center"/>
          </w:tcPr>
          <w:p>
            <w:pPr>
              <w:pStyle w:val="12"/>
            </w:pPr>
            <w:r>
              <w:t>发放率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案件成本</w:t>
            </w:r>
          </w:p>
        </w:tc>
        <w:tc>
          <w:tcPr>
            <w:tcW w:w="2835" w:type="dxa"/>
            <w:vAlign w:val="center"/>
          </w:tcPr>
          <w:p>
            <w:pPr>
              <w:pStyle w:val="12"/>
            </w:pPr>
            <w:r>
              <w:t>解决每个疑难信访案件的所使用的资金</w:t>
            </w:r>
          </w:p>
        </w:tc>
        <w:tc>
          <w:tcPr>
            <w:tcW w:w="2551" w:type="dxa"/>
            <w:vAlign w:val="center"/>
          </w:tcPr>
          <w:p>
            <w:pPr>
              <w:pStyle w:val="12"/>
            </w:pPr>
            <w:r>
              <w:t>≤5万元</w:t>
            </w:r>
          </w:p>
        </w:tc>
        <w:tc>
          <w:tcPr>
            <w:tcW w:w="2268" w:type="dxa"/>
            <w:vAlign w:val="center"/>
          </w:tcPr>
          <w:p>
            <w:pPr>
              <w:pStyle w:val="12"/>
            </w:pPr>
            <w:r>
              <w:t>解决案件的个数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疑难信访案件资金使用下降率</w:t>
            </w:r>
          </w:p>
        </w:tc>
        <w:tc>
          <w:tcPr>
            <w:tcW w:w="2835" w:type="dxa"/>
            <w:vAlign w:val="center"/>
          </w:tcPr>
          <w:p>
            <w:pPr>
              <w:pStyle w:val="12"/>
            </w:pPr>
            <w:r>
              <w:t>通过化解疑难信访案件，使案件数量和资金使用同比下降。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进京访下降率</w:t>
            </w:r>
          </w:p>
        </w:tc>
        <w:tc>
          <w:tcPr>
            <w:tcW w:w="2835" w:type="dxa"/>
            <w:vAlign w:val="center"/>
          </w:tcPr>
          <w:p>
            <w:pPr>
              <w:pStyle w:val="12"/>
            </w:pPr>
            <w:r>
              <w:t>进京访同比下降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赴省访下降率</w:t>
            </w:r>
          </w:p>
        </w:tc>
        <w:tc>
          <w:tcPr>
            <w:tcW w:w="2835" w:type="dxa"/>
            <w:vAlign w:val="center"/>
          </w:tcPr>
          <w:p>
            <w:pPr>
              <w:pStyle w:val="12"/>
            </w:pPr>
            <w:r>
              <w:t>赴省访同比下降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合理使用资金解决信访案件，确保上访群众对处理结果满意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6、2022年智慧接访管理系统建设经费绩效目标表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1.构建22个乡镇、相关县直单位覆盖率100%的的智慧接访体系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乡镇 、县直单位</w:t>
            </w:r>
          </w:p>
        </w:tc>
        <w:tc>
          <w:tcPr>
            <w:tcW w:w="2835" w:type="dxa"/>
            <w:vAlign w:val="center"/>
          </w:tcPr>
          <w:p>
            <w:pPr>
              <w:pStyle w:val="12"/>
            </w:pPr>
            <w:r>
              <w:t>构建对22个乡镇和相关县直单位的全覆盖的智慧接访系统。</w:t>
            </w:r>
          </w:p>
        </w:tc>
        <w:tc>
          <w:tcPr>
            <w:tcW w:w="2551" w:type="dxa"/>
            <w:vAlign w:val="center"/>
          </w:tcPr>
          <w:p>
            <w:pPr>
              <w:pStyle w:val="12"/>
            </w:pPr>
            <w:r>
              <w:t>22个</w:t>
            </w:r>
          </w:p>
        </w:tc>
        <w:tc>
          <w:tcPr>
            <w:tcW w:w="2268" w:type="dxa"/>
            <w:vAlign w:val="center"/>
          </w:tcPr>
          <w:p>
            <w:pPr>
              <w:pStyle w:val="12"/>
            </w:pPr>
            <w:r>
              <w:t>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2835" w:type="dxa"/>
            <w:vAlign w:val="center"/>
          </w:tcPr>
          <w:p>
            <w:pPr>
              <w:pStyle w:val="12"/>
            </w:pPr>
            <w:r>
              <w:t>保障智慧接访系统的正常运行。</w:t>
            </w:r>
          </w:p>
        </w:tc>
        <w:tc>
          <w:tcPr>
            <w:tcW w:w="2551" w:type="dxa"/>
            <w:vAlign w:val="center"/>
          </w:tcPr>
          <w:p>
            <w:pPr>
              <w:pStyle w:val="12"/>
            </w:pPr>
            <w:r>
              <w:t>≥95%</w:t>
            </w:r>
          </w:p>
        </w:tc>
        <w:tc>
          <w:tcPr>
            <w:tcW w:w="2268" w:type="dxa"/>
            <w:vAlign w:val="center"/>
          </w:tcPr>
          <w:p>
            <w:pPr>
              <w:pStyle w:val="12"/>
            </w:pPr>
            <w:r>
              <w:t>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智慧接访系统建设购置</w:t>
            </w:r>
          </w:p>
        </w:tc>
        <w:tc>
          <w:tcPr>
            <w:tcW w:w="2551" w:type="dxa"/>
            <w:vAlign w:val="center"/>
          </w:tcPr>
          <w:p>
            <w:pPr>
              <w:pStyle w:val="12"/>
            </w:pPr>
            <w:r>
              <w:t>51.89万元</w:t>
            </w:r>
          </w:p>
        </w:tc>
        <w:tc>
          <w:tcPr>
            <w:tcW w:w="2268" w:type="dxa"/>
            <w:vAlign w:val="center"/>
          </w:tcPr>
          <w:p>
            <w:pPr>
              <w:pStyle w:val="12"/>
            </w:pPr>
            <w:r>
              <w:t>预算安排数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上访群众登记准确率</w:t>
            </w:r>
          </w:p>
        </w:tc>
        <w:tc>
          <w:tcPr>
            <w:tcW w:w="2835" w:type="dxa"/>
            <w:vAlign w:val="center"/>
          </w:tcPr>
          <w:p>
            <w:pPr>
              <w:pStyle w:val="12"/>
            </w:pPr>
            <w:r>
              <w:t>较传统登记更快捷、精准。</w:t>
            </w:r>
          </w:p>
        </w:tc>
        <w:tc>
          <w:tcPr>
            <w:tcW w:w="2551" w:type="dxa"/>
            <w:vAlign w:val="center"/>
          </w:tcPr>
          <w:p>
            <w:pPr>
              <w:pStyle w:val="12"/>
            </w:pPr>
            <w:r>
              <w:t>100%</w:t>
            </w:r>
          </w:p>
        </w:tc>
        <w:tc>
          <w:tcPr>
            <w:tcW w:w="2268" w:type="dxa"/>
            <w:vAlign w:val="center"/>
          </w:tcPr>
          <w:p>
            <w:pPr>
              <w:pStyle w:val="12"/>
            </w:pPr>
            <w:r>
              <w:t>准确率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信访案件交办率</w:t>
            </w:r>
          </w:p>
        </w:tc>
        <w:tc>
          <w:tcPr>
            <w:tcW w:w="2835" w:type="dxa"/>
            <w:vAlign w:val="center"/>
          </w:tcPr>
          <w:p>
            <w:pPr>
              <w:pStyle w:val="12"/>
            </w:pPr>
            <w:r>
              <w:t>及时转送交办系统登记的信访案件。</w:t>
            </w:r>
          </w:p>
        </w:tc>
        <w:tc>
          <w:tcPr>
            <w:tcW w:w="2551" w:type="dxa"/>
            <w:vAlign w:val="center"/>
          </w:tcPr>
          <w:p>
            <w:pPr>
              <w:pStyle w:val="12"/>
            </w:pPr>
            <w:r>
              <w:t>100%</w:t>
            </w:r>
          </w:p>
        </w:tc>
        <w:tc>
          <w:tcPr>
            <w:tcW w:w="2268" w:type="dxa"/>
            <w:vAlign w:val="center"/>
          </w:tcPr>
          <w:p>
            <w:pPr>
              <w:pStyle w:val="12"/>
            </w:pPr>
            <w:r>
              <w:t>交办率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信访案件化解率</w:t>
            </w:r>
          </w:p>
        </w:tc>
        <w:tc>
          <w:tcPr>
            <w:tcW w:w="2835" w:type="dxa"/>
            <w:vAlign w:val="center"/>
          </w:tcPr>
          <w:p>
            <w:pPr>
              <w:pStyle w:val="12"/>
            </w:pPr>
            <w:r>
              <w:t>系统将信访案件推送到相关的责任单位，对群众反映的信访问题进行处理、解决。</w:t>
            </w:r>
          </w:p>
        </w:tc>
        <w:tc>
          <w:tcPr>
            <w:tcW w:w="2551" w:type="dxa"/>
            <w:vAlign w:val="center"/>
          </w:tcPr>
          <w:p>
            <w:pPr>
              <w:pStyle w:val="12"/>
            </w:pPr>
            <w:r>
              <w:t>≥95%</w:t>
            </w:r>
          </w:p>
        </w:tc>
        <w:tc>
          <w:tcPr>
            <w:tcW w:w="2268" w:type="dxa"/>
            <w:vAlign w:val="center"/>
          </w:tcPr>
          <w:p>
            <w:pPr>
              <w:pStyle w:val="12"/>
            </w:pPr>
            <w:r>
              <w:t>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信访工作人员满意度</w:t>
            </w:r>
          </w:p>
        </w:tc>
        <w:tc>
          <w:tcPr>
            <w:tcW w:w="2835" w:type="dxa"/>
            <w:vAlign w:val="center"/>
          </w:tcPr>
          <w:p>
            <w:pPr>
              <w:pStyle w:val="12"/>
            </w:pPr>
            <w:r>
              <w:t>信访工作人员使用该系统能快捷，高效处理信访案件。</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7、2022年驻京、省信访群众服务联络处工作经费绩效目标表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1.及时处理进京、赴省上访群众，进京访8小时内处理接回，赴省访5小时内处理接回。</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进京、赴省上访人员登记率</w:t>
            </w:r>
          </w:p>
        </w:tc>
        <w:tc>
          <w:tcPr>
            <w:tcW w:w="2835" w:type="dxa"/>
            <w:vAlign w:val="center"/>
          </w:tcPr>
          <w:p>
            <w:pPr>
              <w:pStyle w:val="12"/>
            </w:pPr>
            <w:r>
              <w:t>及时登记进京、赴省上访人员</w:t>
            </w:r>
          </w:p>
        </w:tc>
        <w:tc>
          <w:tcPr>
            <w:tcW w:w="2551" w:type="dxa"/>
            <w:vAlign w:val="center"/>
          </w:tcPr>
          <w:p>
            <w:pPr>
              <w:pStyle w:val="12"/>
            </w:pPr>
            <w:r>
              <w:t>≥95%</w:t>
            </w:r>
          </w:p>
        </w:tc>
        <w:tc>
          <w:tcPr>
            <w:tcW w:w="2268" w:type="dxa"/>
            <w:vAlign w:val="center"/>
          </w:tcPr>
          <w:p>
            <w:pPr>
              <w:pStyle w:val="12"/>
            </w:pPr>
            <w:r>
              <w:t>登记率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进京、赴省上访人员劝返率</w:t>
            </w:r>
          </w:p>
        </w:tc>
        <w:tc>
          <w:tcPr>
            <w:tcW w:w="2835" w:type="dxa"/>
            <w:vAlign w:val="center"/>
          </w:tcPr>
          <w:p>
            <w:pPr>
              <w:pStyle w:val="12"/>
            </w:pPr>
            <w:r>
              <w:t>及时劝返进京、赴省上访人员</w:t>
            </w:r>
          </w:p>
        </w:tc>
        <w:tc>
          <w:tcPr>
            <w:tcW w:w="2551" w:type="dxa"/>
            <w:vAlign w:val="center"/>
          </w:tcPr>
          <w:p>
            <w:pPr>
              <w:pStyle w:val="12"/>
            </w:pPr>
            <w:r>
              <w:t>≥95%</w:t>
            </w:r>
          </w:p>
        </w:tc>
        <w:tc>
          <w:tcPr>
            <w:tcW w:w="2268" w:type="dxa"/>
            <w:vAlign w:val="center"/>
          </w:tcPr>
          <w:p>
            <w:pPr>
              <w:pStyle w:val="12"/>
            </w:pPr>
            <w:r>
              <w:t>劝返率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进京、赴省上访人员交办率</w:t>
            </w:r>
          </w:p>
        </w:tc>
        <w:tc>
          <w:tcPr>
            <w:tcW w:w="2835" w:type="dxa"/>
            <w:vAlign w:val="center"/>
          </w:tcPr>
          <w:p>
            <w:pPr>
              <w:pStyle w:val="12"/>
            </w:pPr>
            <w:r>
              <w:t>及时向相关单位交办</w:t>
            </w:r>
          </w:p>
        </w:tc>
        <w:tc>
          <w:tcPr>
            <w:tcW w:w="2551" w:type="dxa"/>
            <w:vAlign w:val="center"/>
          </w:tcPr>
          <w:p>
            <w:pPr>
              <w:pStyle w:val="12"/>
            </w:pPr>
            <w:r>
              <w:t>100%</w:t>
            </w:r>
          </w:p>
        </w:tc>
        <w:tc>
          <w:tcPr>
            <w:tcW w:w="2268" w:type="dxa"/>
            <w:vAlign w:val="center"/>
          </w:tcPr>
          <w:p>
            <w:pPr>
              <w:pStyle w:val="12"/>
            </w:pPr>
            <w:r>
              <w:t>交办率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不高于预算数</w:t>
            </w:r>
          </w:p>
        </w:tc>
        <w:tc>
          <w:tcPr>
            <w:tcW w:w="2835" w:type="dxa"/>
            <w:vAlign w:val="center"/>
          </w:tcPr>
          <w:p>
            <w:pPr>
              <w:pStyle w:val="12"/>
            </w:pPr>
            <w:r>
              <w:t>合理支出值班经费</w:t>
            </w:r>
          </w:p>
        </w:tc>
        <w:tc>
          <w:tcPr>
            <w:tcW w:w="2551" w:type="dxa"/>
            <w:vAlign w:val="center"/>
          </w:tcPr>
          <w:p>
            <w:pPr>
              <w:pStyle w:val="12"/>
            </w:pPr>
            <w:r>
              <w:t>≤130万元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进京、赴省集体访人数下降率</w:t>
            </w:r>
          </w:p>
        </w:tc>
        <w:tc>
          <w:tcPr>
            <w:tcW w:w="2835" w:type="dxa"/>
            <w:vAlign w:val="center"/>
          </w:tcPr>
          <w:p>
            <w:pPr>
              <w:pStyle w:val="12"/>
            </w:pPr>
            <w:r>
              <w:t>进京、赴省集体访人员要同比下降，有效维护我县社会稳定。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进京到非接待场所上访人数下降率</w:t>
            </w:r>
          </w:p>
        </w:tc>
        <w:tc>
          <w:tcPr>
            <w:tcW w:w="2835" w:type="dxa"/>
            <w:vAlign w:val="center"/>
          </w:tcPr>
          <w:p>
            <w:pPr>
              <w:pStyle w:val="12"/>
            </w:pPr>
            <w:r>
              <w:t>进京到非接待场所上访人员要同比下降，有效维护我县社会稳定。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进京、赴省单访人数下降率</w:t>
            </w:r>
          </w:p>
        </w:tc>
        <w:tc>
          <w:tcPr>
            <w:tcW w:w="2835" w:type="dxa"/>
            <w:vAlign w:val="center"/>
          </w:tcPr>
          <w:p>
            <w:pPr>
              <w:pStyle w:val="12"/>
            </w:pPr>
            <w:r>
              <w:t>进京、赴省单访人员要同比下降，有效维护我县社会稳定。</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2835" w:type="dxa"/>
            <w:vAlign w:val="center"/>
          </w:tcPr>
          <w:p>
            <w:pPr>
              <w:pStyle w:val="12"/>
            </w:pPr>
            <w:r>
              <w:t>信访群众满意度</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2022年，魏县信访局安排政府采购预算0.00万元。具体内容见下表。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202魏县信访局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魏县信访局（含所属单位）上年末固定资产金额为302.90万元（详见下表）。本年度拟购置固定资产总额为0.00万元，已按要求列入政府采购预算，详见政府采购预算表。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202魏县信访局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1569.52</w:t>
            </w:r>
          </w:p>
        </w:tc>
        <w:tc>
          <w:tcPr>
            <w:tcW w:w="2835" w:type="dxa"/>
            <w:vAlign w:val="center"/>
          </w:tcPr>
          <w:p>
            <w:pPr>
              <w:pStyle w:val="11"/>
            </w:pPr>
            <w:r>
              <w:t>194.00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224.40</w:t>
            </w: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240</w:t>
            </w:r>
          </w:p>
        </w:tc>
        <w:tc>
          <w:tcPr>
            <w:tcW w:w="2835" w:type="dxa"/>
            <w:vAlign w:val="center"/>
          </w:tcPr>
          <w:p>
            <w:pPr>
              <w:pStyle w:val="11"/>
            </w:pPr>
            <w:r>
              <w:t>108.90</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w:t>
      </w:r>
      <w:r>
        <w:rPr>
          <w:rFonts w:hint="eastAsia" w:eastAsiaTheme="minorEastAsia"/>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18" w:name="_Toc_4_4_0000000019"/>
      <w:r>
        <w:rPr>
          <w:rFonts w:ascii="方正小标宋_GBK" w:hAnsi="方正小标宋_GBK" w:eastAsia="方正小标宋_GBK" w:cs="方正小标宋_GBK"/>
          <w:color w:val="000000"/>
          <w:sz w:val="44"/>
        </w:rPr>
        <w:t>一、魏县信访局本级收支预算</w:t>
      </w:r>
      <w:bookmarkEnd w:id="18"/>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202001魏县信访局本级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860.74</w:t>
            </w:r>
          </w:p>
        </w:tc>
        <w:tc>
          <w:tcPr>
            <w:tcW w:w="4535" w:type="dxa"/>
            <w:vAlign w:val="center"/>
          </w:tcPr>
          <w:p>
            <w:pPr>
              <w:pStyle w:val="12"/>
            </w:pPr>
            <w:r>
              <w:t>一、一般公共服务支出</w:t>
            </w:r>
          </w:p>
        </w:tc>
        <w:tc>
          <w:tcPr>
            <w:tcW w:w="2126" w:type="dxa"/>
            <w:vAlign w:val="center"/>
          </w:tcPr>
          <w:p>
            <w:pPr>
              <w:pStyle w:val="11"/>
            </w:pPr>
            <w:r>
              <w:t>845.84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860.74</w:t>
            </w:r>
          </w:p>
        </w:tc>
        <w:tc>
          <w:tcPr>
            <w:tcW w:w="4535" w:type="dxa"/>
            <w:vAlign w:val="center"/>
          </w:tcPr>
          <w:p>
            <w:pPr>
              <w:pStyle w:val="14"/>
            </w:pPr>
            <w:r>
              <w:t>本年支出合计</w:t>
            </w:r>
          </w:p>
        </w:tc>
        <w:tc>
          <w:tcPr>
            <w:tcW w:w="2126" w:type="dxa"/>
            <w:vAlign w:val="center"/>
          </w:tcPr>
          <w:p>
            <w:pPr>
              <w:pStyle w:val="15"/>
            </w:pPr>
            <w:r>
              <w:t>860.74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860.74</w:t>
            </w:r>
          </w:p>
        </w:tc>
        <w:tc>
          <w:tcPr>
            <w:tcW w:w="4535" w:type="dxa"/>
            <w:vAlign w:val="center"/>
          </w:tcPr>
          <w:p>
            <w:pPr>
              <w:pStyle w:val="14"/>
            </w:pPr>
            <w:r>
              <w:t>支出总计</w:t>
            </w:r>
          </w:p>
        </w:tc>
        <w:tc>
          <w:tcPr>
            <w:tcW w:w="2126" w:type="dxa"/>
            <w:vAlign w:val="center"/>
          </w:tcPr>
          <w:p>
            <w:pPr>
              <w:pStyle w:val="15"/>
            </w:pPr>
            <w:r>
              <w:t>860.74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202001魏县信访局本级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860.74</w:t>
            </w:r>
          </w:p>
        </w:tc>
        <w:tc>
          <w:tcPr>
            <w:tcW w:w="1134" w:type="dxa"/>
            <w:vAlign w:val="center"/>
          </w:tcPr>
          <w:p>
            <w:pPr>
              <w:pStyle w:val="15"/>
            </w:pPr>
            <w:r>
              <w:t>860.74</w:t>
            </w:r>
          </w:p>
        </w:tc>
        <w:tc>
          <w:tcPr>
            <w:tcW w:w="1134" w:type="dxa"/>
            <w:vAlign w:val="center"/>
          </w:tcPr>
          <w:p>
            <w:pPr>
              <w:pStyle w:val="15"/>
            </w:pPr>
            <w:r>
              <w:t>860.74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845.84</w:t>
            </w:r>
          </w:p>
        </w:tc>
        <w:tc>
          <w:tcPr>
            <w:tcW w:w="1134" w:type="dxa"/>
            <w:vAlign w:val="center"/>
          </w:tcPr>
          <w:p>
            <w:pPr>
              <w:pStyle w:val="11"/>
            </w:pPr>
            <w:r>
              <w:t>845.84</w:t>
            </w:r>
          </w:p>
        </w:tc>
        <w:tc>
          <w:tcPr>
            <w:tcW w:w="1134" w:type="dxa"/>
            <w:vAlign w:val="center"/>
          </w:tcPr>
          <w:p>
            <w:pPr>
              <w:pStyle w:val="11"/>
            </w:pPr>
            <w:r>
              <w:t>845.84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2010308</w:t>
            </w:r>
          </w:p>
        </w:tc>
        <w:tc>
          <w:tcPr>
            <w:tcW w:w="1559" w:type="dxa"/>
            <w:vAlign w:val="center"/>
          </w:tcPr>
          <w:p>
            <w:pPr>
              <w:pStyle w:val="12"/>
            </w:pPr>
            <w:r>
              <w:t>信访事务</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2101199</w:t>
            </w:r>
          </w:p>
        </w:tc>
        <w:tc>
          <w:tcPr>
            <w:tcW w:w="1559" w:type="dxa"/>
            <w:vAlign w:val="center"/>
          </w:tcPr>
          <w:p>
            <w:pPr>
              <w:pStyle w:val="12"/>
            </w:pPr>
            <w:r>
              <w:t>其他行政事业单位医疗支出</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202001魏县信访局本级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860.74</w:t>
            </w:r>
          </w:p>
        </w:tc>
        <w:tc>
          <w:tcPr>
            <w:tcW w:w="1361" w:type="dxa"/>
            <w:vAlign w:val="center"/>
          </w:tcPr>
          <w:p>
            <w:pPr>
              <w:pStyle w:val="15"/>
            </w:pPr>
            <w:r>
              <w:t>278.85</w:t>
            </w:r>
          </w:p>
        </w:tc>
        <w:tc>
          <w:tcPr>
            <w:tcW w:w="1361" w:type="dxa"/>
            <w:vAlign w:val="center"/>
          </w:tcPr>
          <w:p>
            <w:pPr>
              <w:pStyle w:val="15"/>
            </w:pPr>
            <w:r>
              <w:t>581.89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845.84</w:t>
            </w:r>
          </w:p>
        </w:tc>
        <w:tc>
          <w:tcPr>
            <w:tcW w:w="1361" w:type="dxa"/>
            <w:vAlign w:val="center"/>
          </w:tcPr>
          <w:p>
            <w:pPr>
              <w:pStyle w:val="11"/>
            </w:pPr>
            <w:r>
              <w:t>263.95</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2010308</w:t>
            </w:r>
          </w:p>
        </w:tc>
        <w:tc>
          <w:tcPr>
            <w:tcW w:w="4535" w:type="dxa"/>
            <w:vAlign w:val="center"/>
          </w:tcPr>
          <w:p>
            <w:pPr>
              <w:pStyle w:val="12"/>
            </w:pPr>
            <w:r>
              <w:t>信访事务</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263.95</w:t>
            </w:r>
          </w:p>
        </w:tc>
        <w:tc>
          <w:tcPr>
            <w:tcW w:w="1361" w:type="dxa"/>
            <w:vAlign w:val="center"/>
          </w:tcPr>
          <w:p>
            <w:pPr>
              <w:pStyle w:val="11"/>
            </w:pPr>
            <w:r>
              <w:t>263.95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263.95</w:t>
            </w:r>
          </w:p>
        </w:tc>
        <w:tc>
          <w:tcPr>
            <w:tcW w:w="1361" w:type="dxa"/>
            <w:vAlign w:val="center"/>
          </w:tcPr>
          <w:p>
            <w:pPr>
              <w:pStyle w:val="11"/>
            </w:pPr>
            <w:r>
              <w:t>263.95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2101199</w:t>
            </w:r>
          </w:p>
        </w:tc>
        <w:tc>
          <w:tcPr>
            <w:tcW w:w="4535" w:type="dxa"/>
            <w:vAlign w:val="center"/>
          </w:tcPr>
          <w:p>
            <w:pPr>
              <w:pStyle w:val="12"/>
            </w:pPr>
            <w:r>
              <w:t>其他行政事业单位医疗支出</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202001魏县信访局本级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860.74</w:t>
            </w:r>
          </w:p>
        </w:tc>
        <w:tc>
          <w:tcPr>
            <w:tcW w:w="3402" w:type="dxa"/>
            <w:vAlign w:val="center"/>
          </w:tcPr>
          <w:p>
            <w:pPr>
              <w:pStyle w:val="12"/>
            </w:pPr>
            <w:r>
              <w:t>一、一般公共服务支出</w:t>
            </w:r>
          </w:p>
        </w:tc>
        <w:tc>
          <w:tcPr>
            <w:tcW w:w="1474" w:type="dxa"/>
            <w:vAlign w:val="center"/>
          </w:tcPr>
          <w:p>
            <w:pPr>
              <w:pStyle w:val="11"/>
            </w:pPr>
            <w:r>
              <w:t>845.84</w:t>
            </w:r>
          </w:p>
        </w:tc>
        <w:tc>
          <w:tcPr>
            <w:tcW w:w="1474" w:type="dxa"/>
            <w:vAlign w:val="center"/>
          </w:tcPr>
          <w:p>
            <w:pPr>
              <w:pStyle w:val="11"/>
            </w:pPr>
            <w:r>
              <w:t>845.84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3.12</w:t>
            </w:r>
          </w:p>
        </w:tc>
        <w:tc>
          <w:tcPr>
            <w:tcW w:w="1474" w:type="dxa"/>
            <w:vAlign w:val="center"/>
          </w:tcPr>
          <w:p>
            <w:pPr>
              <w:pStyle w:val="11"/>
            </w:pPr>
            <w:r>
              <w:t>3.12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11.78</w:t>
            </w:r>
          </w:p>
        </w:tc>
        <w:tc>
          <w:tcPr>
            <w:tcW w:w="1474" w:type="dxa"/>
            <w:vAlign w:val="center"/>
          </w:tcPr>
          <w:p>
            <w:pPr>
              <w:pStyle w:val="11"/>
            </w:pPr>
            <w:r>
              <w:t>11.78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860.74</w:t>
            </w:r>
          </w:p>
        </w:tc>
        <w:tc>
          <w:tcPr>
            <w:tcW w:w="3402" w:type="dxa"/>
            <w:vAlign w:val="center"/>
          </w:tcPr>
          <w:p>
            <w:pPr>
              <w:pStyle w:val="14"/>
            </w:pPr>
            <w:r>
              <w:t>本年支出合计</w:t>
            </w:r>
          </w:p>
        </w:tc>
        <w:tc>
          <w:tcPr>
            <w:tcW w:w="1474" w:type="dxa"/>
            <w:vAlign w:val="center"/>
          </w:tcPr>
          <w:p>
            <w:pPr>
              <w:pStyle w:val="15"/>
            </w:pPr>
            <w:r>
              <w:t>860.74</w:t>
            </w:r>
          </w:p>
        </w:tc>
        <w:tc>
          <w:tcPr>
            <w:tcW w:w="1474" w:type="dxa"/>
            <w:vAlign w:val="center"/>
          </w:tcPr>
          <w:p>
            <w:pPr>
              <w:pStyle w:val="15"/>
            </w:pPr>
            <w:r>
              <w:t>860.74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860.74</w:t>
            </w:r>
          </w:p>
        </w:tc>
        <w:tc>
          <w:tcPr>
            <w:tcW w:w="3402" w:type="dxa"/>
            <w:vAlign w:val="center"/>
          </w:tcPr>
          <w:p>
            <w:pPr>
              <w:pStyle w:val="14"/>
            </w:pPr>
            <w:r>
              <w:t>支出总计</w:t>
            </w:r>
          </w:p>
        </w:tc>
        <w:tc>
          <w:tcPr>
            <w:tcW w:w="1474" w:type="dxa"/>
            <w:vAlign w:val="center"/>
          </w:tcPr>
          <w:p>
            <w:pPr>
              <w:pStyle w:val="15"/>
            </w:pPr>
            <w:r>
              <w:t>860.74</w:t>
            </w:r>
          </w:p>
        </w:tc>
        <w:tc>
          <w:tcPr>
            <w:tcW w:w="1474" w:type="dxa"/>
            <w:vAlign w:val="center"/>
          </w:tcPr>
          <w:p>
            <w:pPr>
              <w:pStyle w:val="15"/>
            </w:pPr>
            <w:r>
              <w:t>860.74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202001魏县信访局本级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860.74</w:t>
            </w:r>
          </w:p>
        </w:tc>
        <w:tc>
          <w:tcPr>
            <w:tcW w:w="2551" w:type="dxa"/>
            <w:vAlign w:val="center"/>
          </w:tcPr>
          <w:p>
            <w:pPr>
              <w:pStyle w:val="15"/>
            </w:pPr>
            <w:r>
              <w:t>278.85</w:t>
            </w:r>
          </w:p>
        </w:tc>
        <w:tc>
          <w:tcPr>
            <w:tcW w:w="2551" w:type="dxa"/>
            <w:vAlign w:val="center"/>
          </w:tcPr>
          <w:p>
            <w:pPr>
              <w:pStyle w:val="15"/>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845.84</w:t>
            </w:r>
          </w:p>
        </w:tc>
        <w:tc>
          <w:tcPr>
            <w:tcW w:w="2551" w:type="dxa"/>
            <w:vAlign w:val="center"/>
          </w:tcPr>
          <w:p>
            <w:pPr>
              <w:pStyle w:val="11"/>
            </w:pPr>
            <w:r>
              <w:t>263.95</w:t>
            </w: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581.89</w:t>
            </w:r>
          </w:p>
        </w:tc>
        <w:tc>
          <w:tcPr>
            <w:tcW w:w="2551" w:type="dxa"/>
            <w:vAlign w:val="center"/>
          </w:tcPr>
          <w:p>
            <w:pPr>
              <w:pStyle w:val="11"/>
            </w:pP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2010308</w:t>
            </w:r>
          </w:p>
        </w:tc>
        <w:tc>
          <w:tcPr>
            <w:tcW w:w="4535" w:type="dxa"/>
            <w:vAlign w:val="center"/>
          </w:tcPr>
          <w:p>
            <w:pPr>
              <w:pStyle w:val="12"/>
            </w:pPr>
            <w:r>
              <w:t>信访事务</w:t>
            </w:r>
          </w:p>
        </w:tc>
        <w:tc>
          <w:tcPr>
            <w:tcW w:w="2551" w:type="dxa"/>
            <w:vAlign w:val="center"/>
          </w:tcPr>
          <w:p>
            <w:pPr>
              <w:pStyle w:val="11"/>
            </w:pPr>
            <w:r>
              <w:t>581.89</w:t>
            </w:r>
          </w:p>
        </w:tc>
        <w:tc>
          <w:tcPr>
            <w:tcW w:w="2551" w:type="dxa"/>
            <w:vAlign w:val="center"/>
          </w:tcPr>
          <w:p>
            <w:pPr>
              <w:pStyle w:val="11"/>
            </w:pP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263.95</w:t>
            </w:r>
          </w:p>
        </w:tc>
        <w:tc>
          <w:tcPr>
            <w:tcW w:w="2551" w:type="dxa"/>
            <w:vAlign w:val="center"/>
          </w:tcPr>
          <w:p>
            <w:pPr>
              <w:pStyle w:val="11"/>
            </w:pPr>
            <w:r>
              <w:t>263.95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263.95</w:t>
            </w:r>
          </w:p>
        </w:tc>
        <w:tc>
          <w:tcPr>
            <w:tcW w:w="2551" w:type="dxa"/>
            <w:vAlign w:val="center"/>
          </w:tcPr>
          <w:p>
            <w:pPr>
              <w:pStyle w:val="11"/>
            </w:pPr>
            <w:r>
              <w:t>263.95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2101199</w:t>
            </w:r>
          </w:p>
        </w:tc>
        <w:tc>
          <w:tcPr>
            <w:tcW w:w="4535" w:type="dxa"/>
            <w:vAlign w:val="center"/>
          </w:tcPr>
          <w:p>
            <w:pPr>
              <w:pStyle w:val="12"/>
            </w:pPr>
            <w:r>
              <w:t>其他行政事业单位医疗支出</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202001魏县信访局本级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278.85</w:t>
            </w:r>
          </w:p>
        </w:tc>
        <w:tc>
          <w:tcPr>
            <w:tcW w:w="2551" w:type="dxa"/>
            <w:vAlign w:val="center"/>
          </w:tcPr>
          <w:p>
            <w:pPr>
              <w:pStyle w:val="15"/>
            </w:pPr>
            <w:r>
              <w:t>245.51</w:t>
            </w:r>
          </w:p>
        </w:tc>
        <w:tc>
          <w:tcPr>
            <w:tcW w:w="2551" w:type="dxa"/>
            <w:vAlign w:val="center"/>
          </w:tcPr>
          <w:p>
            <w:pPr>
              <w:pStyle w:val="15"/>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242.39</w:t>
            </w:r>
          </w:p>
        </w:tc>
        <w:tc>
          <w:tcPr>
            <w:tcW w:w="2551" w:type="dxa"/>
            <w:vAlign w:val="center"/>
          </w:tcPr>
          <w:p>
            <w:pPr>
              <w:pStyle w:val="11"/>
            </w:pPr>
            <w:r>
              <w:t>242.39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151.12</w:t>
            </w:r>
          </w:p>
        </w:tc>
        <w:tc>
          <w:tcPr>
            <w:tcW w:w="2551" w:type="dxa"/>
            <w:vAlign w:val="center"/>
          </w:tcPr>
          <w:p>
            <w:pPr>
              <w:pStyle w:val="11"/>
            </w:pPr>
            <w:r>
              <w:t>151.12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6.77</w:t>
            </w:r>
          </w:p>
        </w:tc>
        <w:tc>
          <w:tcPr>
            <w:tcW w:w="2551" w:type="dxa"/>
            <w:vAlign w:val="center"/>
          </w:tcPr>
          <w:p>
            <w:pPr>
              <w:pStyle w:val="11"/>
            </w:pPr>
            <w:r>
              <w:t>6.77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5.18</w:t>
            </w:r>
          </w:p>
        </w:tc>
        <w:tc>
          <w:tcPr>
            <w:tcW w:w="2551" w:type="dxa"/>
            <w:vAlign w:val="center"/>
          </w:tcPr>
          <w:p>
            <w:pPr>
              <w:pStyle w:val="11"/>
            </w:pPr>
            <w:r>
              <w:t>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6.51</w:t>
            </w:r>
          </w:p>
        </w:tc>
        <w:tc>
          <w:tcPr>
            <w:tcW w:w="2551" w:type="dxa"/>
            <w:vAlign w:val="center"/>
          </w:tcPr>
          <w:p>
            <w:pPr>
              <w:pStyle w:val="11"/>
            </w:pPr>
            <w:r>
              <w:t>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22.75</w:t>
            </w:r>
          </w:p>
        </w:tc>
        <w:tc>
          <w:tcPr>
            <w:tcW w:w="2551" w:type="dxa"/>
            <w:vAlign w:val="center"/>
          </w:tcPr>
          <w:p>
            <w:pPr>
              <w:pStyle w:val="11"/>
            </w:pPr>
            <w:r>
              <w:t>22.75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11.37</w:t>
            </w:r>
          </w:p>
        </w:tc>
        <w:tc>
          <w:tcPr>
            <w:tcW w:w="2551" w:type="dxa"/>
            <w:vAlign w:val="center"/>
          </w:tcPr>
          <w:p>
            <w:pPr>
              <w:pStyle w:val="11"/>
            </w:pPr>
            <w:r>
              <w:t>11.37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26.91</w:t>
            </w:r>
          </w:p>
        </w:tc>
        <w:tc>
          <w:tcPr>
            <w:tcW w:w="2551" w:type="dxa"/>
            <w:vAlign w:val="center"/>
          </w:tcPr>
          <w:p>
            <w:pPr>
              <w:pStyle w:val="11"/>
            </w:pPr>
            <w:r>
              <w:t>26.91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33.34</w:t>
            </w:r>
          </w:p>
        </w:tc>
        <w:tc>
          <w:tcPr>
            <w:tcW w:w="2551" w:type="dxa"/>
            <w:vAlign w:val="center"/>
          </w:tcPr>
          <w:p>
            <w:pPr>
              <w:pStyle w:val="11"/>
            </w:pPr>
          </w:p>
        </w:tc>
        <w:tc>
          <w:tcPr>
            <w:tcW w:w="2551" w:type="dxa"/>
            <w:vAlign w:val="center"/>
          </w:tcPr>
          <w:p>
            <w:pPr>
              <w:pStyle w:val="11"/>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8.34</w:t>
            </w:r>
          </w:p>
        </w:tc>
        <w:tc>
          <w:tcPr>
            <w:tcW w:w="2551" w:type="dxa"/>
            <w:vAlign w:val="center"/>
          </w:tcPr>
          <w:p>
            <w:pPr>
              <w:pStyle w:val="11"/>
            </w:pPr>
          </w:p>
        </w:tc>
        <w:tc>
          <w:tcPr>
            <w:tcW w:w="2551" w:type="dxa"/>
            <w:vAlign w:val="center"/>
          </w:tcPr>
          <w:p>
            <w:pPr>
              <w:pStyle w:val="11"/>
            </w:pPr>
            <w:r>
              <w:t>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202001魏县信访局本级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202001魏县信访局本级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202001魏县信访局本级</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魏县信访局本级2022年单位预算信息公开情况说明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、《地方预决算公开操作规程》和《关于进一步推进预算公开工作的实施意见》规定，现将魏县信访局本级2022年单位预算公开如下：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(1)研究提出全县信访工作思路，拟定信访工作制度，维护全县社会稳定。（2）办理人民群众来信，接待群众来访，受理群众网上投诉，查办信访案件，负责人民群众建议征集工作。（3）调查研究和综合分析全县信访形势及信访工作状况，总结推广信访工作经验，提出改进和加强信访工作的意见和建议。（4）参与组织、协调、指导全县社会治安综合治理和维护社会政治稳定工作，协助保障国家、省、市和县重大政治活动顺利进行，参与处理影响社会政治稳定的突发性、群体性事件。</w:t>
      </w:r>
    </w:p>
    <w:p>
      <w:pPr>
        <w:pStyle w:val="25"/>
      </w:pPr>
      <w:r>
        <w:t>（5）督促检查和指导各乡镇党委、政府和县直部门的信访工作,指导全县信访工作的业务建设。对各乡镇党委、政府和县直有关部门信访工作年度责任目标进行考核，对全县社会治安综合治理和维护社会政治稳定年度责任目标中有关信访工作进行考核。（6）协助国家、省和市信访局处理魏县群众进京、赴省到市上访工作，综合协调处理跨地区、跨部门、跨行业的重要信访问题，协助公安机关维护县委、县政府机关正常工作秩序。（7）负责县级领导和县直部门领导公开接访和包联案件的组织协调工作。 （8）承担县信访工作联席会议的日常工作，督促落实联席会议决定的事项。（9）完成县委、县政府以及国家、省和市信访局交办的其他任务。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魏县信访局本级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按照预算管理有关规定，目前我县部门预算的编制实行综合预算制度，即全部收入和支出都反映的预算中。</w:t>
      </w:r>
    </w:p>
    <w:p>
      <w:pPr>
        <w:pStyle w:val="26"/>
      </w:pPr>
      <w:r>
        <w:t>1、收入说明：2022年收入预算共计852.41万元，全部为财政拨款收入。</w:t>
      </w:r>
    </w:p>
    <w:p>
      <w:pPr>
        <w:pStyle w:val="26"/>
      </w:pPr>
      <w:r>
        <w:t>2、支出说明：2020年支出预算共计852.41万元，其中人员经费支出预算245.52万元，正常公用经费支出预算25万元，专项公用100万元，专项项目支出481.89万元。</w:t>
      </w:r>
    </w:p>
    <w:p>
      <w:pPr>
        <w:pStyle w:val="26"/>
      </w:pPr>
      <w:r>
        <w:t>3、比上年增减情况：经过对比测算，2022年财政拨款预算比2021年增加207.41万元，主要是：人员支出增加15.52万元，(人员经费增加的主要因素为工资调标)、项目经费增加191.89（解决疑难信访问题配套资金增加）。</w:t>
      </w:r>
    </w:p>
    <w:p>
      <w:pPr>
        <w:spacing w:before="10" w:after="10"/>
        <w:ind w:firstLine="640"/>
        <w:outlineLvl w:val="5"/>
      </w:pPr>
      <w:r>
        <w:rPr>
          <w:rFonts w:ascii="黑体" w:hAnsi="黑体" w:eastAsia="黑体" w:cs="黑体"/>
          <w:color w:val="000000"/>
          <w:sz w:val="32"/>
        </w:rPr>
        <w:t>三、机关运行经费安排情况</w:t>
      </w:r>
    </w:p>
    <w:p>
      <w:pPr>
        <w:pStyle w:val="27"/>
      </w:pPr>
      <w:r>
        <w:t>机关运行经费共计安排25万元，主要用于保证正常办公的基本需要和维持单位日常业务运转，包括：人员经费、办公费、邮电费、差旅费、福利费、手续费、公务接待费、工会经费、公务用车运行维护费。</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rPr>
          <w:lang w:eastAsia="zh-CN"/>
        </w:rPr>
      </w:pPr>
      <w:r>
        <w:t>2022年，财政拨款“三公”经费预算安排0万元，其中因公出国(境)费0万元；公务用车购置及运维费0万元(其中：公务用车购置费为0万元，公务用车运行费0万元)。与</w:t>
      </w:r>
      <w:r>
        <w:rPr>
          <w:rFonts w:hint="eastAsia"/>
          <w:lang w:eastAsia="zh-CN"/>
        </w:rPr>
        <w:t>2021年持平，无变化。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1、2022年电子政务外网光纤租赁费绩效目标表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1.对网上信访案件进行100%受理、登记、交办。</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乡镇、县直单位覆盖率</w:t>
            </w:r>
          </w:p>
        </w:tc>
        <w:tc>
          <w:tcPr>
            <w:tcW w:w="2835" w:type="dxa"/>
            <w:vAlign w:val="center"/>
          </w:tcPr>
          <w:p>
            <w:pPr>
              <w:pStyle w:val="12"/>
            </w:pPr>
            <w:r>
              <w:t>涉及信访案件单位覆盖率</w:t>
            </w:r>
          </w:p>
        </w:tc>
        <w:tc>
          <w:tcPr>
            <w:tcW w:w="2551" w:type="dxa"/>
            <w:vAlign w:val="center"/>
          </w:tcPr>
          <w:p>
            <w:pPr>
              <w:pStyle w:val="12"/>
            </w:pPr>
            <w:r>
              <w:t>100%</w:t>
            </w:r>
          </w:p>
        </w:tc>
        <w:tc>
          <w:tcPr>
            <w:tcW w:w="2268" w:type="dxa"/>
            <w:vAlign w:val="center"/>
          </w:tcPr>
          <w:p>
            <w:pPr>
              <w:pStyle w:val="12"/>
            </w:pPr>
            <w:r>
              <w:t>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2835" w:type="dxa"/>
            <w:vAlign w:val="center"/>
          </w:tcPr>
          <w:p>
            <w:pPr>
              <w:pStyle w:val="12"/>
            </w:pPr>
            <w:r>
              <w:t>保障电子政务外网系统的正常运行。</w:t>
            </w:r>
          </w:p>
        </w:tc>
        <w:tc>
          <w:tcPr>
            <w:tcW w:w="2551" w:type="dxa"/>
            <w:vAlign w:val="center"/>
          </w:tcPr>
          <w:p>
            <w:pPr>
              <w:pStyle w:val="12"/>
            </w:pPr>
            <w:r>
              <w:t>100%</w:t>
            </w:r>
          </w:p>
        </w:tc>
        <w:tc>
          <w:tcPr>
            <w:tcW w:w="2268" w:type="dxa"/>
            <w:vAlign w:val="center"/>
          </w:tcPr>
          <w:p>
            <w:pPr>
              <w:pStyle w:val="12"/>
            </w:pPr>
            <w:r>
              <w:t>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不超出预算数</w:t>
            </w:r>
          </w:p>
        </w:tc>
        <w:tc>
          <w:tcPr>
            <w:tcW w:w="2268" w:type="dxa"/>
            <w:vAlign w:val="center"/>
          </w:tcPr>
          <w:p>
            <w:pPr>
              <w:pStyle w:val="12"/>
            </w:pPr>
            <w:r>
              <w:t>预算安排数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国家信访局网上信访案件交办数下降率</w:t>
            </w:r>
          </w:p>
        </w:tc>
        <w:tc>
          <w:tcPr>
            <w:tcW w:w="2835" w:type="dxa"/>
            <w:vAlign w:val="center"/>
          </w:tcPr>
          <w:p>
            <w:pPr>
              <w:pStyle w:val="12"/>
            </w:pPr>
            <w:r>
              <w:t>国家信访局网上信访案件交办数要同比下降。</w:t>
            </w:r>
          </w:p>
        </w:tc>
        <w:tc>
          <w:tcPr>
            <w:tcW w:w="2551" w:type="dxa"/>
            <w:vAlign w:val="center"/>
          </w:tcPr>
          <w:p>
            <w:pPr>
              <w:pStyle w:val="12"/>
            </w:pPr>
            <w:r>
              <w:t>≥25%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省信访局网上信访案件交办数下降率</w:t>
            </w:r>
          </w:p>
        </w:tc>
        <w:tc>
          <w:tcPr>
            <w:tcW w:w="2835" w:type="dxa"/>
            <w:vAlign w:val="center"/>
          </w:tcPr>
          <w:p>
            <w:pPr>
              <w:pStyle w:val="12"/>
            </w:pPr>
            <w:r>
              <w:t>省信访局网上信访案件交办数要同比下降。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市信访局网上信访案件交办数下降率</w:t>
            </w:r>
          </w:p>
        </w:tc>
        <w:tc>
          <w:tcPr>
            <w:tcW w:w="2835" w:type="dxa"/>
            <w:vAlign w:val="center"/>
          </w:tcPr>
          <w:p>
            <w:pPr>
              <w:pStyle w:val="12"/>
            </w:pPr>
            <w:r>
              <w:t>市信访局网上信访案件交办数要同比下降。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网上信访群众满意度</w:t>
            </w:r>
          </w:p>
        </w:tc>
        <w:tc>
          <w:tcPr>
            <w:tcW w:w="2835" w:type="dxa"/>
            <w:vAlign w:val="center"/>
          </w:tcPr>
          <w:p>
            <w:pPr>
              <w:pStyle w:val="12"/>
            </w:pPr>
            <w:r>
              <w:t>通过对网上信访案件的及时受理、交办、督办，确保上访人员满意。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2、2022年国家、省、市“两会”、北戴河暑期值班等经费绩效目标表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1.及时处理进京、赴省、到市上访群众，处理、接回率达到95%以上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进京、赴省、到市上访人员稳控率</w:t>
            </w:r>
          </w:p>
        </w:tc>
        <w:tc>
          <w:tcPr>
            <w:tcW w:w="2835" w:type="dxa"/>
            <w:vAlign w:val="center"/>
          </w:tcPr>
          <w:p>
            <w:pPr>
              <w:pStyle w:val="12"/>
            </w:pPr>
            <w:r>
              <w:t>有效稳控进京、赴省、到市上访人员，保证不被京省市登记。</w:t>
            </w:r>
          </w:p>
        </w:tc>
        <w:tc>
          <w:tcPr>
            <w:tcW w:w="2551" w:type="dxa"/>
            <w:vAlign w:val="center"/>
          </w:tcPr>
          <w:p>
            <w:pPr>
              <w:pStyle w:val="12"/>
            </w:pPr>
            <w:r>
              <w:t>≥95%</w:t>
            </w:r>
          </w:p>
        </w:tc>
        <w:tc>
          <w:tcPr>
            <w:tcW w:w="2268" w:type="dxa"/>
            <w:vAlign w:val="center"/>
          </w:tcPr>
          <w:p>
            <w:pPr>
              <w:pStyle w:val="12"/>
            </w:pPr>
            <w:r>
              <w:t>稳控率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进京、赴省、到市上访人员</w:t>
            </w:r>
          </w:p>
        </w:tc>
        <w:tc>
          <w:tcPr>
            <w:tcW w:w="2835" w:type="dxa"/>
            <w:vAlign w:val="center"/>
          </w:tcPr>
          <w:p>
            <w:pPr>
              <w:pStyle w:val="12"/>
            </w:pPr>
            <w:r>
              <w:t>及时接回进京、赴省、到市上访人员。</w:t>
            </w:r>
          </w:p>
        </w:tc>
        <w:tc>
          <w:tcPr>
            <w:tcW w:w="2551" w:type="dxa"/>
            <w:vAlign w:val="center"/>
          </w:tcPr>
          <w:p>
            <w:pPr>
              <w:pStyle w:val="12"/>
            </w:pPr>
            <w:r>
              <w:t>≥95%</w:t>
            </w:r>
          </w:p>
        </w:tc>
        <w:tc>
          <w:tcPr>
            <w:tcW w:w="2268" w:type="dxa"/>
            <w:vAlign w:val="center"/>
          </w:tcPr>
          <w:p>
            <w:pPr>
              <w:pStyle w:val="12"/>
            </w:pPr>
            <w:r>
              <w:t>接回率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进京、赴省、到市上访人员处理率</w:t>
            </w:r>
          </w:p>
        </w:tc>
        <w:tc>
          <w:tcPr>
            <w:tcW w:w="2835" w:type="dxa"/>
            <w:vAlign w:val="center"/>
          </w:tcPr>
          <w:p>
            <w:pPr>
              <w:pStyle w:val="12"/>
            </w:pPr>
            <w:r>
              <w:t>及时处理接回进京到非接待场所上访人员。</w:t>
            </w:r>
          </w:p>
        </w:tc>
        <w:tc>
          <w:tcPr>
            <w:tcW w:w="2551" w:type="dxa"/>
            <w:vAlign w:val="center"/>
          </w:tcPr>
          <w:p>
            <w:pPr>
              <w:pStyle w:val="12"/>
            </w:pPr>
            <w:r>
              <w:t>≥95%</w:t>
            </w:r>
          </w:p>
        </w:tc>
        <w:tc>
          <w:tcPr>
            <w:tcW w:w="2268" w:type="dxa"/>
            <w:vAlign w:val="center"/>
          </w:tcPr>
          <w:p>
            <w:pPr>
              <w:pStyle w:val="12"/>
            </w:pPr>
            <w:r>
              <w:t>处理率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不高于预算数</w:t>
            </w:r>
          </w:p>
        </w:tc>
        <w:tc>
          <w:tcPr>
            <w:tcW w:w="2835" w:type="dxa"/>
            <w:vAlign w:val="center"/>
          </w:tcPr>
          <w:p>
            <w:pPr>
              <w:pStyle w:val="12"/>
            </w:pPr>
            <w:r>
              <w:t>合理，节约使用值班经费，确保不超出预算数</w:t>
            </w:r>
          </w:p>
        </w:tc>
        <w:tc>
          <w:tcPr>
            <w:tcW w:w="2551" w:type="dxa"/>
            <w:vAlign w:val="center"/>
          </w:tcPr>
          <w:p>
            <w:pPr>
              <w:pStyle w:val="12"/>
            </w:pPr>
            <w:r>
              <w:t>10万元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进京、赴省、到市上集体访人数下降率</w:t>
            </w:r>
          </w:p>
        </w:tc>
        <w:tc>
          <w:tcPr>
            <w:tcW w:w="2835" w:type="dxa"/>
            <w:vAlign w:val="center"/>
          </w:tcPr>
          <w:p>
            <w:pPr>
              <w:pStyle w:val="12"/>
            </w:pPr>
            <w:r>
              <w:t>进京、赴省、到市集体访人员要同比下降，有效维护我县社会稳定。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进京到非接待场所上访人数下降率</w:t>
            </w:r>
          </w:p>
        </w:tc>
        <w:tc>
          <w:tcPr>
            <w:tcW w:w="2835" w:type="dxa"/>
            <w:vAlign w:val="center"/>
          </w:tcPr>
          <w:p>
            <w:pPr>
              <w:pStyle w:val="12"/>
            </w:pPr>
            <w:r>
              <w:t>进京到非接待场所上访人员要同比下降，有效维护我县社会稳定。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进京、赴省、到市单访人数下降率</w:t>
            </w:r>
          </w:p>
        </w:tc>
        <w:tc>
          <w:tcPr>
            <w:tcW w:w="2835" w:type="dxa"/>
            <w:vAlign w:val="center"/>
          </w:tcPr>
          <w:p>
            <w:pPr>
              <w:pStyle w:val="12"/>
            </w:pPr>
            <w:r>
              <w:t>进京、赴省、到市单访人员要同比下降，有效维护我县社会稳定。</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上访人员满意度</w:t>
            </w:r>
          </w:p>
        </w:tc>
        <w:tc>
          <w:tcPr>
            <w:tcW w:w="2835" w:type="dxa"/>
            <w:vAlign w:val="center"/>
          </w:tcPr>
          <w:p>
            <w:pPr>
              <w:pStyle w:val="12"/>
            </w:pPr>
            <w:r>
              <w:t>对进京赴省上访人员，耐心细致地做思想工作，确保上访人员满意。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3、2022年接访中心运行经费绩效目标表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1.及时登记、受理来访群众反映的问题，群众反映问题化解率达到90%以上。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工作天数</w:t>
            </w:r>
          </w:p>
        </w:tc>
        <w:tc>
          <w:tcPr>
            <w:tcW w:w="2835" w:type="dxa"/>
            <w:vAlign w:val="center"/>
          </w:tcPr>
          <w:p>
            <w:pPr>
              <w:pStyle w:val="12"/>
            </w:pPr>
            <w:r>
              <w:t>保障接访中心全年日常工作正常运转</w:t>
            </w:r>
          </w:p>
        </w:tc>
        <w:tc>
          <w:tcPr>
            <w:tcW w:w="2551" w:type="dxa"/>
            <w:vAlign w:val="center"/>
          </w:tcPr>
          <w:p>
            <w:pPr>
              <w:pStyle w:val="12"/>
            </w:pPr>
            <w:r>
              <w:t>250天</w:t>
            </w:r>
          </w:p>
        </w:tc>
        <w:tc>
          <w:tcPr>
            <w:tcW w:w="2268" w:type="dxa"/>
            <w:vAlign w:val="center"/>
          </w:tcPr>
          <w:p>
            <w:pPr>
              <w:pStyle w:val="12"/>
            </w:pPr>
            <w:r>
              <w:t>正常工作天数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2835" w:type="dxa"/>
            <w:vAlign w:val="center"/>
          </w:tcPr>
          <w:p>
            <w:pPr>
              <w:pStyle w:val="12"/>
            </w:pPr>
            <w:r>
              <w:t>日常各项工作完成率</w:t>
            </w:r>
          </w:p>
        </w:tc>
        <w:tc>
          <w:tcPr>
            <w:tcW w:w="2551" w:type="dxa"/>
            <w:vAlign w:val="center"/>
          </w:tcPr>
          <w:p>
            <w:pPr>
              <w:pStyle w:val="12"/>
            </w:pPr>
            <w:r>
              <w:t>≥95</w:t>
            </w:r>
          </w:p>
          <w:p>
            <w:pPr>
              <w:pStyle w:val="12"/>
            </w:pPr>
            <w:r>
              <w:t>%</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p>
            <w:pPr>
              <w:pStyle w:val="12"/>
            </w:pPr>
            <w:r>
              <w:t>%</w:t>
            </w:r>
          </w:p>
        </w:tc>
        <w:tc>
          <w:tcPr>
            <w:tcW w:w="2268" w:type="dxa"/>
            <w:vAlign w:val="center"/>
          </w:tcPr>
          <w:p>
            <w:pPr>
              <w:pStyle w:val="12"/>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预算数</w:t>
            </w:r>
          </w:p>
        </w:tc>
        <w:tc>
          <w:tcPr>
            <w:tcW w:w="2835" w:type="dxa"/>
            <w:vAlign w:val="center"/>
          </w:tcPr>
          <w:p>
            <w:pPr>
              <w:pStyle w:val="12"/>
            </w:pPr>
            <w:r>
              <w:t>合理支出办公经费，不超出预算数</w:t>
            </w:r>
          </w:p>
        </w:tc>
        <w:tc>
          <w:tcPr>
            <w:tcW w:w="2551" w:type="dxa"/>
            <w:vAlign w:val="center"/>
          </w:tcPr>
          <w:p>
            <w:pPr>
              <w:pStyle w:val="12"/>
            </w:pPr>
            <w:r>
              <w:t>6万元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上访群众下降率</w:t>
            </w:r>
          </w:p>
        </w:tc>
        <w:tc>
          <w:tcPr>
            <w:tcW w:w="2835" w:type="dxa"/>
            <w:vAlign w:val="center"/>
          </w:tcPr>
          <w:p>
            <w:pPr>
              <w:pStyle w:val="12"/>
            </w:pPr>
            <w:r>
              <w:t>到接访中心上访人数要同比下降。</w:t>
            </w:r>
          </w:p>
        </w:tc>
        <w:tc>
          <w:tcPr>
            <w:tcW w:w="2551" w:type="dxa"/>
            <w:vAlign w:val="center"/>
          </w:tcPr>
          <w:p>
            <w:pPr>
              <w:pStyle w:val="12"/>
            </w:pPr>
            <w:r>
              <w:t>≥15</w:t>
            </w:r>
          </w:p>
          <w:p>
            <w:pPr>
              <w:pStyle w:val="12"/>
            </w:pPr>
            <w:r>
              <w:t>%</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群众反映问题下降率</w:t>
            </w:r>
          </w:p>
        </w:tc>
        <w:tc>
          <w:tcPr>
            <w:tcW w:w="2835" w:type="dxa"/>
            <w:vAlign w:val="center"/>
          </w:tcPr>
          <w:p>
            <w:pPr>
              <w:pStyle w:val="12"/>
            </w:pPr>
            <w:r>
              <w:t>反映的各类信访问题要同比下降。</w:t>
            </w:r>
          </w:p>
        </w:tc>
        <w:tc>
          <w:tcPr>
            <w:tcW w:w="2551" w:type="dxa"/>
            <w:vAlign w:val="center"/>
          </w:tcPr>
          <w:p>
            <w:pPr>
              <w:pStyle w:val="12"/>
            </w:pPr>
            <w:r>
              <w:t>≥20</w:t>
            </w:r>
          </w:p>
          <w:p>
            <w:pPr>
              <w:pStyle w:val="12"/>
            </w:pPr>
            <w:r>
              <w:t>%</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信访案件息诉率</w:t>
            </w:r>
          </w:p>
        </w:tc>
        <w:tc>
          <w:tcPr>
            <w:tcW w:w="2835" w:type="dxa"/>
            <w:vAlign w:val="center"/>
          </w:tcPr>
          <w:p>
            <w:pPr>
              <w:pStyle w:val="12"/>
            </w:pPr>
            <w:r>
              <w:t>通过有关入驻部门做工作,有效化解信访案件,确保上访群众息诉罢访，维护社会稳定。</w:t>
            </w:r>
          </w:p>
        </w:tc>
        <w:tc>
          <w:tcPr>
            <w:tcW w:w="2551" w:type="dxa"/>
            <w:vAlign w:val="center"/>
          </w:tcPr>
          <w:p>
            <w:pPr>
              <w:pStyle w:val="12"/>
            </w:pPr>
            <w:r>
              <w:t>≥85</w:t>
            </w:r>
          </w:p>
          <w:p>
            <w:pPr>
              <w:pStyle w:val="12"/>
            </w:pPr>
            <w:r>
              <w:t>%</w:t>
            </w:r>
          </w:p>
        </w:tc>
        <w:tc>
          <w:tcPr>
            <w:tcW w:w="2268" w:type="dxa"/>
            <w:vAlign w:val="center"/>
          </w:tcPr>
          <w:p>
            <w:pPr>
              <w:pStyle w:val="12"/>
            </w:pPr>
            <w:r>
              <w:t>息诉率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通过对上访群众反映问题有效化解，让群众对处理结果满意。</w:t>
            </w:r>
          </w:p>
        </w:tc>
        <w:tc>
          <w:tcPr>
            <w:tcW w:w="2551" w:type="dxa"/>
            <w:vAlign w:val="center"/>
          </w:tcPr>
          <w:p>
            <w:pPr>
              <w:pStyle w:val="12"/>
            </w:pPr>
            <w:r>
              <w:t>≥95</w:t>
            </w:r>
          </w:p>
          <w:p>
            <w:pPr>
              <w:pStyle w:val="12"/>
            </w:pPr>
            <w:r>
              <w:t>%</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1.对上访群众反映问题及时登记、受理，信访案件化解率达到90%以上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工作天数</w:t>
            </w:r>
          </w:p>
        </w:tc>
        <w:tc>
          <w:tcPr>
            <w:tcW w:w="2835" w:type="dxa"/>
            <w:vAlign w:val="center"/>
          </w:tcPr>
          <w:p>
            <w:pPr>
              <w:pStyle w:val="12"/>
            </w:pPr>
            <w:r>
              <w:t>保障全年日常工作正常运转</w:t>
            </w:r>
          </w:p>
        </w:tc>
        <w:tc>
          <w:tcPr>
            <w:tcW w:w="2551" w:type="dxa"/>
            <w:vAlign w:val="center"/>
          </w:tcPr>
          <w:p>
            <w:pPr>
              <w:pStyle w:val="12"/>
            </w:pPr>
            <w:r>
              <w:t>全年正常运转</w:t>
            </w:r>
          </w:p>
        </w:tc>
        <w:tc>
          <w:tcPr>
            <w:tcW w:w="2268" w:type="dxa"/>
            <w:vAlign w:val="center"/>
          </w:tcPr>
          <w:p>
            <w:pPr>
              <w:pStyle w:val="12"/>
            </w:pPr>
            <w:r>
              <w:t>正常工作天数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2835" w:type="dxa"/>
            <w:vAlign w:val="center"/>
          </w:tcPr>
          <w:p>
            <w:pPr>
              <w:pStyle w:val="12"/>
            </w:pPr>
            <w:r>
              <w:t>日常各项工作完成率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预算数</w:t>
            </w:r>
          </w:p>
        </w:tc>
        <w:tc>
          <w:tcPr>
            <w:tcW w:w="2835" w:type="dxa"/>
            <w:vAlign w:val="center"/>
          </w:tcPr>
          <w:p>
            <w:pPr>
              <w:pStyle w:val="12"/>
            </w:pPr>
            <w:r>
              <w:t>合理支出办公经费，不超出预算数</w:t>
            </w:r>
          </w:p>
        </w:tc>
        <w:tc>
          <w:tcPr>
            <w:tcW w:w="2551" w:type="dxa"/>
            <w:vAlign w:val="center"/>
          </w:tcPr>
          <w:p>
            <w:pPr>
              <w:pStyle w:val="12"/>
            </w:pPr>
            <w:r>
              <w:t>50万元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上访群众人数下降率</w:t>
            </w:r>
          </w:p>
        </w:tc>
        <w:tc>
          <w:tcPr>
            <w:tcW w:w="2835" w:type="dxa"/>
            <w:vAlign w:val="center"/>
          </w:tcPr>
          <w:p>
            <w:pPr>
              <w:pStyle w:val="12"/>
            </w:pPr>
            <w:r>
              <w:t>上访人数要同比下降。</w:t>
            </w:r>
          </w:p>
        </w:tc>
        <w:tc>
          <w:tcPr>
            <w:tcW w:w="2551" w:type="dxa"/>
            <w:vAlign w:val="center"/>
          </w:tcPr>
          <w:p>
            <w:pPr>
              <w:pStyle w:val="12"/>
            </w:pPr>
            <w:r>
              <w:t>≥10%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群众反映问题个数下降率</w:t>
            </w:r>
          </w:p>
        </w:tc>
        <w:tc>
          <w:tcPr>
            <w:tcW w:w="2835" w:type="dxa"/>
            <w:vAlign w:val="center"/>
          </w:tcPr>
          <w:p>
            <w:pPr>
              <w:pStyle w:val="12"/>
            </w:pPr>
            <w:r>
              <w:t>反映的各类信访问题要同比下降。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案件息诉率</w:t>
            </w:r>
          </w:p>
        </w:tc>
        <w:tc>
          <w:tcPr>
            <w:tcW w:w="2835" w:type="dxa"/>
            <w:vAlign w:val="center"/>
          </w:tcPr>
          <w:p>
            <w:pPr>
              <w:pStyle w:val="12"/>
            </w:pPr>
            <w:r>
              <w:t>通过做工作,有效化解信访案件,确保上访群众息诉罢访，维护社会稳定。</w:t>
            </w:r>
          </w:p>
        </w:tc>
        <w:tc>
          <w:tcPr>
            <w:tcW w:w="2551" w:type="dxa"/>
            <w:vAlign w:val="center"/>
          </w:tcPr>
          <w:p>
            <w:pPr>
              <w:pStyle w:val="12"/>
            </w:pPr>
            <w:r>
              <w:t>≥85%</w:t>
            </w:r>
          </w:p>
        </w:tc>
        <w:tc>
          <w:tcPr>
            <w:tcW w:w="2268" w:type="dxa"/>
            <w:vAlign w:val="center"/>
          </w:tcPr>
          <w:p>
            <w:pPr>
              <w:pStyle w:val="12"/>
            </w:pPr>
            <w:r>
              <w:t>息诉率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通过对上访群众反映问题有效化解，让群众对处理结果满意。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5、2022年解决疑难信访问题配套资金绩效目标表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1.解决疑难信访案件60个以上，促进社会和谐稳定，营造良好社会环境。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案件数量</w:t>
            </w:r>
          </w:p>
        </w:tc>
        <w:tc>
          <w:tcPr>
            <w:tcW w:w="2835" w:type="dxa"/>
            <w:vAlign w:val="center"/>
          </w:tcPr>
          <w:p>
            <w:pPr>
              <w:pStyle w:val="12"/>
            </w:pPr>
            <w:r>
              <w:t>使用配套资金解决案件的个数</w:t>
            </w:r>
          </w:p>
        </w:tc>
        <w:tc>
          <w:tcPr>
            <w:tcW w:w="2551" w:type="dxa"/>
            <w:vAlign w:val="center"/>
          </w:tcPr>
          <w:p>
            <w:pPr>
              <w:pStyle w:val="12"/>
            </w:pPr>
            <w:r>
              <w:t>≥60个</w:t>
            </w:r>
          </w:p>
        </w:tc>
        <w:tc>
          <w:tcPr>
            <w:tcW w:w="2268" w:type="dxa"/>
            <w:vAlign w:val="center"/>
          </w:tcPr>
          <w:p>
            <w:pPr>
              <w:pStyle w:val="12"/>
            </w:pPr>
            <w:r>
              <w:t>解决每个案件使用资金的平均值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案件化解率</w:t>
            </w:r>
          </w:p>
        </w:tc>
        <w:tc>
          <w:tcPr>
            <w:tcW w:w="2835" w:type="dxa"/>
            <w:vAlign w:val="center"/>
          </w:tcPr>
          <w:p>
            <w:pPr>
              <w:pStyle w:val="12"/>
            </w:pPr>
            <w:r>
              <w:t>使用配套资金解决案件的化解率</w:t>
            </w:r>
          </w:p>
        </w:tc>
        <w:tc>
          <w:tcPr>
            <w:tcW w:w="2551" w:type="dxa"/>
            <w:vAlign w:val="center"/>
          </w:tcPr>
          <w:p>
            <w:pPr>
              <w:pStyle w:val="12"/>
            </w:pPr>
            <w:r>
              <w:t>≥95%</w:t>
            </w:r>
          </w:p>
        </w:tc>
        <w:tc>
          <w:tcPr>
            <w:tcW w:w="2268" w:type="dxa"/>
            <w:vAlign w:val="center"/>
          </w:tcPr>
          <w:p>
            <w:pPr>
              <w:pStyle w:val="12"/>
            </w:pPr>
            <w:r>
              <w:t>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发放率</w:t>
            </w:r>
          </w:p>
        </w:tc>
        <w:tc>
          <w:tcPr>
            <w:tcW w:w="2835" w:type="dxa"/>
            <w:vAlign w:val="center"/>
          </w:tcPr>
          <w:p>
            <w:pPr>
              <w:pStyle w:val="12"/>
            </w:pPr>
            <w:r>
              <w:t>及时发放救助金</w:t>
            </w:r>
          </w:p>
        </w:tc>
        <w:tc>
          <w:tcPr>
            <w:tcW w:w="2551" w:type="dxa"/>
            <w:vAlign w:val="center"/>
          </w:tcPr>
          <w:p>
            <w:pPr>
              <w:pStyle w:val="12"/>
            </w:pPr>
            <w:r>
              <w:t>100%</w:t>
            </w:r>
          </w:p>
        </w:tc>
        <w:tc>
          <w:tcPr>
            <w:tcW w:w="2268" w:type="dxa"/>
            <w:vAlign w:val="center"/>
          </w:tcPr>
          <w:p>
            <w:pPr>
              <w:pStyle w:val="12"/>
            </w:pPr>
            <w:r>
              <w:t>发放率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案件成本</w:t>
            </w:r>
          </w:p>
        </w:tc>
        <w:tc>
          <w:tcPr>
            <w:tcW w:w="2835" w:type="dxa"/>
            <w:vAlign w:val="center"/>
          </w:tcPr>
          <w:p>
            <w:pPr>
              <w:pStyle w:val="12"/>
            </w:pPr>
            <w:r>
              <w:t>解决每个疑难信访案件的所使用的资金</w:t>
            </w:r>
          </w:p>
        </w:tc>
        <w:tc>
          <w:tcPr>
            <w:tcW w:w="2551" w:type="dxa"/>
            <w:vAlign w:val="center"/>
          </w:tcPr>
          <w:p>
            <w:pPr>
              <w:pStyle w:val="12"/>
            </w:pPr>
            <w:r>
              <w:t>≤5万元</w:t>
            </w:r>
          </w:p>
        </w:tc>
        <w:tc>
          <w:tcPr>
            <w:tcW w:w="2268" w:type="dxa"/>
            <w:vAlign w:val="center"/>
          </w:tcPr>
          <w:p>
            <w:pPr>
              <w:pStyle w:val="12"/>
            </w:pPr>
            <w:r>
              <w:t>解决案件的个数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疑难信访案件资金使用下降率</w:t>
            </w:r>
          </w:p>
        </w:tc>
        <w:tc>
          <w:tcPr>
            <w:tcW w:w="2835" w:type="dxa"/>
            <w:vAlign w:val="center"/>
          </w:tcPr>
          <w:p>
            <w:pPr>
              <w:pStyle w:val="12"/>
            </w:pPr>
            <w:r>
              <w:t>通过化解疑难信访案件，使案件数量和资金使用同比下降。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进京访下降率</w:t>
            </w:r>
          </w:p>
        </w:tc>
        <w:tc>
          <w:tcPr>
            <w:tcW w:w="2835" w:type="dxa"/>
            <w:vAlign w:val="center"/>
          </w:tcPr>
          <w:p>
            <w:pPr>
              <w:pStyle w:val="12"/>
            </w:pPr>
            <w:r>
              <w:t>进京访同比下降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赴省访下降率</w:t>
            </w:r>
          </w:p>
        </w:tc>
        <w:tc>
          <w:tcPr>
            <w:tcW w:w="2835" w:type="dxa"/>
            <w:vAlign w:val="center"/>
          </w:tcPr>
          <w:p>
            <w:pPr>
              <w:pStyle w:val="12"/>
            </w:pPr>
            <w:r>
              <w:t>赴省访同比下降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合理使用资金解决信访案件，确保上访群众对处理结果满意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6、2022年智慧接访管理系统建设经费绩效目标表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1.构建22个乡镇、相关县直单位覆盖率100%的的智慧接访体系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乡镇 、县直单位</w:t>
            </w:r>
          </w:p>
        </w:tc>
        <w:tc>
          <w:tcPr>
            <w:tcW w:w="2835" w:type="dxa"/>
            <w:vAlign w:val="center"/>
          </w:tcPr>
          <w:p>
            <w:pPr>
              <w:pStyle w:val="12"/>
            </w:pPr>
            <w:r>
              <w:t>构建对22个乡镇和相关县直单位的全覆盖的智慧接访系统。</w:t>
            </w:r>
          </w:p>
        </w:tc>
        <w:tc>
          <w:tcPr>
            <w:tcW w:w="2551" w:type="dxa"/>
            <w:vAlign w:val="center"/>
          </w:tcPr>
          <w:p>
            <w:pPr>
              <w:pStyle w:val="12"/>
            </w:pPr>
            <w:r>
              <w:t>22个</w:t>
            </w:r>
          </w:p>
        </w:tc>
        <w:tc>
          <w:tcPr>
            <w:tcW w:w="2268" w:type="dxa"/>
            <w:vAlign w:val="center"/>
          </w:tcPr>
          <w:p>
            <w:pPr>
              <w:pStyle w:val="12"/>
            </w:pPr>
            <w:r>
              <w:t>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2835" w:type="dxa"/>
            <w:vAlign w:val="center"/>
          </w:tcPr>
          <w:p>
            <w:pPr>
              <w:pStyle w:val="12"/>
            </w:pPr>
            <w:r>
              <w:t>保障智慧接访系统的正常运行。</w:t>
            </w:r>
          </w:p>
        </w:tc>
        <w:tc>
          <w:tcPr>
            <w:tcW w:w="2551" w:type="dxa"/>
            <w:vAlign w:val="center"/>
          </w:tcPr>
          <w:p>
            <w:pPr>
              <w:pStyle w:val="12"/>
            </w:pPr>
            <w:r>
              <w:t>≥95%</w:t>
            </w:r>
          </w:p>
        </w:tc>
        <w:tc>
          <w:tcPr>
            <w:tcW w:w="2268" w:type="dxa"/>
            <w:vAlign w:val="center"/>
          </w:tcPr>
          <w:p>
            <w:pPr>
              <w:pStyle w:val="12"/>
            </w:pPr>
            <w:r>
              <w:t>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智慧接访系统建设购置</w:t>
            </w:r>
          </w:p>
        </w:tc>
        <w:tc>
          <w:tcPr>
            <w:tcW w:w="2551" w:type="dxa"/>
            <w:vAlign w:val="center"/>
          </w:tcPr>
          <w:p>
            <w:pPr>
              <w:pStyle w:val="12"/>
            </w:pPr>
            <w:r>
              <w:t>51.89万元</w:t>
            </w:r>
          </w:p>
        </w:tc>
        <w:tc>
          <w:tcPr>
            <w:tcW w:w="2268" w:type="dxa"/>
            <w:vAlign w:val="center"/>
          </w:tcPr>
          <w:p>
            <w:pPr>
              <w:pStyle w:val="12"/>
            </w:pPr>
            <w:r>
              <w:t>预算安排数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上访群众登记准确率</w:t>
            </w:r>
          </w:p>
        </w:tc>
        <w:tc>
          <w:tcPr>
            <w:tcW w:w="2835" w:type="dxa"/>
            <w:vAlign w:val="center"/>
          </w:tcPr>
          <w:p>
            <w:pPr>
              <w:pStyle w:val="12"/>
            </w:pPr>
            <w:r>
              <w:t>较传统登记更快捷、精准。</w:t>
            </w:r>
          </w:p>
        </w:tc>
        <w:tc>
          <w:tcPr>
            <w:tcW w:w="2551" w:type="dxa"/>
            <w:vAlign w:val="center"/>
          </w:tcPr>
          <w:p>
            <w:pPr>
              <w:pStyle w:val="12"/>
            </w:pPr>
            <w:r>
              <w:t>100%</w:t>
            </w:r>
          </w:p>
        </w:tc>
        <w:tc>
          <w:tcPr>
            <w:tcW w:w="2268" w:type="dxa"/>
            <w:vAlign w:val="center"/>
          </w:tcPr>
          <w:p>
            <w:pPr>
              <w:pStyle w:val="12"/>
            </w:pPr>
            <w:r>
              <w:t>准确率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信访案件交办率</w:t>
            </w:r>
          </w:p>
        </w:tc>
        <w:tc>
          <w:tcPr>
            <w:tcW w:w="2835" w:type="dxa"/>
            <w:vAlign w:val="center"/>
          </w:tcPr>
          <w:p>
            <w:pPr>
              <w:pStyle w:val="12"/>
            </w:pPr>
            <w:r>
              <w:t>及时转送交办系统登记的信访案件。</w:t>
            </w:r>
          </w:p>
        </w:tc>
        <w:tc>
          <w:tcPr>
            <w:tcW w:w="2551" w:type="dxa"/>
            <w:vAlign w:val="center"/>
          </w:tcPr>
          <w:p>
            <w:pPr>
              <w:pStyle w:val="12"/>
            </w:pPr>
            <w:r>
              <w:t>100%</w:t>
            </w:r>
          </w:p>
        </w:tc>
        <w:tc>
          <w:tcPr>
            <w:tcW w:w="2268" w:type="dxa"/>
            <w:vAlign w:val="center"/>
          </w:tcPr>
          <w:p>
            <w:pPr>
              <w:pStyle w:val="12"/>
            </w:pPr>
            <w:r>
              <w:t>交办率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信访案件化解率</w:t>
            </w:r>
          </w:p>
        </w:tc>
        <w:tc>
          <w:tcPr>
            <w:tcW w:w="2835" w:type="dxa"/>
            <w:vAlign w:val="center"/>
          </w:tcPr>
          <w:p>
            <w:pPr>
              <w:pStyle w:val="12"/>
            </w:pPr>
            <w:r>
              <w:t>系统将信访案件推送到相关的责任单位，对群众反映的信访问题进行处理、解决。</w:t>
            </w:r>
          </w:p>
        </w:tc>
        <w:tc>
          <w:tcPr>
            <w:tcW w:w="2551" w:type="dxa"/>
            <w:vAlign w:val="center"/>
          </w:tcPr>
          <w:p>
            <w:pPr>
              <w:pStyle w:val="12"/>
            </w:pPr>
            <w:r>
              <w:t>≥95%</w:t>
            </w:r>
          </w:p>
        </w:tc>
        <w:tc>
          <w:tcPr>
            <w:tcW w:w="2268" w:type="dxa"/>
            <w:vAlign w:val="center"/>
          </w:tcPr>
          <w:p>
            <w:pPr>
              <w:pStyle w:val="12"/>
            </w:pPr>
            <w:r>
              <w:t>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信访工作人员满意度</w:t>
            </w:r>
          </w:p>
        </w:tc>
        <w:tc>
          <w:tcPr>
            <w:tcW w:w="2835" w:type="dxa"/>
            <w:vAlign w:val="center"/>
          </w:tcPr>
          <w:p>
            <w:pPr>
              <w:pStyle w:val="12"/>
            </w:pPr>
            <w:r>
              <w:t>信访工作人员使用该系统能快捷，高效处理信访案件。</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7、2022年驻京、省信访群众服务联络处工作经费绩效目标表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1.及时处理进京、赴省上访群众，进京访8小时内处理接回，赴省访5小时内处理接回。</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进京、赴省上访人员登记率</w:t>
            </w:r>
          </w:p>
        </w:tc>
        <w:tc>
          <w:tcPr>
            <w:tcW w:w="2835" w:type="dxa"/>
            <w:vAlign w:val="center"/>
          </w:tcPr>
          <w:p>
            <w:pPr>
              <w:pStyle w:val="12"/>
            </w:pPr>
            <w:r>
              <w:t>及时登记进京、赴省上访人员</w:t>
            </w:r>
          </w:p>
        </w:tc>
        <w:tc>
          <w:tcPr>
            <w:tcW w:w="2551" w:type="dxa"/>
            <w:vAlign w:val="center"/>
          </w:tcPr>
          <w:p>
            <w:pPr>
              <w:pStyle w:val="12"/>
            </w:pPr>
            <w:r>
              <w:t>≥95%</w:t>
            </w:r>
          </w:p>
        </w:tc>
        <w:tc>
          <w:tcPr>
            <w:tcW w:w="2268" w:type="dxa"/>
            <w:vAlign w:val="center"/>
          </w:tcPr>
          <w:p>
            <w:pPr>
              <w:pStyle w:val="12"/>
            </w:pPr>
            <w:r>
              <w:t>登记率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进京、赴省上访人员劝返率</w:t>
            </w:r>
          </w:p>
        </w:tc>
        <w:tc>
          <w:tcPr>
            <w:tcW w:w="2835" w:type="dxa"/>
            <w:vAlign w:val="center"/>
          </w:tcPr>
          <w:p>
            <w:pPr>
              <w:pStyle w:val="12"/>
            </w:pPr>
            <w:r>
              <w:t>及时劝返进京、赴省上访人员</w:t>
            </w:r>
          </w:p>
        </w:tc>
        <w:tc>
          <w:tcPr>
            <w:tcW w:w="2551" w:type="dxa"/>
            <w:vAlign w:val="center"/>
          </w:tcPr>
          <w:p>
            <w:pPr>
              <w:pStyle w:val="12"/>
            </w:pPr>
            <w:r>
              <w:t>≥95%</w:t>
            </w:r>
          </w:p>
        </w:tc>
        <w:tc>
          <w:tcPr>
            <w:tcW w:w="2268" w:type="dxa"/>
            <w:vAlign w:val="center"/>
          </w:tcPr>
          <w:p>
            <w:pPr>
              <w:pStyle w:val="12"/>
            </w:pPr>
            <w:r>
              <w:t>劝返率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进京、赴省上访人员交办率</w:t>
            </w:r>
          </w:p>
        </w:tc>
        <w:tc>
          <w:tcPr>
            <w:tcW w:w="2835" w:type="dxa"/>
            <w:vAlign w:val="center"/>
          </w:tcPr>
          <w:p>
            <w:pPr>
              <w:pStyle w:val="12"/>
            </w:pPr>
            <w:r>
              <w:t>及时向相关单位交办</w:t>
            </w:r>
          </w:p>
        </w:tc>
        <w:tc>
          <w:tcPr>
            <w:tcW w:w="2551" w:type="dxa"/>
            <w:vAlign w:val="center"/>
          </w:tcPr>
          <w:p>
            <w:pPr>
              <w:pStyle w:val="12"/>
            </w:pPr>
            <w:r>
              <w:t>100%</w:t>
            </w:r>
          </w:p>
        </w:tc>
        <w:tc>
          <w:tcPr>
            <w:tcW w:w="2268" w:type="dxa"/>
            <w:vAlign w:val="center"/>
          </w:tcPr>
          <w:p>
            <w:pPr>
              <w:pStyle w:val="12"/>
            </w:pPr>
            <w:r>
              <w:t>交办率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不高于预算数</w:t>
            </w:r>
          </w:p>
        </w:tc>
        <w:tc>
          <w:tcPr>
            <w:tcW w:w="2835" w:type="dxa"/>
            <w:vAlign w:val="center"/>
          </w:tcPr>
          <w:p>
            <w:pPr>
              <w:pStyle w:val="12"/>
            </w:pPr>
            <w:r>
              <w:t>合理支出值班经费</w:t>
            </w:r>
          </w:p>
        </w:tc>
        <w:tc>
          <w:tcPr>
            <w:tcW w:w="2551" w:type="dxa"/>
            <w:vAlign w:val="center"/>
          </w:tcPr>
          <w:p>
            <w:pPr>
              <w:pStyle w:val="12"/>
            </w:pPr>
            <w:r>
              <w:t>≤130万元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进京、赴省集体访人数下降率</w:t>
            </w:r>
          </w:p>
        </w:tc>
        <w:tc>
          <w:tcPr>
            <w:tcW w:w="2835" w:type="dxa"/>
            <w:vAlign w:val="center"/>
          </w:tcPr>
          <w:p>
            <w:pPr>
              <w:pStyle w:val="12"/>
            </w:pPr>
            <w:r>
              <w:t>进京、赴省集体访人员要同比下降，有效维护我县社会稳定。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进京到非接待场所上访人数下降率</w:t>
            </w:r>
          </w:p>
        </w:tc>
        <w:tc>
          <w:tcPr>
            <w:tcW w:w="2835" w:type="dxa"/>
            <w:vAlign w:val="center"/>
          </w:tcPr>
          <w:p>
            <w:pPr>
              <w:pStyle w:val="12"/>
            </w:pPr>
            <w:r>
              <w:t>进京到非接待场所上访人员要同比下降，有效维护我县社会稳定。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进京、赴省单访人数下降率</w:t>
            </w:r>
          </w:p>
        </w:tc>
        <w:tc>
          <w:tcPr>
            <w:tcW w:w="2835" w:type="dxa"/>
            <w:vAlign w:val="center"/>
          </w:tcPr>
          <w:p>
            <w:pPr>
              <w:pStyle w:val="12"/>
            </w:pPr>
            <w:r>
              <w:t>进京、赴省单访人员要同比下降，有效维护我县社会稳定。</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2835" w:type="dxa"/>
            <w:vAlign w:val="center"/>
          </w:tcPr>
          <w:p>
            <w:pPr>
              <w:pStyle w:val="12"/>
            </w:pPr>
            <w:r>
              <w:t>信访群众满意度</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2022年，魏县信访局本级安排政府采购预算0.00万元。具体内容见下表。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202001魏县信访局本级</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魏县信访局本级上年末固定资产金额为302.90万元（详见下表）。本年度拟购置固定资产总额为0.00万元，已按要求列入政府采购预算，详见政府采购预算表。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202001魏县信访局本级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1569.52</w:t>
            </w:r>
          </w:p>
        </w:tc>
        <w:tc>
          <w:tcPr>
            <w:tcW w:w="2835" w:type="dxa"/>
            <w:vAlign w:val="center"/>
          </w:tcPr>
          <w:p>
            <w:pPr>
              <w:pStyle w:val="11"/>
            </w:pPr>
            <w:r>
              <w:t>194.00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224.40</w:t>
            </w: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240</w:t>
            </w:r>
          </w:p>
        </w:tc>
        <w:tc>
          <w:tcPr>
            <w:tcW w:w="2835" w:type="dxa"/>
            <w:vAlign w:val="center"/>
          </w:tcPr>
          <w:p>
            <w:pPr>
              <w:pStyle w:val="11"/>
            </w:pPr>
            <w:r>
              <w:t>108.90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3E2911"/>
    <w:rsid w:val="0002379F"/>
    <w:rsid w:val="00071731"/>
    <w:rsid w:val="00104424"/>
    <w:rsid w:val="0018107D"/>
    <w:rsid w:val="00277B9E"/>
    <w:rsid w:val="002B160F"/>
    <w:rsid w:val="0039629A"/>
    <w:rsid w:val="003A46C3"/>
    <w:rsid w:val="003E2911"/>
    <w:rsid w:val="00447CA0"/>
    <w:rsid w:val="00766590"/>
    <w:rsid w:val="007C496A"/>
    <w:rsid w:val="009F47E8"/>
    <w:rsid w:val="00AA3E86"/>
    <w:rsid w:val="00B111EF"/>
    <w:rsid w:val="00C0170B"/>
    <w:rsid w:val="00CA4C36"/>
    <w:rsid w:val="00CD61A1"/>
    <w:rsid w:val="00DB0FBD"/>
    <w:rsid w:val="00F3269A"/>
    <w:rsid w:val="02D21062"/>
    <w:rsid w:val="72FDC683"/>
    <w:rsid w:val="7BBBB08B"/>
    <w:rsid w:val="7C77B4E4"/>
    <w:rsid w:val="9F77EDCC"/>
    <w:rsid w:val="D3EF886C"/>
    <w:rsid w:val="FADE8C96"/>
    <w:rsid w:val="FF7B2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unhideWhenUsed/>
    <w:qFormat/>
    <w:uiPriority w:val="99"/>
    <w:pPr>
      <w:tabs>
        <w:tab w:val="center" w:pos="4153"/>
        <w:tab w:val="right" w:pos="8306"/>
      </w:tabs>
      <w:snapToGrid w:val="0"/>
    </w:pPr>
    <w:rPr>
      <w:sz w:val="18"/>
      <w:szCs w:val="18"/>
    </w:rPr>
  </w:style>
  <w:style w:type="paragraph" w:styleId="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目录 21"/>
    <w:basedOn w:val="1"/>
    <w:qFormat/>
    <w:uiPriority w:val="0"/>
    <w:pPr>
      <w:ind w:left="240"/>
    </w:pPr>
  </w:style>
  <w:style w:type="paragraph" w:customStyle="1" w:styleId="30">
    <w:name w:val="目录 31"/>
    <w:basedOn w:val="1"/>
    <w:qFormat/>
    <w:uiPriority w:val="0"/>
    <w:pPr>
      <w:ind w:left="480"/>
    </w:pPr>
  </w:style>
  <w:style w:type="paragraph" w:customStyle="1" w:styleId="31">
    <w:name w:val="目录 41"/>
    <w:basedOn w:val="1"/>
    <w:qFormat/>
    <w:uiPriority w:val="0"/>
    <w:pPr>
      <w:ind w:left="720"/>
    </w:pPr>
  </w:style>
  <w:style w:type="paragraph" w:customStyle="1" w:styleId="32">
    <w:name w:val="目录 11"/>
    <w:basedOn w:val="1"/>
    <w:qFormat/>
    <w:uiPriority w:val="0"/>
    <w:pPr>
      <w:spacing w:before="120"/>
      <w:ind w:firstLine="560"/>
    </w:pPr>
    <w:rPr>
      <w:rFonts w:eastAsia="方正仿宋_GBK"/>
      <w:color w:val="000000"/>
      <w:sz w:val="28"/>
    </w:rPr>
  </w:style>
  <w:style w:type="character" w:customStyle="1" w:styleId="33">
    <w:name w:val="页眉 Char"/>
    <w:basedOn w:val="6"/>
    <w:link w:val="3"/>
    <w:qFormat/>
    <w:uiPriority w:val="99"/>
    <w:rPr>
      <w:rFonts w:eastAsia="Times New Roman"/>
      <w:sz w:val="18"/>
      <w:szCs w:val="18"/>
      <w:lang w:eastAsia="uk-UA"/>
    </w:rPr>
  </w:style>
  <w:style w:type="character" w:customStyle="1" w:styleId="34">
    <w:name w:val="页脚 Char"/>
    <w:basedOn w:val="6"/>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15642</Words>
  <Characters>18007</Characters>
  <Lines>157</Lines>
  <Paragraphs>44</Paragraphs>
  <TotalTime>18</TotalTime>
  <ScaleCrop>false</ScaleCrop>
  <LinksUpToDate>false</LinksUpToDate>
  <CharactersWithSpaces>18271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2022-03-06T01:10:00Z</dcterms:created>
  <dc:creator>xxhb</dc:creator>
  <cp:lastModifiedBy>wxak</cp:lastModifiedBy>
  <dcterms:modified xsi:type="dcterms:W3CDTF">2026-05-21T18:08:46Z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2599D927E851248428EC2C65F947DC0A</vt:lpwstr>
  </property>
</Properties>
</file>