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13</w:t>
      </w:r>
      <w:r>
        <w:fldChar w:fldCharType="end"/>
      </w:r>
      <w:r>
        <w:fldChar w:fldCharType="end"/>
      </w:r>
    </w:p>
    <w:p>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14</w:t>
      </w:r>
      <w:r>
        <w:fldChar w:fldCharType="end"/>
      </w:r>
      <w:r>
        <w:fldChar w:fldCharType="end"/>
      </w:r>
    </w:p>
    <w:p>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14</w:t>
      </w:r>
      <w:r>
        <w:fldChar w:fldCharType="end"/>
      </w:r>
      <w:r>
        <w:fldChar w:fldCharType="end"/>
      </w:r>
    </w:p>
    <w:p>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21</w:t>
      </w:r>
      <w:r>
        <w:fldChar w:fldCharType="end"/>
      </w:r>
      <w:r>
        <w:fldChar w:fldCharType="end"/>
      </w:r>
    </w:p>
    <w:p>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21</w:t>
      </w:r>
      <w:r>
        <w:fldChar w:fldCharType="end"/>
      </w:r>
      <w:r>
        <w:fldChar w:fldCharType="end"/>
      </w:r>
    </w:p>
    <w:p>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21</w:t>
      </w:r>
      <w:r>
        <w:fldChar w:fldCharType="end"/>
      </w:r>
      <w:r>
        <w:fldChar w:fldCharType="end"/>
      </w:r>
    </w:p>
    <w:p>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22</w:t>
      </w:r>
      <w:r>
        <w:fldChar w:fldCharType="end"/>
      </w:r>
      <w:r>
        <w:fldChar w:fldCharType="end"/>
      </w:r>
    </w:p>
    <w:p>
      <w:r>
        <w:fldChar w:fldCharType="end"/>
      </w: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both"/>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241魏县档案馆</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70.56</w:t>
            </w:r>
          </w:p>
        </w:tc>
        <w:tc>
          <w:tcPr>
            <w:tcW w:w="4535" w:type="dxa"/>
            <w:vAlign w:val="center"/>
          </w:tcPr>
          <w:p>
            <w:pPr>
              <w:pStyle w:val="12"/>
            </w:pPr>
            <w:r>
              <w:t>一、一般公共服务支出</w:t>
            </w:r>
          </w:p>
        </w:tc>
        <w:tc>
          <w:tcPr>
            <w:tcW w:w="2126" w:type="dxa"/>
            <w:vAlign w:val="center"/>
          </w:tcPr>
          <w:p>
            <w:pPr>
              <w:pStyle w:val="11"/>
            </w:pPr>
            <w:r>
              <w:t>50.73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17.78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2.05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70.56</w:t>
            </w:r>
          </w:p>
        </w:tc>
        <w:tc>
          <w:tcPr>
            <w:tcW w:w="4535" w:type="dxa"/>
            <w:vAlign w:val="center"/>
          </w:tcPr>
          <w:p>
            <w:pPr>
              <w:pStyle w:val="14"/>
            </w:pPr>
            <w:r>
              <w:t>本年支出合计</w:t>
            </w:r>
          </w:p>
        </w:tc>
        <w:tc>
          <w:tcPr>
            <w:tcW w:w="2126" w:type="dxa"/>
            <w:vAlign w:val="center"/>
          </w:tcPr>
          <w:p>
            <w:pPr>
              <w:pStyle w:val="15"/>
            </w:pPr>
            <w:r>
              <w:t>70.56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70.56</w:t>
            </w:r>
          </w:p>
        </w:tc>
        <w:tc>
          <w:tcPr>
            <w:tcW w:w="4535" w:type="dxa"/>
            <w:vAlign w:val="center"/>
          </w:tcPr>
          <w:p>
            <w:pPr>
              <w:pStyle w:val="14"/>
            </w:pPr>
            <w:r>
              <w:t>支出总计</w:t>
            </w:r>
          </w:p>
        </w:tc>
        <w:tc>
          <w:tcPr>
            <w:tcW w:w="2126" w:type="dxa"/>
            <w:vAlign w:val="center"/>
          </w:tcPr>
          <w:p>
            <w:pPr>
              <w:pStyle w:val="15"/>
            </w:pPr>
            <w:r>
              <w:t>70.56</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241魏县档案馆</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70.56</w:t>
            </w:r>
          </w:p>
        </w:tc>
        <w:tc>
          <w:tcPr>
            <w:tcW w:w="1134" w:type="dxa"/>
            <w:vAlign w:val="center"/>
          </w:tcPr>
          <w:p>
            <w:pPr>
              <w:pStyle w:val="15"/>
            </w:pPr>
            <w:r>
              <w:t>70.56</w:t>
            </w:r>
          </w:p>
        </w:tc>
        <w:tc>
          <w:tcPr>
            <w:tcW w:w="1134" w:type="dxa"/>
            <w:vAlign w:val="center"/>
          </w:tcPr>
          <w:p>
            <w:pPr>
              <w:pStyle w:val="15"/>
            </w:pPr>
            <w:r>
              <w:t>70.56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20126</w:t>
            </w:r>
          </w:p>
        </w:tc>
        <w:tc>
          <w:tcPr>
            <w:tcW w:w="1559" w:type="dxa"/>
            <w:vAlign w:val="center"/>
          </w:tcPr>
          <w:p>
            <w:pPr>
              <w:pStyle w:val="12"/>
            </w:pPr>
            <w:r>
              <w:t>档案事务</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2012601</w:t>
            </w:r>
          </w:p>
        </w:tc>
        <w:tc>
          <w:tcPr>
            <w:tcW w:w="1559" w:type="dxa"/>
            <w:vAlign w:val="center"/>
          </w:tcPr>
          <w:p>
            <w:pPr>
              <w:pStyle w:val="12"/>
            </w:pPr>
            <w:r>
              <w:t>行政运行</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11.01</w:t>
            </w:r>
          </w:p>
        </w:tc>
        <w:tc>
          <w:tcPr>
            <w:tcW w:w="1134" w:type="dxa"/>
            <w:vAlign w:val="center"/>
          </w:tcPr>
          <w:p>
            <w:pPr>
              <w:pStyle w:val="11"/>
            </w:pPr>
            <w:r>
              <w:t>11.01</w:t>
            </w:r>
          </w:p>
        </w:tc>
        <w:tc>
          <w:tcPr>
            <w:tcW w:w="1134" w:type="dxa"/>
            <w:vAlign w:val="center"/>
          </w:tcPr>
          <w:p>
            <w:pPr>
              <w:pStyle w:val="11"/>
            </w:pPr>
            <w:r>
              <w:t>11.01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4.52</w:t>
            </w:r>
          </w:p>
        </w:tc>
        <w:tc>
          <w:tcPr>
            <w:tcW w:w="1134" w:type="dxa"/>
            <w:vAlign w:val="center"/>
          </w:tcPr>
          <w:p>
            <w:pPr>
              <w:pStyle w:val="11"/>
            </w:pPr>
            <w:r>
              <w:t>4.52</w:t>
            </w:r>
          </w:p>
        </w:tc>
        <w:tc>
          <w:tcPr>
            <w:tcW w:w="1134" w:type="dxa"/>
            <w:vAlign w:val="center"/>
          </w:tcPr>
          <w:p>
            <w:pPr>
              <w:pStyle w:val="11"/>
            </w:pPr>
            <w:r>
              <w:t>4.52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2.26</w:t>
            </w:r>
          </w:p>
        </w:tc>
        <w:tc>
          <w:tcPr>
            <w:tcW w:w="1134" w:type="dxa"/>
            <w:vAlign w:val="center"/>
          </w:tcPr>
          <w:p>
            <w:pPr>
              <w:pStyle w:val="11"/>
            </w:pPr>
            <w:r>
              <w:t>2.26</w:t>
            </w:r>
          </w:p>
        </w:tc>
        <w:tc>
          <w:tcPr>
            <w:tcW w:w="1134" w:type="dxa"/>
            <w:vAlign w:val="center"/>
          </w:tcPr>
          <w:p>
            <w:pPr>
              <w:pStyle w:val="11"/>
            </w:pPr>
            <w:r>
              <w:t>2.26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70.56</w:t>
            </w:r>
          </w:p>
        </w:tc>
        <w:tc>
          <w:tcPr>
            <w:tcW w:w="1361" w:type="dxa"/>
            <w:vAlign w:val="center"/>
          </w:tcPr>
          <w:p>
            <w:pPr>
              <w:pStyle w:val="15"/>
            </w:pPr>
            <w:r>
              <w:t>60.56</w:t>
            </w:r>
          </w:p>
        </w:tc>
        <w:tc>
          <w:tcPr>
            <w:tcW w:w="1361" w:type="dxa"/>
            <w:vAlign w:val="center"/>
          </w:tcPr>
          <w:p>
            <w:pPr>
              <w:pStyle w:val="15"/>
            </w:pPr>
            <w:r>
              <w:t>10.00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20126</w:t>
            </w:r>
          </w:p>
        </w:tc>
        <w:tc>
          <w:tcPr>
            <w:tcW w:w="4535" w:type="dxa"/>
            <w:vAlign w:val="center"/>
          </w:tcPr>
          <w:p>
            <w:pPr>
              <w:pStyle w:val="12"/>
            </w:pPr>
            <w:r>
              <w:t>档案事务</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2012601</w:t>
            </w:r>
          </w:p>
        </w:tc>
        <w:tc>
          <w:tcPr>
            <w:tcW w:w="4535" w:type="dxa"/>
            <w:vAlign w:val="center"/>
          </w:tcPr>
          <w:p>
            <w:pPr>
              <w:pStyle w:val="12"/>
            </w:pPr>
            <w:r>
              <w:t>行政运行</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17.78</w:t>
            </w:r>
          </w:p>
        </w:tc>
        <w:tc>
          <w:tcPr>
            <w:tcW w:w="1361" w:type="dxa"/>
            <w:vAlign w:val="center"/>
          </w:tcPr>
          <w:p>
            <w:pPr>
              <w:pStyle w:val="11"/>
            </w:pPr>
            <w:r>
              <w:t>17.78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17.78</w:t>
            </w:r>
          </w:p>
        </w:tc>
        <w:tc>
          <w:tcPr>
            <w:tcW w:w="1361" w:type="dxa"/>
            <w:vAlign w:val="center"/>
          </w:tcPr>
          <w:p>
            <w:pPr>
              <w:pStyle w:val="11"/>
            </w:pPr>
            <w:r>
              <w:t>17.78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11.01</w:t>
            </w:r>
          </w:p>
        </w:tc>
        <w:tc>
          <w:tcPr>
            <w:tcW w:w="1361" w:type="dxa"/>
            <w:vAlign w:val="center"/>
          </w:tcPr>
          <w:p>
            <w:pPr>
              <w:pStyle w:val="11"/>
            </w:pPr>
            <w:r>
              <w:t>11.01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4.52</w:t>
            </w:r>
          </w:p>
        </w:tc>
        <w:tc>
          <w:tcPr>
            <w:tcW w:w="1361" w:type="dxa"/>
            <w:vAlign w:val="center"/>
          </w:tcPr>
          <w:p>
            <w:pPr>
              <w:pStyle w:val="11"/>
            </w:pPr>
            <w:r>
              <w:t>4.52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2.26</w:t>
            </w:r>
          </w:p>
        </w:tc>
        <w:tc>
          <w:tcPr>
            <w:tcW w:w="1361" w:type="dxa"/>
            <w:vAlign w:val="center"/>
          </w:tcPr>
          <w:p>
            <w:pPr>
              <w:pStyle w:val="11"/>
            </w:pPr>
            <w:r>
              <w:t>2.26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70.56</w:t>
            </w:r>
          </w:p>
        </w:tc>
        <w:tc>
          <w:tcPr>
            <w:tcW w:w="3402" w:type="dxa"/>
            <w:vAlign w:val="center"/>
          </w:tcPr>
          <w:p>
            <w:pPr>
              <w:pStyle w:val="12"/>
            </w:pPr>
            <w:r>
              <w:t>一、一般公共服务支出</w:t>
            </w:r>
          </w:p>
        </w:tc>
        <w:tc>
          <w:tcPr>
            <w:tcW w:w="1474" w:type="dxa"/>
            <w:vAlign w:val="center"/>
          </w:tcPr>
          <w:p>
            <w:pPr>
              <w:pStyle w:val="11"/>
            </w:pPr>
            <w:r>
              <w:t>50.73</w:t>
            </w:r>
          </w:p>
        </w:tc>
        <w:tc>
          <w:tcPr>
            <w:tcW w:w="1474" w:type="dxa"/>
            <w:vAlign w:val="center"/>
          </w:tcPr>
          <w:p>
            <w:pPr>
              <w:pStyle w:val="11"/>
            </w:pPr>
            <w:r>
              <w:t>50.73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17.78</w:t>
            </w:r>
          </w:p>
        </w:tc>
        <w:tc>
          <w:tcPr>
            <w:tcW w:w="1474" w:type="dxa"/>
            <w:vAlign w:val="center"/>
          </w:tcPr>
          <w:p>
            <w:pPr>
              <w:pStyle w:val="11"/>
            </w:pPr>
            <w:r>
              <w:t>17.78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2.05</w:t>
            </w:r>
          </w:p>
        </w:tc>
        <w:tc>
          <w:tcPr>
            <w:tcW w:w="1474" w:type="dxa"/>
            <w:vAlign w:val="center"/>
          </w:tcPr>
          <w:p>
            <w:pPr>
              <w:pStyle w:val="11"/>
            </w:pPr>
            <w:r>
              <w:t>2.05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70.56</w:t>
            </w:r>
          </w:p>
        </w:tc>
        <w:tc>
          <w:tcPr>
            <w:tcW w:w="3402" w:type="dxa"/>
            <w:vAlign w:val="center"/>
          </w:tcPr>
          <w:p>
            <w:pPr>
              <w:pStyle w:val="14"/>
            </w:pPr>
            <w:r>
              <w:t>本年支出合计</w:t>
            </w:r>
          </w:p>
        </w:tc>
        <w:tc>
          <w:tcPr>
            <w:tcW w:w="1474" w:type="dxa"/>
            <w:vAlign w:val="center"/>
          </w:tcPr>
          <w:p>
            <w:pPr>
              <w:pStyle w:val="15"/>
            </w:pPr>
            <w:r>
              <w:t>70.56</w:t>
            </w:r>
          </w:p>
        </w:tc>
        <w:tc>
          <w:tcPr>
            <w:tcW w:w="1474" w:type="dxa"/>
            <w:vAlign w:val="center"/>
          </w:tcPr>
          <w:p>
            <w:pPr>
              <w:pStyle w:val="15"/>
            </w:pPr>
            <w:r>
              <w:t>70.56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70.56</w:t>
            </w:r>
          </w:p>
        </w:tc>
        <w:tc>
          <w:tcPr>
            <w:tcW w:w="3402" w:type="dxa"/>
            <w:vAlign w:val="center"/>
          </w:tcPr>
          <w:p>
            <w:pPr>
              <w:pStyle w:val="14"/>
            </w:pPr>
            <w:r>
              <w:t>支出总计</w:t>
            </w:r>
          </w:p>
        </w:tc>
        <w:tc>
          <w:tcPr>
            <w:tcW w:w="1474" w:type="dxa"/>
            <w:vAlign w:val="center"/>
          </w:tcPr>
          <w:p>
            <w:pPr>
              <w:pStyle w:val="15"/>
            </w:pPr>
            <w:r>
              <w:t>70.56</w:t>
            </w:r>
          </w:p>
        </w:tc>
        <w:tc>
          <w:tcPr>
            <w:tcW w:w="1474" w:type="dxa"/>
            <w:vAlign w:val="center"/>
          </w:tcPr>
          <w:p>
            <w:pPr>
              <w:pStyle w:val="15"/>
            </w:pPr>
            <w:r>
              <w:t>70.56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70.56</w:t>
            </w:r>
          </w:p>
        </w:tc>
        <w:tc>
          <w:tcPr>
            <w:tcW w:w="2551" w:type="dxa"/>
            <w:vAlign w:val="center"/>
          </w:tcPr>
          <w:p>
            <w:pPr>
              <w:pStyle w:val="15"/>
            </w:pPr>
            <w:r>
              <w:t>60.56</w:t>
            </w: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20126</w:t>
            </w:r>
          </w:p>
        </w:tc>
        <w:tc>
          <w:tcPr>
            <w:tcW w:w="4535" w:type="dxa"/>
            <w:vAlign w:val="center"/>
          </w:tcPr>
          <w:p>
            <w:pPr>
              <w:pStyle w:val="12"/>
            </w:pPr>
            <w:r>
              <w:t>档案事务</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2012601</w:t>
            </w:r>
          </w:p>
        </w:tc>
        <w:tc>
          <w:tcPr>
            <w:tcW w:w="4535" w:type="dxa"/>
            <w:vAlign w:val="center"/>
          </w:tcPr>
          <w:p>
            <w:pPr>
              <w:pStyle w:val="12"/>
            </w:pPr>
            <w:r>
              <w:t>行政运行</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17.78</w:t>
            </w:r>
          </w:p>
        </w:tc>
        <w:tc>
          <w:tcPr>
            <w:tcW w:w="2551" w:type="dxa"/>
            <w:vAlign w:val="center"/>
          </w:tcPr>
          <w:p>
            <w:pPr>
              <w:pStyle w:val="11"/>
            </w:pPr>
            <w:r>
              <w:t>17.78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17.78</w:t>
            </w:r>
          </w:p>
        </w:tc>
        <w:tc>
          <w:tcPr>
            <w:tcW w:w="2551" w:type="dxa"/>
            <w:vAlign w:val="center"/>
          </w:tcPr>
          <w:p>
            <w:pPr>
              <w:pStyle w:val="11"/>
            </w:pPr>
            <w:r>
              <w:t>17.78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4.52</w:t>
            </w:r>
          </w:p>
        </w:tc>
        <w:tc>
          <w:tcPr>
            <w:tcW w:w="2551" w:type="dxa"/>
            <w:vAlign w:val="center"/>
          </w:tcPr>
          <w:p>
            <w:pPr>
              <w:pStyle w:val="11"/>
            </w:pPr>
            <w:r>
              <w:t>4.52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2.26</w:t>
            </w:r>
          </w:p>
        </w:tc>
        <w:tc>
          <w:tcPr>
            <w:tcW w:w="2551" w:type="dxa"/>
            <w:vAlign w:val="center"/>
          </w:tcPr>
          <w:p>
            <w:pPr>
              <w:pStyle w:val="11"/>
            </w:pPr>
            <w:r>
              <w:t>2.26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60.56</w:t>
            </w:r>
          </w:p>
        </w:tc>
        <w:tc>
          <w:tcPr>
            <w:tcW w:w="2551" w:type="dxa"/>
            <w:vAlign w:val="center"/>
          </w:tcPr>
          <w:p>
            <w:pPr>
              <w:pStyle w:val="15"/>
            </w:pPr>
            <w:r>
              <w:t>54.10</w:t>
            </w:r>
          </w:p>
        </w:tc>
        <w:tc>
          <w:tcPr>
            <w:tcW w:w="2551" w:type="dxa"/>
            <w:vAlign w:val="center"/>
          </w:tcPr>
          <w:p>
            <w:pPr>
              <w:pStyle w:val="15"/>
            </w:pPr>
            <w:r>
              <w:t>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43.10</w:t>
            </w:r>
          </w:p>
        </w:tc>
        <w:tc>
          <w:tcPr>
            <w:tcW w:w="2551" w:type="dxa"/>
            <w:vAlign w:val="center"/>
          </w:tcPr>
          <w:p>
            <w:pPr>
              <w:pStyle w:val="11"/>
            </w:pPr>
            <w:r>
              <w:t>43.10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27.75</w:t>
            </w:r>
          </w:p>
        </w:tc>
        <w:tc>
          <w:tcPr>
            <w:tcW w:w="2551" w:type="dxa"/>
            <w:vAlign w:val="center"/>
          </w:tcPr>
          <w:p>
            <w:pPr>
              <w:pStyle w:val="11"/>
            </w:pPr>
            <w:r>
              <w:t>27.75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1.97</w:t>
            </w:r>
          </w:p>
        </w:tc>
        <w:tc>
          <w:tcPr>
            <w:tcW w:w="2551" w:type="dxa"/>
            <w:vAlign w:val="center"/>
          </w:tcPr>
          <w:p>
            <w:pPr>
              <w:pStyle w:val="11"/>
            </w:pPr>
            <w:r>
              <w:t>1.97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1.56</w:t>
            </w:r>
          </w:p>
        </w:tc>
        <w:tc>
          <w:tcPr>
            <w:tcW w:w="2551" w:type="dxa"/>
            <w:vAlign w:val="center"/>
          </w:tcPr>
          <w:p>
            <w:pPr>
              <w:pStyle w:val="11"/>
            </w:pPr>
            <w:r>
              <w:t>1.56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2.99</w:t>
            </w:r>
          </w:p>
        </w:tc>
        <w:tc>
          <w:tcPr>
            <w:tcW w:w="2551" w:type="dxa"/>
            <w:vAlign w:val="center"/>
          </w:tcPr>
          <w:p>
            <w:pPr>
              <w:pStyle w:val="11"/>
            </w:pPr>
            <w:r>
              <w:t>2.99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4.52</w:t>
            </w:r>
          </w:p>
        </w:tc>
        <w:tc>
          <w:tcPr>
            <w:tcW w:w="2551" w:type="dxa"/>
            <w:vAlign w:val="center"/>
          </w:tcPr>
          <w:p>
            <w:pPr>
              <w:pStyle w:val="11"/>
            </w:pPr>
            <w:r>
              <w:t>4.52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2.26</w:t>
            </w:r>
          </w:p>
        </w:tc>
        <w:tc>
          <w:tcPr>
            <w:tcW w:w="2551" w:type="dxa"/>
            <w:vAlign w:val="center"/>
          </w:tcPr>
          <w:p>
            <w:pPr>
              <w:pStyle w:val="11"/>
            </w:pPr>
            <w:r>
              <w:t>2.26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6.46</w:t>
            </w:r>
          </w:p>
        </w:tc>
        <w:tc>
          <w:tcPr>
            <w:tcW w:w="2551" w:type="dxa"/>
            <w:vAlign w:val="center"/>
          </w:tcPr>
          <w:p>
            <w:pPr>
              <w:pStyle w:val="11"/>
            </w:pPr>
          </w:p>
        </w:tc>
        <w:tc>
          <w:tcPr>
            <w:tcW w:w="2551" w:type="dxa"/>
            <w:vAlign w:val="center"/>
          </w:tcPr>
          <w:p>
            <w:pPr>
              <w:pStyle w:val="11"/>
            </w:pPr>
            <w:r>
              <w:t>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4.00</w:t>
            </w:r>
          </w:p>
        </w:tc>
        <w:tc>
          <w:tcPr>
            <w:tcW w:w="2551" w:type="dxa"/>
            <w:vAlign w:val="center"/>
          </w:tcPr>
          <w:p>
            <w:pPr>
              <w:pStyle w:val="11"/>
            </w:pPr>
          </w:p>
        </w:tc>
        <w:tc>
          <w:tcPr>
            <w:tcW w:w="2551" w:type="dxa"/>
            <w:vAlign w:val="center"/>
          </w:tcPr>
          <w:p>
            <w:pPr>
              <w:pStyle w:val="11"/>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2.46</w:t>
            </w:r>
          </w:p>
        </w:tc>
        <w:tc>
          <w:tcPr>
            <w:tcW w:w="2551" w:type="dxa"/>
            <w:vAlign w:val="center"/>
          </w:tcPr>
          <w:p>
            <w:pPr>
              <w:pStyle w:val="11"/>
            </w:pPr>
          </w:p>
        </w:tc>
        <w:tc>
          <w:tcPr>
            <w:tcW w:w="2551" w:type="dxa"/>
            <w:vAlign w:val="center"/>
          </w:tcPr>
          <w:p>
            <w:pPr>
              <w:pStyle w:val="11"/>
            </w:pPr>
            <w:r>
              <w:t>2.46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241魏县档案馆</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5"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2"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1</w:t>
            </w:r>
          </w:p>
        </w:tc>
        <w:tc>
          <w:tcPr>
            <w:tcW w:w="3798" w:type="dxa"/>
            <w:vAlign w:val="center"/>
          </w:tcPr>
          <w:p>
            <w:pPr>
              <w:pStyle w:val="14"/>
              <w:rPr>
                <w:rFonts w:ascii="方正书宋_GBK" w:hAnsi="方正书宋_GBK" w:eastAsia="方正书宋_GBK" w:cs="方正书宋_GBK"/>
                <w:b/>
                <w:sz w:val="21"/>
                <w:szCs w:val="24"/>
                <w:lang w:val="en-US" w:eastAsia="uk-UA" w:bidi="ar-SA"/>
              </w:rPr>
            </w:pPr>
            <w:r>
              <w:rPr>
                <w:rFonts w:hint="eastAsia"/>
              </w:rPr>
              <w:t>合计</w:t>
            </w:r>
          </w:p>
        </w:tc>
        <w:tc>
          <w:tcPr>
            <w:tcW w:w="2382" w:type="dxa"/>
            <w:vAlign w:val="center"/>
          </w:tcPr>
          <w:p>
            <w:pPr>
              <w:pStyle w:val="15"/>
              <w:jc w:val="left"/>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本单位本年度无三公经费支出</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2</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“三公”经费小计</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3</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一、因公出国（境）费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4</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其中：教学科研人员因公出国（境）</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5</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其他因公出国（境）费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6</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二、公务用车购置及运维费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7</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其中：公务用车购置费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8</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公务用车运行维护费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9</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三、公务接待费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魏县档案馆2023年部门预算信息公开情况说明</w:t>
      </w:r>
    </w:p>
    <w:p>
      <w:pPr>
        <w:jc w:val="center"/>
      </w:pPr>
      <w:r>
        <w:rPr>
          <w:rFonts w:ascii="方正小标宋_GBK" w:hAnsi="方正小标宋_GBK" w:eastAsia="方正小标宋_GBK" w:cs="方正小标宋_GBK"/>
          <w:color w:val="000000"/>
          <w:sz w:val="44"/>
        </w:rPr>
        <w:t>魏县档案馆2023年部门预算信息公开情况说明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、《地方预决算公开操作规程》和《关于进一步推进预算公开工作的实施意见》规定，现将魏县档案馆2023年部门预算公开如下：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7"/>
      </w:pPr>
      <w:r>
        <w:t>1.认真贯彻</w:t>
      </w:r>
      <w:r>
        <w:rPr>
          <w:rFonts w:hint="eastAsia"/>
          <w:lang w:eastAsia="zh-CN"/>
        </w:rPr>
        <w:t>《中华人民共和国档案法》</w:t>
      </w:r>
      <w:r>
        <w:t>搞好对全县立档单位的执法监督检查，促使</w:t>
      </w:r>
      <w:r>
        <w:rPr>
          <w:rFonts w:hint="eastAsia"/>
          <w:lang w:eastAsia="zh-CN"/>
        </w:rPr>
        <w:t>《中华人民共和国档案法》</w:t>
      </w:r>
      <w:r>
        <w:t>的落实和实施。</w:t>
      </w:r>
    </w:p>
    <w:p>
      <w:pPr>
        <w:pStyle w:val="17"/>
      </w:pPr>
      <w:r>
        <w:t>2.加强对全县档案室及其工作人员的管理和业务培训。搞好全县档案人员政治素质和业务素质。</w:t>
      </w:r>
    </w:p>
    <w:p>
      <w:pPr>
        <w:pStyle w:val="17"/>
      </w:pPr>
      <w:r>
        <w:t>3.搞好对馆藏档案资料的保管利用和查阅服务工作。</w:t>
      </w:r>
    </w:p>
    <w:p>
      <w:pPr>
        <w:pStyle w:val="17"/>
      </w:pPr>
      <w:r>
        <w:t>4. 搞好档案信息资源的开发利用工作。</w:t>
      </w:r>
    </w:p>
    <w:p>
      <w:pPr>
        <w:pStyle w:val="17"/>
      </w:pPr>
      <w:r>
        <w:t>5.推进档案馆数字化进程。</w:t>
      </w:r>
    </w:p>
    <w:p>
      <w:pPr>
        <w:pStyle w:val="17"/>
      </w:pPr>
      <w:r>
        <w:t>6.维护好馆藏档案。</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魏县档案馆本级</w:t>
            </w:r>
          </w:p>
        </w:tc>
        <w:tc>
          <w:tcPr>
            <w:tcW w:w="1843" w:type="dxa"/>
            <w:vAlign w:val="center"/>
          </w:tcPr>
          <w:p>
            <w:pPr>
              <w:pStyle w:val="13"/>
            </w:pPr>
            <w:r>
              <w:t>事业</w:t>
            </w:r>
          </w:p>
        </w:tc>
        <w:tc>
          <w:tcPr>
            <w:tcW w:w="2126" w:type="dxa"/>
            <w:vAlign w:val="center"/>
          </w:tcPr>
          <w:p>
            <w:pPr>
              <w:pStyle w:val="13"/>
            </w:pPr>
            <w:r>
              <w:t>正科级</w:t>
            </w:r>
          </w:p>
        </w:tc>
        <w:tc>
          <w:tcPr>
            <w:tcW w:w="3827" w:type="dxa"/>
            <w:vAlign w:val="center"/>
          </w:tcPr>
          <w:p>
            <w:pPr>
              <w:pStyle w:val="13"/>
            </w:pPr>
            <w:r>
              <w:t>财政性资金基本保证</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按照预算管理有关规定，目前我省部门预算的编制实行综合预算管理，即全部收入和支出都反映在预算中。魏县档案馆机关及所属事业单位的收支包含在部门预算中。</w:t>
      </w:r>
    </w:p>
    <w:p>
      <w:pPr>
        <w:pStyle w:val="18"/>
      </w:pPr>
      <w:r>
        <w:t>1、收入说明：2023年收入预算共计87.13万元，全部为财政拨款收入</w:t>
      </w:r>
    </w:p>
    <w:p>
      <w:pPr>
        <w:pStyle w:val="18"/>
      </w:pPr>
      <w:r>
        <w:t>2、支出说明：2023年支出预算共计87.13万元，其中人员经费支出预算73.13万元，日常公用经费支出4万元，专项公用经费10万元。</w:t>
      </w:r>
    </w:p>
    <w:p>
      <w:pPr>
        <w:pStyle w:val="18"/>
      </w:pPr>
      <w:r>
        <w:t>3、比上年增减情况：经过测算2023年财政拨款预算比2022年增加16.05万元，主要是人员工资增加17.05万元，日常公用经费减少1万元，专项公用经费不变。</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9"/>
      </w:pPr>
      <w:r>
        <w:t>1、机关运行经费</w:t>
      </w:r>
      <w:r>
        <w:rPr>
          <w:rFonts w:hint="eastAsia" w:eastAsia="宋体"/>
          <w:lang w:eastAsia="zh-CN"/>
        </w:rPr>
        <w:t>6.46</w:t>
      </w:r>
      <w:r>
        <w:t>万元，主要用于保证正常办公的基本需要和维持单位日常业务运转，包括：办公费、邮电费、差旅费、福利费、手续费、公务接待费、工会经费和离退休干部经费。</w:t>
      </w:r>
    </w:p>
    <w:p>
      <w:pPr>
        <w:pStyle w:val="19"/>
      </w:pPr>
      <w:r>
        <w:t>2、专项公用经费10万元，主要用于档案收集整理维护，数字化档案馆运行维护。</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0"/>
      </w:pPr>
      <w:r>
        <w:t>2023年，财政拨款“三公”经费预算安排0万元，其中因公出国（境）费0万元；公务公车购置及运维费0万元（其中：公务公车购置费为0万元，公务公车运行费0万元）；公务接待费0万元。与2022年相比，因公外出国（境）费降低0万元，与去年持平；公务用车运行费降低0万元，与去年持平；公务接待费减少0万元，与去年持平。另外，我单位根据单位业务需要，按照有关要求。强化“三公'经费管理，实施“零招待'制度，对相关经费进行了答复压减。</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1"/>
      </w:pPr>
      <w:r>
        <w:t>我单位在县委的坚强领导下，深入贯彻中央精神，紧扣县委、县政府确定的目标任务，档案工作将紧紧围绕县委、县政府中心工作，认真落实省、市档案馆安排部署，以中央精神为指导，结合档案工作实际，坚持以人为本，夯实档案工作举出，提升档案服务能力，创新档案工作方式，切实履行“为党管档、为国守史、为人民服务”职责，全面推进档案事业科学发展。</w:t>
      </w:r>
    </w:p>
    <w:p>
      <w:pPr>
        <w:spacing w:line="500" w:lineRule="exact"/>
        <w:ind w:firstLine="560"/>
      </w:pPr>
      <w:r>
        <w:rPr>
          <w:rFonts w:eastAsia="方正仿宋_GBK"/>
          <w:color w:val="000000"/>
          <w:sz w:val="28"/>
        </w:rPr>
        <w:t>（二）分项绩效目标</w:t>
      </w:r>
    </w:p>
    <w:p>
      <w:pPr>
        <w:pStyle w:val="22"/>
      </w:pPr>
      <w:r>
        <w:t>1、档案收集与整理</w:t>
      </w:r>
    </w:p>
    <w:p>
      <w:pPr>
        <w:pStyle w:val="22"/>
      </w:pPr>
      <w:r>
        <w:t>职责描述：依据《中华人民共和国档案法实施办法》、《河北省人民政府令【2012】第8号》等的规定，对立档单位的纸质、电子、专题档案进行接收和保存，并对所保存的档案严格按照规定整理。以此加强档案资源建设，加大档案资源整合力度，丰富档案内容，改善馆藏结构。</w:t>
      </w:r>
    </w:p>
    <w:p>
      <w:pPr>
        <w:pStyle w:val="22"/>
      </w:pPr>
      <w:r>
        <w:t>年度绩效目标：丰富馆藏内容，满足工作考察、历史研究、编史修志等方面的需求，提高档案利用价值。</w:t>
      </w:r>
    </w:p>
    <w:p>
      <w:pPr>
        <w:pStyle w:val="22"/>
      </w:pPr>
      <w:r>
        <w:t>工作活动绩效指标：档案整理、接受、保存工作完成率达到100%</w:t>
      </w:r>
    </w:p>
    <w:p>
      <w:pPr>
        <w:pStyle w:val="22"/>
      </w:pPr>
      <w:r>
        <w:t>3、档案保管</w:t>
      </w:r>
    </w:p>
    <w:p>
      <w:pPr>
        <w:pStyle w:val="22"/>
      </w:pPr>
      <w:r>
        <w:t>职责描述：该项目是依据《中华人民共和国档案法实施办法》等对档案库房加强管理，通过加强馆藏档案信息化，建设馆藏档案全文数据库，数字化加工、转换、备份，档案馆设施设备维护，信息安全等级保护工作及特殊载体保管，以此提高县档案馆安全保管水平，最大限度的延长档案的寿命。</w:t>
      </w:r>
    </w:p>
    <w:p>
      <w:pPr>
        <w:pStyle w:val="22"/>
      </w:pPr>
      <w:r>
        <w:t>年度绩效目标：（1）定期调控和记录路放温度湿度，库房建设符合国家标准，分区合理，设备不出现故障，档案保管环境和保障条件进一步优化，维护档案状况，确保机关和档案绝对安全。（2）应用各种技术手段，对档案资料进行关乎和数字转换，重现档案原貌，最大限度的延长档案寿命。逐步建立完善馆藏档案全文数据库，便于开发利用，为社会公众服务。</w:t>
      </w:r>
    </w:p>
    <w:p>
      <w:pPr>
        <w:pStyle w:val="22"/>
      </w:pPr>
      <w:r>
        <w:t>工作活动绩效指标：（1）档案设施设备正常运行率达到100%（2）档案全文数据库建设完成计划量达到100%。</w:t>
      </w:r>
    </w:p>
    <w:p>
      <w:pPr>
        <w:pStyle w:val="22"/>
      </w:pPr>
      <w:r>
        <w:t>3、档案编研开发</w:t>
      </w:r>
    </w:p>
    <w:p>
      <w:pPr>
        <w:pStyle w:val="22"/>
      </w:pPr>
      <w:r>
        <w:t>职责描述：依据《中华人民共和国档案法实施办法》《冀办法【2007】29号》等的规定加强馆藏档案数字化工作为辅助领导决策和各单位部门工作、满足社会各界需求，提供跟便捷的服务，以此促进数字化的建立。</w:t>
      </w:r>
    </w:p>
    <w:p>
      <w:pPr>
        <w:pStyle w:val="22"/>
      </w:pPr>
      <w:r>
        <w:t>年度绩效目标：为利用者提供快速、精确的档案查询服务。年度内完成部分存量档案的数字化工作。</w:t>
      </w:r>
    </w:p>
    <w:p>
      <w:pPr>
        <w:pStyle w:val="22"/>
      </w:pPr>
      <w:r>
        <w:t>工作活动绩效指标：档案查准率达到100%。</w:t>
      </w:r>
    </w:p>
    <w:p>
      <w:pPr>
        <w:pStyle w:val="22"/>
      </w:pPr>
    </w:p>
    <w:p>
      <w:pPr>
        <w:spacing w:line="500" w:lineRule="exact"/>
        <w:ind w:firstLine="560"/>
      </w:pPr>
      <w:r>
        <w:rPr>
          <w:rFonts w:eastAsia="方正仿宋_GBK"/>
          <w:color w:val="000000"/>
          <w:sz w:val="28"/>
        </w:rPr>
        <w:t>（三）工作保障措施</w:t>
      </w:r>
    </w:p>
    <w:p>
      <w:pPr>
        <w:pStyle w:val="23"/>
      </w:pPr>
      <w:r>
        <w:t>县档案馆加强对档案管理工作的组织领导，根据部门年度发展规划目标周密部署，进一步健全工作机制、精心组织实施，市全体档案干部职工齐心协力，共同参与，促进年度发展规划目标任务的完成，重点做好以下工作：</w:t>
      </w:r>
    </w:p>
    <w:p>
      <w:pPr>
        <w:pStyle w:val="23"/>
      </w:pPr>
      <w:r>
        <w:t>1、加强档案资料的接受工作。要通过各种方式，加快对县直单位和民生档案的接受，加强对散存在民间的具有保存价值的重要档案资料征集。</w:t>
      </w:r>
    </w:p>
    <w:p>
      <w:pPr>
        <w:pStyle w:val="23"/>
      </w:pPr>
      <w:r>
        <w:t>2、进一步做好档案利用工作。完善馆藏档案信息的开发利用。积极做好馆藏档案数据库的建设。3、建立和完善安全技术防范系统，对现有的监控系统、数字档案信息管理系统及安保设施设备定期进行维护和检查，确保馆库和档案实体安全。建立建去哪档案安全管理制度、档案查（借）阅制度和档案交接制度，规范管理、从严管理，防止因人员流动发生失泄密时间，对违反档案安全规定的严肃查处。</w:t>
      </w:r>
    </w:p>
    <w:p>
      <w:pPr>
        <w:pStyle w:val="23"/>
      </w:pPr>
      <w:r>
        <w:t>4、着力加强数字档案馆建设，采取多种措施加快馆藏档案数字化工作。</w:t>
      </w:r>
    </w:p>
    <w:p>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1、档案收集整理维护绩效目标表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1.目标内容1</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维护、整理档案数量</w:t>
            </w:r>
          </w:p>
        </w:tc>
        <w:tc>
          <w:tcPr>
            <w:tcW w:w="2835" w:type="dxa"/>
            <w:vAlign w:val="center"/>
          </w:tcPr>
          <w:p>
            <w:pPr>
              <w:pStyle w:val="12"/>
            </w:pPr>
            <w:r>
              <w:t>维护、整理档案数量</w:t>
            </w:r>
          </w:p>
          <w:p>
            <w:pPr>
              <w:pStyle w:val="12"/>
            </w:pPr>
          </w:p>
        </w:tc>
        <w:tc>
          <w:tcPr>
            <w:tcW w:w="2551" w:type="dxa"/>
            <w:vAlign w:val="center"/>
          </w:tcPr>
          <w:p>
            <w:pPr>
              <w:pStyle w:val="12"/>
            </w:pPr>
            <w:r>
              <w:t>≥3000卷</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维护整理档案案卷合格率</w:t>
            </w:r>
          </w:p>
        </w:tc>
        <w:tc>
          <w:tcPr>
            <w:tcW w:w="2835" w:type="dxa"/>
            <w:vAlign w:val="center"/>
          </w:tcPr>
          <w:p>
            <w:pPr>
              <w:pStyle w:val="12"/>
            </w:pPr>
            <w:r>
              <w:t>维护整理档案案卷合格率</w:t>
            </w:r>
          </w:p>
        </w:tc>
        <w:tc>
          <w:tcPr>
            <w:tcW w:w="2551" w:type="dxa"/>
            <w:vAlign w:val="center"/>
          </w:tcPr>
          <w:p>
            <w:pPr>
              <w:pStyle w:val="12"/>
            </w:pPr>
            <w:r>
              <w:t>≥90%</w:t>
            </w:r>
          </w:p>
        </w:tc>
        <w:tc>
          <w:tcPr>
            <w:tcW w:w="2268" w:type="dxa"/>
            <w:vAlign w:val="center"/>
          </w:tcPr>
          <w:p>
            <w:pPr>
              <w:pStyle w:val="12"/>
            </w:pPr>
            <w:r>
              <w:t>档案工作条例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完成档案收集整理时间</w:t>
            </w:r>
          </w:p>
        </w:tc>
        <w:tc>
          <w:tcPr>
            <w:tcW w:w="2835" w:type="dxa"/>
            <w:vAlign w:val="center"/>
          </w:tcPr>
          <w:p>
            <w:pPr>
              <w:pStyle w:val="12"/>
            </w:pPr>
            <w:r>
              <w:t>2022年12月底完成档案整理工作</w:t>
            </w:r>
          </w:p>
        </w:tc>
        <w:tc>
          <w:tcPr>
            <w:tcW w:w="2551" w:type="dxa"/>
            <w:vAlign w:val="center"/>
          </w:tcPr>
          <w:p>
            <w:pPr>
              <w:pStyle w:val="12"/>
            </w:pPr>
            <w:r>
              <w:t>2022年12月底完成档案整理工作</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维护整理每卷档案所需成本</w:t>
            </w:r>
          </w:p>
        </w:tc>
        <w:tc>
          <w:tcPr>
            <w:tcW w:w="2835" w:type="dxa"/>
            <w:vAlign w:val="center"/>
          </w:tcPr>
          <w:p>
            <w:pPr>
              <w:pStyle w:val="12"/>
            </w:pPr>
            <w:r>
              <w:t>维护整理每年接收档案所花费金额</w:t>
            </w:r>
          </w:p>
        </w:tc>
        <w:tc>
          <w:tcPr>
            <w:tcW w:w="2551" w:type="dxa"/>
            <w:vAlign w:val="center"/>
          </w:tcPr>
          <w:p>
            <w:pPr>
              <w:pStyle w:val="12"/>
            </w:pPr>
            <w:r>
              <w:t>≤3万元</w:t>
            </w:r>
          </w:p>
        </w:tc>
        <w:tc>
          <w:tcPr>
            <w:tcW w:w="2268" w:type="dxa"/>
            <w:vAlign w:val="center"/>
          </w:tcPr>
          <w:p>
            <w:pPr>
              <w:pStyle w:val="12"/>
            </w:pPr>
            <w:r>
              <w:t>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群众查阅利用</w:t>
            </w:r>
          </w:p>
        </w:tc>
        <w:tc>
          <w:tcPr>
            <w:tcW w:w="2835" w:type="dxa"/>
            <w:vAlign w:val="center"/>
          </w:tcPr>
          <w:p>
            <w:pPr>
              <w:pStyle w:val="12"/>
            </w:pPr>
            <w:r>
              <w:t>为社会提供宝贵资源，便于查阅利用</w:t>
            </w:r>
          </w:p>
        </w:tc>
        <w:tc>
          <w:tcPr>
            <w:tcW w:w="2551" w:type="dxa"/>
            <w:vAlign w:val="center"/>
          </w:tcPr>
          <w:p>
            <w:pPr>
              <w:pStyle w:val="12"/>
            </w:pPr>
            <w:r>
              <w:t>方便群众查阅利用档案资料</w:t>
            </w:r>
          </w:p>
        </w:tc>
        <w:tc>
          <w:tcPr>
            <w:tcW w:w="2268" w:type="dxa"/>
            <w:vAlign w:val="center"/>
          </w:tcPr>
          <w:p>
            <w:pPr>
              <w:pStyle w:val="12"/>
            </w:pPr>
            <w:r>
              <w:t>档案法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档案保存利用</w:t>
            </w:r>
          </w:p>
        </w:tc>
        <w:tc>
          <w:tcPr>
            <w:tcW w:w="2835" w:type="dxa"/>
            <w:vAlign w:val="center"/>
          </w:tcPr>
          <w:p>
            <w:pPr>
              <w:pStyle w:val="12"/>
            </w:pPr>
            <w:r>
              <w:t>收藏的档案对社会影响深远</w:t>
            </w:r>
          </w:p>
        </w:tc>
        <w:tc>
          <w:tcPr>
            <w:tcW w:w="2551" w:type="dxa"/>
            <w:vAlign w:val="center"/>
          </w:tcPr>
          <w:p>
            <w:pPr>
              <w:pStyle w:val="12"/>
            </w:pPr>
            <w:r>
              <w:t>收藏档案利用率极高，对社会影响很大</w:t>
            </w:r>
          </w:p>
        </w:tc>
        <w:tc>
          <w:tcPr>
            <w:tcW w:w="2268" w:type="dxa"/>
            <w:vAlign w:val="center"/>
          </w:tcPr>
          <w:p>
            <w:pPr>
              <w:pStyle w:val="12"/>
            </w:pPr>
            <w:r>
              <w:t>档案法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对来档案馆查阅群众提供高标准服务</w:t>
            </w:r>
          </w:p>
        </w:tc>
        <w:tc>
          <w:tcPr>
            <w:tcW w:w="2551" w:type="dxa"/>
            <w:vAlign w:val="center"/>
          </w:tcPr>
          <w:p>
            <w:pPr>
              <w:pStyle w:val="12"/>
            </w:pPr>
            <w:r>
              <w:t>100%</w:t>
            </w:r>
          </w:p>
        </w:tc>
        <w:tc>
          <w:tcPr>
            <w:tcW w:w="2268" w:type="dxa"/>
            <w:vAlign w:val="center"/>
          </w:tcPr>
          <w:p>
            <w:pPr>
              <w:pStyle w:val="12"/>
            </w:pPr>
            <w:r>
              <w:t>档案工作条例</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2、数字化档案馆运行维护绩效目标表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1.目标内容1</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聘用技术人员次数</w:t>
            </w:r>
          </w:p>
        </w:tc>
        <w:tc>
          <w:tcPr>
            <w:tcW w:w="2835" w:type="dxa"/>
            <w:vAlign w:val="center"/>
          </w:tcPr>
          <w:p>
            <w:pPr>
              <w:pStyle w:val="12"/>
            </w:pPr>
            <w:r>
              <w:t>对网络进行维护聘用技术人员次数</w:t>
            </w:r>
          </w:p>
        </w:tc>
        <w:tc>
          <w:tcPr>
            <w:tcW w:w="2551" w:type="dxa"/>
            <w:vAlign w:val="center"/>
          </w:tcPr>
          <w:p>
            <w:pPr>
              <w:pStyle w:val="12"/>
            </w:pPr>
            <w:r>
              <w:t>4次</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维护网络达标率</w:t>
            </w:r>
          </w:p>
        </w:tc>
        <w:tc>
          <w:tcPr>
            <w:tcW w:w="2835" w:type="dxa"/>
            <w:vAlign w:val="center"/>
          </w:tcPr>
          <w:p>
            <w:pPr>
              <w:pStyle w:val="12"/>
            </w:pPr>
            <w:r>
              <w:t>聘用技术人员对网络进行维护合格率</w:t>
            </w:r>
          </w:p>
        </w:tc>
        <w:tc>
          <w:tcPr>
            <w:tcW w:w="2551" w:type="dxa"/>
            <w:vAlign w:val="center"/>
          </w:tcPr>
          <w:p>
            <w:pPr>
              <w:pStyle w:val="12"/>
            </w:pPr>
            <w:r>
              <w:t>≥99%</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维护时间</w:t>
            </w:r>
          </w:p>
        </w:tc>
        <w:tc>
          <w:tcPr>
            <w:tcW w:w="2835" w:type="dxa"/>
            <w:vAlign w:val="center"/>
          </w:tcPr>
          <w:p>
            <w:pPr>
              <w:pStyle w:val="12"/>
            </w:pPr>
            <w:r>
              <w:t>对网络进行维护时间安排，2022年底完成4次维护</w:t>
            </w:r>
          </w:p>
        </w:tc>
        <w:tc>
          <w:tcPr>
            <w:tcW w:w="2551" w:type="dxa"/>
            <w:vAlign w:val="center"/>
          </w:tcPr>
          <w:p>
            <w:pPr>
              <w:pStyle w:val="12"/>
            </w:pPr>
            <w:r>
              <w:t>2022年底完成4次维护</w:t>
            </w:r>
          </w:p>
          <w:p>
            <w:pPr>
              <w:pStyle w:val="12"/>
            </w:pP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网络维护所需费用</w:t>
            </w:r>
          </w:p>
        </w:tc>
        <w:tc>
          <w:tcPr>
            <w:tcW w:w="2835" w:type="dxa"/>
            <w:vAlign w:val="center"/>
          </w:tcPr>
          <w:p>
            <w:pPr>
              <w:pStyle w:val="12"/>
            </w:pPr>
            <w:r>
              <w:t>网络维护所需费用</w:t>
            </w:r>
          </w:p>
        </w:tc>
        <w:tc>
          <w:tcPr>
            <w:tcW w:w="2551" w:type="dxa"/>
            <w:vAlign w:val="center"/>
          </w:tcPr>
          <w:p>
            <w:pPr>
              <w:pStyle w:val="12"/>
            </w:pPr>
            <w:r>
              <w:t>≤7万元</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方便群众查阅利用</w:t>
            </w:r>
          </w:p>
        </w:tc>
        <w:tc>
          <w:tcPr>
            <w:tcW w:w="2835" w:type="dxa"/>
            <w:vAlign w:val="center"/>
          </w:tcPr>
          <w:p>
            <w:pPr>
              <w:pStyle w:val="12"/>
            </w:pPr>
            <w:r>
              <w:t>方便群众查阅利用</w:t>
            </w:r>
          </w:p>
        </w:tc>
        <w:tc>
          <w:tcPr>
            <w:tcW w:w="2551" w:type="dxa"/>
            <w:vAlign w:val="center"/>
          </w:tcPr>
          <w:p>
            <w:pPr>
              <w:pStyle w:val="12"/>
            </w:pPr>
            <w:r>
              <w:t>群众查阅利用</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数字化档案便于保存、长期利用</w:t>
            </w:r>
          </w:p>
        </w:tc>
        <w:tc>
          <w:tcPr>
            <w:tcW w:w="2835" w:type="dxa"/>
            <w:vAlign w:val="center"/>
          </w:tcPr>
          <w:p>
            <w:pPr>
              <w:pStyle w:val="12"/>
            </w:pPr>
            <w:r>
              <w:t>数字化档案便于保存、长期利用</w:t>
            </w:r>
          </w:p>
        </w:tc>
        <w:tc>
          <w:tcPr>
            <w:tcW w:w="2551" w:type="dxa"/>
            <w:vAlign w:val="center"/>
          </w:tcPr>
          <w:p>
            <w:pPr>
              <w:pStyle w:val="12"/>
            </w:pPr>
            <w:r>
              <w:t>档案长期保存利用</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受益i群众满意度</w:t>
            </w:r>
          </w:p>
        </w:tc>
        <w:tc>
          <w:tcPr>
            <w:tcW w:w="2551" w:type="dxa"/>
            <w:vAlign w:val="center"/>
          </w:tcPr>
          <w:p>
            <w:pPr>
              <w:pStyle w:val="12"/>
            </w:pPr>
            <w:r>
              <w:t>≥95%</w:t>
            </w:r>
          </w:p>
        </w:tc>
        <w:tc>
          <w:tcPr>
            <w:tcW w:w="2268" w:type="dxa"/>
            <w:vAlign w:val="center"/>
          </w:tcPr>
          <w:p>
            <w:pPr>
              <w:pStyle w:val="12"/>
            </w:pPr>
            <w:r>
              <w:t>年度工作计划</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2023年，魏县档案馆安排政府采购预算0.00万元。具体内容见下表。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241魏县档案馆</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魏县档案馆（含所属单位）上年末固定资产金额为</w:t>
      </w:r>
      <w:r>
        <w:rPr>
          <w:rFonts w:hint="eastAsia" w:eastAsia="方正仿宋_GBK"/>
          <w:color w:val="000000"/>
          <w:sz w:val="28"/>
          <w:lang w:val="en-US" w:eastAsia="zh-CN"/>
        </w:rPr>
        <w:t>77.9</w:t>
      </w:r>
      <w:r>
        <w:rPr>
          <w:rFonts w:eastAsia="方正仿宋_GBK"/>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241魏县档案馆</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rPr>
              <w:t>资产总额</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t>1</w:t>
            </w:r>
            <w:r>
              <w:rPr>
                <w:rFonts w:hint="eastAsia"/>
              </w:rPr>
              <w:t>、房屋（平方米）</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rPr>
              <w:t>　　其中：办公用房（平方米）</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t>2</w:t>
            </w:r>
            <w:r>
              <w:rPr>
                <w:rFonts w:hint="eastAsia"/>
              </w:rPr>
              <w:t>、车辆（台、辆）</w:t>
            </w:r>
          </w:p>
        </w:tc>
        <w:tc>
          <w:tcPr>
            <w:tcW w:w="2835" w:type="dxa"/>
            <w:vAlign w:val="center"/>
          </w:tcPr>
          <w:p>
            <w:pPr>
              <w:pStyle w:val="13"/>
              <w:rPr>
                <w:rFonts w:ascii="方正书宋_GBK" w:hAnsi="方正书宋_GBK" w:eastAsia="方正书宋_GBK" w:cs="方正书宋_GBK"/>
                <w:sz w:val="21"/>
                <w:szCs w:val="24"/>
                <w:lang w:val="en-US" w:eastAsia="zh-CN" w:bidi="ar-SA"/>
              </w:rPr>
            </w:pPr>
          </w:p>
        </w:tc>
        <w:tc>
          <w:tcPr>
            <w:tcW w:w="2835" w:type="dxa"/>
            <w:vAlign w:val="center"/>
          </w:tcPr>
          <w:p>
            <w:pPr>
              <w:pStyle w:val="11"/>
              <w:rPr>
                <w:rFonts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t>3</w:t>
            </w:r>
            <w:r>
              <w:rPr>
                <w:rFonts w:hint="eastAsia"/>
              </w:rPr>
              <w:t>、单价在</w:t>
            </w:r>
            <w:r>
              <w:t>20</w:t>
            </w:r>
            <w:r>
              <w:rPr>
                <w:rFonts w:hint="eastAsia"/>
              </w:rPr>
              <w:t>万元以上的设备</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t>4</w:t>
            </w:r>
            <w:r>
              <w:rPr>
                <w:rFonts w:hint="eastAsia"/>
              </w:rPr>
              <w:t>、其他固定资产</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77.9</w:t>
            </w:r>
          </w:p>
        </w:tc>
      </w:tr>
    </w:tbl>
    <w:p>
      <w:pPr>
        <w:ind w:firstLine="420"/>
      </w:pPr>
    </w:p>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spacing w:line="500" w:lineRule="exact"/>
        <w:ind w:firstLine="560"/>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D8004F"/>
    <w:rsid w:val="77FF6E58"/>
    <w:rsid w:val="EEFA6A8D"/>
    <w:rsid w:val="EFAEC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34"/>
    <w:qFormat/>
    <w:uiPriority w:val="99"/>
    <w:pPr>
      <w:tabs>
        <w:tab w:val="center" w:pos="4153"/>
        <w:tab w:val="right" w:pos="8306"/>
      </w:tabs>
      <w:snapToGrid w:val="0"/>
    </w:pPr>
    <w:rPr>
      <w:sz w:val="18"/>
      <w:szCs w:val="18"/>
    </w:rPr>
  </w:style>
  <w:style w:type="paragraph" w:styleId="3">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目录 21"/>
    <w:basedOn w:val="1"/>
    <w:qFormat/>
    <w:uiPriority w:val="0"/>
    <w:pPr>
      <w:ind w:left="240"/>
    </w:pPr>
  </w:style>
  <w:style w:type="paragraph" w:customStyle="1" w:styleId="30">
    <w:name w:val="目录 31"/>
    <w:basedOn w:val="1"/>
    <w:qFormat/>
    <w:uiPriority w:val="0"/>
    <w:pPr>
      <w:ind w:left="480"/>
    </w:pPr>
  </w:style>
  <w:style w:type="paragraph" w:customStyle="1" w:styleId="31">
    <w:name w:val="目录 41"/>
    <w:basedOn w:val="1"/>
    <w:qFormat/>
    <w:uiPriority w:val="0"/>
    <w:pPr>
      <w:ind w:left="720"/>
    </w:pPr>
  </w:style>
  <w:style w:type="paragraph" w:customStyle="1" w:styleId="32">
    <w:name w:val="目录 11"/>
    <w:basedOn w:val="1"/>
    <w:qFormat/>
    <w:uiPriority w:val="0"/>
    <w:pPr>
      <w:spacing w:before="120"/>
      <w:ind w:firstLine="560"/>
    </w:pPr>
    <w:rPr>
      <w:rFonts w:eastAsia="方正仿宋_GBK"/>
      <w:color w:val="000000"/>
      <w:sz w:val="28"/>
    </w:rPr>
  </w:style>
  <w:style w:type="character" w:customStyle="1" w:styleId="33">
    <w:name w:val="页眉 Char"/>
    <w:basedOn w:val="6"/>
    <w:link w:val="3"/>
    <w:qFormat/>
    <w:uiPriority w:val="99"/>
    <w:rPr>
      <w:rFonts w:eastAsia="Times New Roman"/>
      <w:sz w:val="18"/>
      <w:szCs w:val="18"/>
      <w:lang w:eastAsia="uk-UA"/>
    </w:rPr>
  </w:style>
  <w:style w:type="character" w:customStyle="1" w:styleId="34">
    <w:name w:val="页脚 Char"/>
    <w:basedOn w:val="6"/>
    <w:link w:val="2"/>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6639</Words>
  <Characters>7617</Characters>
  <Paragraphs>1670</Paragraphs>
  <TotalTime>0</TotalTime>
  <ScaleCrop>false</ScaleCrop>
  <LinksUpToDate>false</LinksUpToDate>
  <CharactersWithSpaces>7797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2023-08-19T19:14:00Z</dcterms:created>
  <dc:creator>Administrator</dc:creator>
  <cp:lastModifiedBy>wxak</cp:lastModifiedBy>
  <dcterms:modified xsi:type="dcterms:W3CDTF">2026-05-21T18:03:10Z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473E9F9345034294AFEDC035A10EAD24_13</vt:lpwstr>
  </property>
</Properties>
</file>