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黑体" w:hAnsi="黑体" w:eastAsia="黑体" w:cs="黑体"/>
          <w:b/>
          <w:color w:val="000000"/>
          <w:sz w:val="44"/>
        </w:rPr>
      </w:pPr>
      <w:bookmarkStart w:id="1" w:name="_GoBack"/>
      <w:bookmarkEnd w:id="1"/>
      <w:r>
        <w:rPr>
          <w:rFonts w:ascii="黑体" w:hAnsi="黑体" w:eastAsia="黑体" w:cs="黑体"/>
          <w:b/>
          <w:color w:val="000000"/>
          <w:sz w:val="44"/>
        </w:rPr>
        <w:t>2023年部门</w:t>
      </w:r>
      <w:r>
        <w:rPr>
          <w:rFonts w:hint="eastAsia" w:ascii="黑体" w:hAnsi="黑体" w:eastAsia="黑体" w:cs="黑体"/>
          <w:b/>
          <w:color w:val="000000"/>
          <w:sz w:val="44"/>
          <w:lang w:val="en-US" w:eastAsia="zh-CN"/>
        </w:rPr>
        <w:t>所属单位</w:t>
      </w:r>
      <w:r>
        <w:rPr>
          <w:rFonts w:ascii="黑体" w:hAnsi="黑体" w:eastAsia="黑体" w:cs="黑体"/>
          <w:b/>
          <w:color w:val="000000"/>
          <w:sz w:val="44"/>
        </w:rPr>
        <w:t>预算信息公开目录</w:t>
      </w:r>
    </w:p>
    <w:p>
      <w:pPr>
        <w:jc w:val="center"/>
        <w:outlineLvl w:val="0"/>
        <w:rPr>
          <w:rFonts w:ascii="黑体" w:hAnsi="黑体" w:eastAsia="黑体" w:cs="黑体"/>
          <w:b/>
          <w:color w:val="000000"/>
          <w:sz w:val="44"/>
        </w:rPr>
      </w:pPr>
    </w:p>
    <w:p>
      <w:pPr>
        <w:jc w:val="center"/>
        <w:outlineLvl w:val="0"/>
        <w:rPr>
          <w:rFonts w:ascii="黑体" w:hAnsi="黑体" w:eastAsia="黑体" w:cs="黑体"/>
          <w:b/>
          <w:color w:val="000000"/>
          <w:sz w:val="44"/>
        </w:rPr>
      </w:pPr>
    </w:p>
    <w:p/>
    <w:p>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一、魏县档案馆本级收支预算</w:t>
      </w:r>
      <w:r>
        <w:tab/>
      </w:r>
      <w:r>
        <w:fldChar w:fldCharType="begin"/>
      </w:r>
      <w:r>
        <w:instrText xml:space="preserve">PAGEREF _Toc_4_4_0000000019 \h</w:instrText>
      </w:r>
      <w:r>
        <w:fldChar w:fldCharType="separate"/>
      </w:r>
      <w:r>
        <w:t>24</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jc w:val="both"/>
      </w:pPr>
      <w:r>
        <w:rPr>
          <w:rFonts w:ascii="方正小标宋_GBK" w:hAnsi="方正小标宋_GBK" w:eastAsia="方正小标宋_GBK" w:cs="方正小标宋_GBK"/>
          <w:color w:val="000000"/>
          <w:sz w:val="44"/>
        </w:rPr>
        <w:t xml:space="preserve"> </w:t>
      </w:r>
    </w:p>
    <w:p>
      <w:pPr>
        <w:jc w:val="center"/>
        <w:outlineLvl w:val="3"/>
      </w:pPr>
      <w:bookmarkStart w:id="0" w:name="_Toc_4_4_0000000019"/>
      <w:r>
        <w:rPr>
          <w:rFonts w:ascii="方正小标宋_GBK" w:hAnsi="方正小标宋_GBK" w:eastAsia="方正小标宋_GBK" w:cs="方正小标宋_GBK"/>
          <w:color w:val="000000"/>
          <w:sz w:val="44"/>
        </w:rPr>
        <w:t>一、魏县档案馆本级收支预算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241001魏县档案馆本级</w:t>
            </w:r>
          </w:p>
        </w:tc>
        <w:tc>
          <w:tcPr>
            <w:tcW w:w="2126" w:type="dxa"/>
            <w:tcBorders>
              <w:top w:val="single" w:color="FFFFFF" w:sz="6" w:space="0"/>
              <w:left w:val="single" w:color="FFFFFF" w:sz="6" w:space="0"/>
              <w:right w:val="single" w:color="FFFFFF" w:sz="6" w:space="0"/>
            </w:tcBorders>
            <w:vAlign w:val="center"/>
          </w:tcPr>
          <w:p>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70.56</w:t>
            </w:r>
          </w:p>
        </w:tc>
        <w:tc>
          <w:tcPr>
            <w:tcW w:w="4535" w:type="dxa"/>
            <w:vAlign w:val="center"/>
          </w:tcPr>
          <w:p>
            <w:pPr>
              <w:pStyle w:val="12"/>
            </w:pPr>
            <w:r>
              <w:t>一、一般公共服务支出</w:t>
            </w:r>
          </w:p>
        </w:tc>
        <w:tc>
          <w:tcPr>
            <w:tcW w:w="2126" w:type="dxa"/>
            <w:vAlign w:val="center"/>
          </w:tcPr>
          <w:p>
            <w:pPr>
              <w:pStyle w:val="11"/>
            </w:pPr>
            <w:r>
              <w:t>50.73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17.78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2.05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三十一、人行科目</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70.56</w:t>
            </w:r>
          </w:p>
        </w:tc>
        <w:tc>
          <w:tcPr>
            <w:tcW w:w="4535" w:type="dxa"/>
            <w:vAlign w:val="center"/>
          </w:tcPr>
          <w:p>
            <w:pPr>
              <w:pStyle w:val="14"/>
            </w:pPr>
            <w:r>
              <w:t>本年支出合计</w:t>
            </w:r>
          </w:p>
        </w:tc>
        <w:tc>
          <w:tcPr>
            <w:tcW w:w="2126" w:type="dxa"/>
            <w:vAlign w:val="center"/>
          </w:tcPr>
          <w:p>
            <w:pPr>
              <w:pStyle w:val="15"/>
            </w:pPr>
            <w:r>
              <w:t>70.56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70.56</w:t>
            </w:r>
          </w:p>
        </w:tc>
        <w:tc>
          <w:tcPr>
            <w:tcW w:w="4535" w:type="dxa"/>
            <w:vAlign w:val="center"/>
          </w:tcPr>
          <w:p>
            <w:pPr>
              <w:pStyle w:val="14"/>
            </w:pPr>
            <w:r>
              <w:t>支出总计</w:t>
            </w:r>
          </w:p>
        </w:tc>
        <w:tc>
          <w:tcPr>
            <w:tcW w:w="2126" w:type="dxa"/>
            <w:vAlign w:val="center"/>
          </w:tcPr>
          <w:p>
            <w:pPr>
              <w:pStyle w:val="15"/>
            </w:pPr>
            <w:r>
              <w:t>70.56</w:t>
            </w:r>
          </w:p>
        </w:tc>
      </w:tr>
    </w:tbl>
    <w:p>
      <w:pPr>
        <w:sectPr>
          <w:footerReference r:id="rId3" w:type="default"/>
          <w:footerReference r:id="rId4" w:type="even"/>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241001魏县档案馆本级</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70.56</w:t>
            </w:r>
          </w:p>
        </w:tc>
        <w:tc>
          <w:tcPr>
            <w:tcW w:w="1134" w:type="dxa"/>
            <w:vAlign w:val="center"/>
          </w:tcPr>
          <w:p>
            <w:pPr>
              <w:pStyle w:val="15"/>
            </w:pPr>
            <w:r>
              <w:t>70.56</w:t>
            </w:r>
          </w:p>
        </w:tc>
        <w:tc>
          <w:tcPr>
            <w:tcW w:w="1134" w:type="dxa"/>
            <w:vAlign w:val="center"/>
          </w:tcPr>
          <w:p>
            <w:pPr>
              <w:pStyle w:val="15"/>
            </w:pPr>
            <w:r>
              <w:t>70.56</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20126</w:t>
            </w:r>
          </w:p>
        </w:tc>
        <w:tc>
          <w:tcPr>
            <w:tcW w:w="1559" w:type="dxa"/>
            <w:vAlign w:val="center"/>
          </w:tcPr>
          <w:p>
            <w:pPr>
              <w:pStyle w:val="12"/>
            </w:pPr>
            <w:r>
              <w:t>档案事务</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2012601</w:t>
            </w:r>
          </w:p>
        </w:tc>
        <w:tc>
          <w:tcPr>
            <w:tcW w:w="1559" w:type="dxa"/>
            <w:vAlign w:val="center"/>
          </w:tcPr>
          <w:p>
            <w:pPr>
              <w:pStyle w:val="12"/>
            </w:pPr>
            <w:r>
              <w:t>行政运行</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r>
              <w:t>50.73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r>
              <w:t>17.78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2080501</w:t>
            </w:r>
          </w:p>
        </w:tc>
        <w:tc>
          <w:tcPr>
            <w:tcW w:w="1559" w:type="dxa"/>
            <w:vAlign w:val="center"/>
          </w:tcPr>
          <w:p>
            <w:pPr>
              <w:pStyle w:val="12"/>
            </w:pPr>
            <w:r>
              <w:t>行政单位离退休</w:t>
            </w:r>
          </w:p>
        </w:tc>
        <w:tc>
          <w:tcPr>
            <w:tcW w:w="1134" w:type="dxa"/>
            <w:vAlign w:val="center"/>
          </w:tcPr>
          <w:p>
            <w:pPr>
              <w:pStyle w:val="11"/>
            </w:pPr>
            <w:r>
              <w:t>11.01</w:t>
            </w:r>
          </w:p>
        </w:tc>
        <w:tc>
          <w:tcPr>
            <w:tcW w:w="1134" w:type="dxa"/>
            <w:vAlign w:val="center"/>
          </w:tcPr>
          <w:p>
            <w:pPr>
              <w:pStyle w:val="11"/>
            </w:pPr>
            <w:r>
              <w:t>11.01</w:t>
            </w:r>
          </w:p>
        </w:tc>
        <w:tc>
          <w:tcPr>
            <w:tcW w:w="1134" w:type="dxa"/>
            <w:vAlign w:val="center"/>
          </w:tcPr>
          <w:p>
            <w:pPr>
              <w:pStyle w:val="11"/>
            </w:pPr>
            <w:r>
              <w:t>11.01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4.52</w:t>
            </w:r>
          </w:p>
        </w:tc>
        <w:tc>
          <w:tcPr>
            <w:tcW w:w="1134" w:type="dxa"/>
            <w:vAlign w:val="center"/>
          </w:tcPr>
          <w:p>
            <w:pPr>
              <w:pStyle w:val="11"/>
            </w:pPr>
            <w:r>
              <w:t>4.52</w:t>
            </w:r>
          </w:p>
        </w:tc>
        <w:tc>
          <w:tcPr>
            <w:tcW w:w="1134" w:type="dxa"/>
            <w:vAlign w:val="center"/>
          </w:tcPr>
          <w:p>
            <w:pPr>
              <w:pStyle w:val="11"/>
            </w:pPr>
            <w:r>
              <w:t>4.52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2.26</w:t>
            </w:r>
          </w:p>
        </w:tc>
        <w:tc>
          <w:tcPr>
            <w:tcW w:w="1134" w:type="dxa"/>
            <w:vAlign w:val="center"/>
          </w:tcPr>
          <w:p>
            <w:pPr>
              <w:pStyle w:val="11"/>
            </w:pPr>
            <w:r>
              <w:t>2.26</w:t>
            </w:r>
          </w:p>
        </w:tc>
        <w:tc>
          <w:tcPr>
            <w:tcW w:w="1134" w:type="dxa"/>
            <w:vAlign w:val="center"/>
          </w:tcPr>
          <w:p>
            <w:pPr>
              <w:pStyle w:val="11"/>
            </w:pPr>
            <w:r>
              <w:t>2.26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21012</w:t>
            </w:r>
          </w:p>
        </w:tc>
        <w:tc>
          <w:tcPr>
            <w:tcW w:w="1559" w:type="dxa"/>
            <w:vAlign w:val="center"/>
          </w:tcPr>
          <w:p>
            <w:pPr>
              <w:pStyle w:val="12"/>
            </w:pPr>
            <w:r>
              <w:t>财政对基本医疗保险基金的补助</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2101201</w:t>
            </w:r>
          </w:p>
        </w:tc>
        <w:tc>
          <w:tcPr>
            <w:tcW w:w="1559" w:type="dxa"/>
            <w:vAlign w:val="center"/>
          </w:tcPr>
          <w:p>
            <w:pPr>
              <w:pStyle w:val="12"/>
            </w:pPr>
            <w:r>
              <w:t>财政对职工基本医疗保险基金的补助</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r>
              <w:t>2.05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70.56</w:t>
            </w:r>
          </w:p>
        </w:tc>
        <w:tc>
          <w:tcPr>
            <w:tcW w:w="1361" w:type="dxa"/>
            <w:vAlign w:val="center"/>
          </w:tcPr>
          <w:p>
            <w:pPr>
              <w:pStyle w:val="15"/>
            </w:pPr>
            <w:r>
              <w:t>60.56</w:t>
            </w:r>
          </w:p>
        </w:tc>
        <w:tc>
          <w:tcPr>
            <w:tcW w:w="1361" w:type="dxa"/>
            <w:vAlign w:val="center"/>
          </w:tcPr>
          <w:p>
            <w:pPr>
              <w:pStyle w:val="15"/>
            </w:pPr>
            <w:r>
              <w:t>10.00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50.73</w:t>
            </w:r>
          </w:p>
        </w:tc>
        <w:tc>
          <w:tcPr>
            <w:tcW w:w="1361" w:type="dxa"/>
            <w:vAlign w:val="center"/>
          </w:tcPr>
          <w:p>
            <w:pPr>
              <w:pStyle w:val="11"/>
            </w:pPr>
            <w:r>
              <w:t>40.73</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20126</w:t>
            </w:r>
          </w:p>
        </w:tc>
        <w:tc>
          <w:tcPr>
            <w:tcW w:w="4535" w:type="dxa"/>
            <w:vAlign w:val="center"/>
          </w:tcPr>
          <w:p>
            <w:pPr>
              <w:pStyle w:val="12"/>
            </w:pPr>
            <w:r>
              <w:t>档案事务</w:t>
            </w:r>
          </w:p>
        </w:tc>
        <w:tc>
          <w:tcPr>
            <w:tcW w:w="1361" w:type="dxa"/>
            <w:vAlign w:val="center"/>
          </w:tcPr>
          <w:p>
            <w:pPr>
              <w:pStyle w:val="11"/>
            </w:pPr>
            <w:r>
              <w:t>50.73</w:t>
            </w:r>
          </w:p>
        </w:tc>
        <w:tc>
          <w:tcPr>
            <w:tcW w:w="1361" w:type="dxa"/>
            <w:vAlign w:val="center"/>
          </w:tcPr>
          <w:p>
            <w:pPr>
              <w:pStyle w:val="11"/>
            </w:pPr>
            <w:r>
              <w:t>40.73</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2012601</w:t>
            </w:r>
          </w:p>
        </w:tc>
        <w:tc>
          <w:tcPr>
            <w:tcW w:w="4535" w:type="dxa"/>
            <w:vAlign w:val="center"/>
          </w:tcPr>
          <w:p>
            <w:pPr>
              <w:pStyle w:val="12"/>
            </w:pPr>
            <w:r>
              <w:t>行政运行</w:t>
            </w:r>
          </w:p>
        </w:tc>
        <w:tc>
          <w:tcPr>
            <w:tcW w:w="1361" w:type="dxa"/>
            <w:vAlign w:val="center"/>
          </w:tcPr>
          <w:p>
            <w:pPr>
              <w:pStyle w:val="11"/>
            </w:pPr>
            <w:r>
              <w:t>50.73</w:t>
            </w:r>
          </w:p>
        </w:tc>
        <w:tc>
          <w:tcPr>
            <w:tcW w:w="1361" w:type="dxa"/>
            <w:vAlign w:val="center"/>
          </w:tcPr>
          <w:p>
            <w:pPr>
              <w:pStyle w:val="11"/>
            </w:pPr>
            <w:r>
              <w:t>40.73</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17.78</w:t>
            </w:r>
          </w:p>
        </w:tc>
        <w:tc>
          <w:tcPr>
            <w:tcW w:w="1361" w:type="dxa"/>
            <w:vAlign w:val="center"/>
          </w:tcPr>
          <w:p>
            <w:pPr>
              <w:pStyle w:val="11"/>
            </w:pPr>
            <w:r>
              <w:t>17.78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17.78</w:t>
            </w:r>
          </w:p>
        </w:tc>
        <w:tc>
          <w:tcPr>
            <w:tcW w:w="1361" w:type="dxa"/>
            <w:vAlign w:val="center"/>
          </w:tcPr>
          <w:p>
            <w:pPr>
              <w:pStyle w:val="11"/>
            </w:pPr>
            <w:r>
              <w:t>17.78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2080501</w:t>
            </w:r>
          </w:p>
        </w:tc>
        <w:tc>
          <w:tcPr>
            <w:tcW w:w="4535" w:type="dxa"/>
            <w:vAlign w:val="center"/>
          </w:tcPr>
          <w:p>
            <w:pPr>
              <w:pStyle w:val="12"/>
            </w:pPr>
            <w:r>
              <w:t>行政单位离退休</w:t>
            </w:r>
          </w:p>
        </w:tc>
        <w:tc>
          <w:tcPr>
            <w:tcW w:w="1361" w:type="dxa"/>
            <w:vAlign w:val="center"/>
          </w:tcPr>
          <w:p>
            <w:pPr>
              <w:pStyle w:val="11"/>
            </w:pPr>
            <w:r>
              <w:t>11.01</w:t>
            </w:r>
          </w:p>
        </w:tc>
        <w:tc>
          <w:tcPr>
            <w:tcW w:w="1361" w:type="dxa"/>
            <w:vAlign w:val="center"/>
          </w:tcPr>
          <w:p>
            <w:pPr>
              <w:pStyle w:val="11"/>
            </w:pPr>
            <w:r>
              <w:t>11.01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4.52</w:t>
            </w:r>
          </w:p>
        </w:tc>
        <w:tc>
          <w:tcPr>
            <w:tcW w:w="1361" w:type="dxa"/>
            <w:vAlign w:val="center"/>
          </w:tcPr>
          <w:p>
            <w:pPr>
              <w:pStyle w:val="11"/>
            </w:pPr>
            <w:r>
              <w:t>4.52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2.26</w:t>
            </w:r>
          </w:p>
        </w:tc>
        <w:tc>
          <w:tcPr>
            <w:tcW w:w="1361" w:type="dxa"/>
            <w:vAlign w:val="center"/>
          </w:tcPr>
          <w:p>
            <w:pPr>
              <w:pStyle w:val="11"/>
            </w:pPr>
            <w:r>
              <w:t>2.26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2.05</w:t>
            </w:r>
          </w:p>
        </w:tc>
        <w:tc>
          <w:tcPr>
            <w:tcW w:w="1361" w:type="dxa"/>
            <w:vAlign w:val="center"/>
          </w:tcPr>
          <w:p>
            <w:pPr>
              <w:pStyle w:val="11"/>
            </w:pPr>
            <w:r>
              <w:t>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21012</w:t>
            </w:r>
          </w:p>
        </w:tc>
        <w:tc>
          <w:tcPr>
            <w:tcW w:w="4535" w:type="dxa"/>
            <w:vAlign w:val="center"/>
          </w:tcPr>
          <w:p>
            <w:pPr>
              <w:pStyle w:val="12"/>
            </w:pPr>
            <w:r>
              <w:t>财政对基本医疗保险基金的补助</w:t>
            </w:r>
          </w:p>
        </w:tc>
        <w:tc>
          <w:tcPr>
            <w:tcW w:w="1361" w:type="dxa"/>
            <w:vAlign w:val="center"/>
          </w:tcPr>
          <w:p>
            <w:pPr>
              <w:pStyle w:val="11"/>
            </w:pPr>
            <w:r>
              <w:t>2.05</w:t>
            </w:r>
          </w:p>
        </w:tc>
        <w:tc>
          <w:tcPr>
            <w:tcW w:w="1361" w:type="dxa"/>
            <w:vAlign w:val="center"/>
          </w:tcPr>
          <w:p>
            <w:pPr>
              <w:pStyle w:val="11"/>
            </w:pPr>
            <w:r>
              <w:t>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2101201</w:t>
            </w:r>
          </w:p>
        </w:tc>
        <w:tc>
          <w:tcPr>
            <w:tcW w:w="4535" w:type="dxa"/>
            <w:vAlign w:val="center"/>
          </w:tcPr>
          <w:p>
            <w:pPr>
              <w:pStyle w:val="12"/>
            </w:pPr>
            <w:r>
              <w:t>财政对职工基本医疗保险基金的补助</w:t>
            </w:r>
          </w:p>
        </w:tc>
        <w:tc>
          <w:tcPr>
            <w:tcW w:w="1361" w:type="dxa"/>
            <w:vAlign w:val="center"/>
          </w:tcPr>
          <w:p>
            <w:pPr>
              <w:pStyle w:val="11"/>
            </w:pPr>
            <w:r>
              <w:t>2.05</w:t>
            </w:r>
          </w:p>
        </w:tc>
        <w:tc>
          <w:tcPr>
            <w:tcW w:w="1361" w:type="dxa"/>
            <w:vAlign w:val="center"/>
          </w:tcPr>
          <w:p>
            <w:pPr>
              <w:pStyle w:val="11"/>
            </w:pPr>
            <w:r>
              <w:t>2.05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3402" w:type="dxa"/>
            <w:tcBorders>
              <w:top w:val="single" w:color="FFFFFF" w:sz="6" w:space="0"/>
              <w:left w:val="single" w:color="FFFFFF" w:sz="6" w:space="0"/>
              <w:right w:val="single" w:color="FFFFFF" w:sz="6" w:space="0"/>
            </w:tcBorders>
            <w:vAlign w:val="center"/>
          </w:tcPr>
          <w:p>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70.56</w:t>
            </w:r>
          </w:p>
        </w:tc>
        <w:tc>
          <w:tcPr>
            <w:tcW w:w="3402" w:type="dxa"/>
            <w:vAlign w:val="center"/>
          </w:tcPr>
          <w:p>
            <w:pPr>
              <w:pStyle w:val="12"/>
            </w:pPr>
            <w:r>
              <w:t>一、一般公共服务支出</w:t>
            </w:r>
          </w:p>
        </w:tc>
        <w:tc>
          <w:tcPr>
            <w:tcW w:w="1474" w:type="dxa"/>
            <w:vAlign w:val="center"/>
          </w:tcPr>
          <w:p>
            <w:pPr>
              <w:pStyle w:val="11"/>
            </w:pPr>
            <w:r>
              <w:t>50.73</w:t>
            </w:r>
          </w:p>
        </w:tc>
        <w:tc>
          <w:tcPr>
            <w:tcW w:w="1474" w:type="dxa"/>
            <w:vAlign w:val="center"/>
          </w:tcPr>
          <w:p>
            <w:pPr>
              <w:pStyle w:val="11"/>
            </w:pPr>
            <w:r>
              <w:t>50.73</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17.78</w:t>
            </w:r>
          </w:p>
        </w:tc>
        <w:tc>
          <w:tcPr>
            <w:tcW w:w="1474" w:type="dxa"/>
            <w:vAlign w:val="center"/>
          </w:tcPr>
          <w:p>
            <w:pPr>
              <w:pStyle w:val="11"/>
            </w:pPr>
            <w:r>
              <w:t>17.78</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2.05</w:t>
            </w:r>
          </w:p>
        </w:tc>
        <w:tc>
          <w:tcPr>
            <w:tcW w:w="1474" w:type="dxa"/>
            <w:vAlign w:val="center"/>
          </w:tcPr>
          <w:p>
            <w:pPr>
              <w:pStyle w:val="11"/>
            </w:pPr>
            <w:r>
              <w:t>2.05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三十一、人行科目</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70.56</w:t>
            </w:r>
          </w:p>
        </w:tc>
        <w:tc>
          <w:tcPr>
            <w:tcW w:w="3402" w:type="dxa"/>
            <w:vAlign w:val="center"/>
          </w:tcPr>
          <w:p>
            <w:pPr>
              <w:pStyle w:val="14"/>
            </w:pPr>
            <w:r>
              <w:t>本年支出合计</w:t>
            </w:r>
          </w:p>
        </w:tc>
        <w:tc>
          <w:tcPr>
            <w:tcW w:w="1474" w:type="dxa"/>
            <w:vAlign w:val="center"/>
          </w:tcPr>
          <w:p>
            <w:pPr>
              <w:pStyle w:val="15"/>
            </w:pPr>
            <w:r>
              <w:t>70.56</w:t>
            </w:r>
          </w:p>
        </w:tc>
        <w:tc>
          <w:tcPr>
            <w:tcW w:w="1474" w:type="dxa"/>
            <w:vAlign w:val="center"/>
          </w:tcPr>
          <w:p>
            <w:pPr>
              <w:pStyle w:val="15"/>
            </w:pPr>
            <w:r>
              <w:t>70.56</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70.56</w:t>
            </w:r>
          </w:p>
        </w:tc>
        <w:tc>
          <w:tcPr>
            <w:tcW w:w="3402" w:type="dxa"/>
            <w:vAlign w:val="center"/>
          </w:tcPr>
          <w:p>
            <w:pPr>
              <w:pStyle w:val="14"/>
            </w:pPr>
            <w:r>
              <w:t>支出总计</w:t>
            </w:r>
          </w:p>
        </w:tc>
        <w:tc>
          <w:tcPr>
            <w:tcW w:w="1474" w:type="dxa"/>
            <w:vAlign w:val="center"/>
          </w:tcPr>
          <w:p>
            <w:pPr>
              <w:pStyle w:val="15"/>
            </w:pPr>
            <w:r>
              <w:t>70.56</w:t>
            </w:r>
          </w:p>
        </w:tc>
        <w:tc>
          <w:tcPr>
            <w:tcW w:w="1474" w:type="dxa"/>
            <w:vAlign w:val="center"/>
          </w:tcPr>
          <w:p>
            <w:pPr>
              <w:pStyle w:val="15"/>
            </w:pPr>
            <w:r>
              <w:t>70.56</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70.56</w:t>
            </w:r>
          </w:p>
        </w:tc>
        <w:tc>
          <w:tcPr>
            <w:tcW w:w="2551" w:type="dxa"/>
            <w:vAlign w:val="center"/>
          </w:tcPr>
          <w:p>
            <w:pPr>
              <w:pStyle w:val="15"/>
            </w:pPr>
            <w:r>
              <w:t>60.56</w:t>
            </w:r>
          </w:p>
        </w:tc>
        <w:tc>
          <w:tcPr>
            <w:tcW w:w="2551" w:type="dxa"/>
            <w:vAlign w:val="center"/>
          </w:tcPr>
          <w:p>
            <w:pPr>
              <w:pStyle w:val="15"/>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50.73</w:t>
            </w:r>
          </w:p>
        </w:tc>
        <w:tc>
          <w:tcPr>
            <w:tcW w:w="2551" w:type="dxa"/>
            <w:vAlign w:val="center"/>
          </w:tcPr>
          <w:p>
            <w:pPr>
              <w:pStyle w:val="11"/>
            </w:pPr>
            <w:r>
              <w:t>40.73</w:t>
            </w: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20126</w:t>
            </w:r>
          </w:p>
        </w:tc>
        <w:tc>
          <w:tcPr>
            <w:tcW w:w="4535" w:type="dxa"/>
            <w:vAlign w:val="center"/>
          </w:tcPr>
          <w:p>
            <w:pPr>
              <w:pStyle w:val="12"/>
            </w:pPr>
            <w:r>
              <w:t>档案事务</w:t>
            </w:r>
          </w:p>
        </w:tc>
        <w:tc>
          <w:tcPr>
            <w:tcW w:w="2551" w:type="dxa"/>
            <w:vAlign w:val="center"/>
          </w:tcPr>
          <w:p>
            <w:pPr>
              <w:pStyle w:val="11"/>
            </w:pPr>
            <w:r>
              <w:t>50.73</w:t>
            </w:r>
          </w:p>
        </w:tc>
        <w:tc>
          <w:tcPr>
            <w:tcW w:w="2551" w:type="dxa"/>
            <w:vAlign w:val="center"/>
          </w:tcPr>
          <w:p>
            <w:pPr>
              <w:pStyle w:val="11"/>
            </w:pPr>
            <w:r>
              <w:t>40.73</w:t>
            </w: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2012601</w:t>
            </w:r>
          </w:p>
        </w:tc>
        <w:tc>
          <w:tcPr>
            <w:tcW w:w="4535" w:type="dxa"/>
            <w:vAlign w:val="center"/>
          </w:tcPr>
          <w:p>
            <w:pPr>
              <w:pStyle w:val="12"/>
            </w:pPr>
            <w:r>
              <w:t>行政运行</w:t>
            </w:r>
          </w:p>
        </w:tc>
        <w:tc>
          <w:tcPr>
            <w:tcW w:w="2551" w:type="dxa"/>
            <w:vAlign w:val="center"/>
          </w:tcPr>
          <w:p>
            <w:pPr>
              <w:pStyle w:val="11"/>
            </w:pPr>
            <w:r>
              <w:t>50.73</w:t>
            </w:r>
          </w:p>
        </w:tc>
        <w:tc>
          <w:tcPr>
            <w:tcW w:w="2551" w:type="dxa"/>
            <w:vAlign w:val="center"/>
          </w:tcPr>
          <w:p>
            <w:pPr>
              <w:pStyle w:val="11"/>
            </w:pPr>
            <w:r>
              <w:t>40.73</w:t>
            </w: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17.78</w:t>
            </w:r>
          </w:p>
        </w:tc>
        <w:tc>
          <w:tcPr>
            <w:tcW w:w="2551" w:type="dxa"/>
            <w:vAlign w:val="center"/>
          </w:tcPr>
          <w:p>
            <w:pPr>
              <w:pStyle w:val="11"/>
            </w:pPr>
            <w:r>
              <w:t>17.78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17.78</w:t>
            </w:r>
          </w:p>
        </w:tc>
        <w:tc>
          <w:tcPr>
            <w:tcW w:w="2551" w:type="dxa"/>
            <w:vAlign w:val="center"/>
          </w:tcPr>
          <w:p>
            <w:pPr>
              <w:pStyle w:val="11"/>
            </w:pPr>
            <w:r>
              <w:t>17.78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2080501</w:t>
            </w:r>
          </w:p>
        </w:tc>
        <w:tc>
          <w:tcPr>
            <w:tcW w:w="4535" w:type="dxa"/>
            <w:vAlign w:val="center"/>
          </w:tcPr>
          <w:p>
            <w:pPr>
              <w:pStyle w:val="12"/>
            </w:pPr>
            <w:r>
              <w:t>行政单位离退休</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4.52</w:t>
            </w:r>
          </w:p>
        </w:tc>
        <w:tc>
          <w:tcPr>
            <w:tcW w:w="2551" w:type="dxa"/>
            <w:vAlign w:val="center"/>
          </w:tcPr>
          <w:p>
            <w:pPr>
              <w:pStyle w:val="11"/>
            </w:pPr>
            <w:r>
              <w:t>4.52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2.26</w:t>
            </w:r>
          </w:p>
        </w:tc>
        <w:tc>
          <w:tcPr>
            <w:tcW w:w="2551" w:type="dxa"/>
            <w:vAlign w:val="center"/>
          </w:tcPr>
          <w:p>
            <w:pPr>
              <w:pStyle w:val="11"/>
            </w:pPr>
            <w:r>
              <w:t>2.26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21012</w:t>
            </w:r>
          </w:p>
        </w:tc>
        <w:tc>
          <w:tcPr>
            <w:tcW w:w="4535" w:type="dxa"/>
            <w:vAlign w:val="center"/>
          </w:tcPr>
          <w:p>
            <w:pPr>
              <w:pStyle w:val="12"/>
            </w:pPr>
            <w:r>
              <w:t>财政对基本医疗保险基金的补助</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2101201</w:t>
            </w:r>
          </w:p>
        </w:tc>
        <w:tc>
          <w:tcPr>
            <w:tcW w:w="4535" w:type="dxa"/>
            <w:vAlign w:val="center"/>
          </w:tcPr>
          <w:p>
            <w:pPr>
              <w:pStyle w:val="12"/>
            </w:pPr>
            <w:r>
              <w:t>财政对职工基本医疗保险基金的补助</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60.56</w:t>
            </w:r>
          </w:p>
        </w:tc>
        <w:tc>
          <w:tcPr>
            <w:tcW w:w="2551" w:type="dxa"/>
            <w:vAlign w:val="center"/>
          </w:tcPr>
          <w:p>
            <w:pPr>
              <w:pStyle w:val="15"/>
            </w:pPr>
            <w:r>
              <w:t>54.10</w:t>
            </w:r>
          </w:p>
        </w:tc>
        <w:tc>
          <w:tcPr>
            <w:tcW w:w="2551" w:type="dxa"/>
            <w:vAlign w:val="center"/>
          </w:tcPr>
          <w:p>
            <w:pPr>
              <w:pStyle w:val="15"/>
            </w:pPr>
            <w:r>
              <w:t>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43.10</w:t>
            </w:r>
          </w:p>
        </w:tc>
        <w:tc>
          <w:tcPr>
            <w:tcW w:w="2551" w:type="dxa"/>
            <w:vAlign w:val="center"/>
          </w:tcPr>
          <w:p>
            <w:pPr>
              <w:pStyle w:val="11"/>
            </w:pPr>
            <w:r>
              <w:t>43.10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27.75</w:t>
            </w:r>
          </w:p>
        </w:tc>
        <w:tc>
          <w:tcPr>
            <w:tcW w:w="2551" w:type="dxa"/>
            <w:vAlign w:val="center"/>
          </w:tcPr>
          <w:p>
            <w:pPr>
              <w:pStyle w:val="11"/>
            </w:pPr>
            <w:r>
              <w:t>27.75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1.97</w:t>
            </w:r>
          </w:p>
        </w:tc>
        <w:tc>
          <w:tcPr>
            <w:tcW w:w="2551" w:type="dxa"/>
            <w:vAlign w:val="center"/>
          </w:tcPr>
          <w:p>
            <w:pPr>
              <w:pStyle w:val="11"/>
            </w:pPr>
            <w:r>
              <w:t>1.97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1.56</w:t>
            </w:r>
          </w:p>
        </w:tc>
        <w:tc>
          <w:tcPr>
            <w:tcW w:w="2551" w:type="dxa"/>
            <w:vAlign w:val="center"/>
          </w:tcPr>
          <w:p>
            <w:pPr>
              <w:pStyle w:val="11"/>
            </w:pPr>
            <w:r>
              <w:t>1.56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2.99</w:t>
            </w:r>
          </w:p>
        </w:tc>
        <w:tc>
          <w:tcPr>
            <w:tcW w:w="2551" w:type="dxa"/>
            <w:vAlign w:val="center"/>
          </w:tcPr>
          <w:p>
            <w:pPr>
              <w:pStyle w:val="11"/>
            </w:pPr>
            <w:r>
              <w:t>2.99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4.52</w:t>
            </w:r>
          </w:p>
        </w:tc>
        <w:tc>
          <w:tcPr>
            <w:tcW w:w="2551" w:type="dxa"/>
            <w:vAlign w:val="center"/>
          </w:tcPr>
          <w:p>
            <w:pPr>
              <w:pStyle w:val="11"/>
            </w:pPr>
            <w:r>
              <w:t>4.52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2.26</w:t>
            </w:r>
          </w:p>
        </w:tc>
        <w:tc>
          <w:tcPr>
            <w:tcW w:w="2551" w:type="dxa"/>
            <w:vAlign w:val="center"/>
          </w:tcPr>
          <w:p>
            <w:pPr>
              <w:pStyle w:val="11"/>
            </w:pPr>
            <w:r>
              <w:t>2.26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2.05</w:t>
            </w:r>
          </w:p>
        </w:tc>
        <w:tc>
          <w:tcPr>
            <w:tcW w:w="2551" w:type="dxa"/>
            <w:vAlign w:val="center"/>
          </w:tcPr>
          <w:p>
            <w:pPr>
              <w:pStyle w:val="11"/>
            </w:pPr>
            <w:r>
              <w:t>2.05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6.46</w:t>
            </w:r>
          </w:p>
        </w:tc>
        <w:tc>
          <w:tcPr>
            <w:tcW w:w="2551" w:type="dxa"/>
            <w:vAlign w:val="center"/>
          </w:tcPr>
          <w:p>
            <w:pPr>
              <w:pStyle w:val="11"/>
            </w:pPr>
          </w:p>
        </w:tc>
        <w:tc>
          <w:tcPr>
            <w:tcW w:w="2551" w:type="dxa"/>
            <w:vAlign w:val="center"/>
          </w:tcPr>
          <w:p>
            <w:pPr>
              <w:pStyle w:val="11"/>
            </w:pPr>
            <w:r>
              <w:t>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4.00</w:t>
            </w:r>
          </w:p>
        </w:tc>
        <w:tc>
          <w:tcPr>
            <w:tcW w:w="2551" w:type="dxa"/>
            <w:vAlign w:val="center"/>
          </w:tcPr>
          <w:p>
            <w:pPr>
              <w:pStyle w:val="11"/>
            </w:pPr>
          </w:p>
        </w:tc>
        <w:tc>
          <w:tcPr>
            <w:tcW w:w="2551" w:type="dxa"/>
            <w:vAlign w:val="center"/>
          </w:tcPr>
          <w:p>
            <w:pPr>
              <w:pStyle w:val="11"/>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2.46</w:t>
            </w:r>
          </w:p>
        </w:tc>
        <w:tc>
          <w:tcPr>
            <w:tcW w:w="2551" w:type="dxa"/>
            <w:vAlign w:val="center"/>
          </w:tcPr>
          <w:p>
            <w:pPr>
              <w:pStyle w:val="11"/>
            </w:pPr>
          </w:p>
        </w:tc>
        <w:tc>
          <w:tcPr>
            <w:tcW w:w="2551" w:type="dxa"/>
            <w:vAlign w:val="center"/>
          </w:tcPr>
          <w:p>
            <w:pPr>
              <w:pStyle w:val="11"/>
            </w:pPr>
            <w:r>
              <w:t>2.46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2551" w:type="dxa"/>
            <w:tcBorders>
              <w:top w:val="single" w:color="FFFFFF" w:sz="6" w:space="0"/>
              <w:left w:val="single" w:color="FFFFFF" w:sz="6" w:space="0"/>
              <w:right w:val="single" w:color="FFFFFF" w:sz="6" w:space="0"/>
            </w:tcBorders>
            <w:vAlign w:val="center"/>
          </w:tcPr>
          <w:p>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241001魏县档案馆本级</w:t>
            </w:r>
          </w:p>
        </w:tc>
        <w:tc>
          <w:tcPr>
            <w:tcW w:w="2381" w:type="dxa"/>
            <w:tcBorders>
              <w:top w:val="single" w:color="FFFFFF" w:sz="6" w:space="0"/>
              <w:left w:val="single" w:color="FFFFFF" w:sz="6" w:space="0"/>
              <w:right w:val="single" w:color="FFFFFF" w:sz="6" w:space="0"/>
            </w:tcBorders>
            <w:vAlign w:val="center"/>
          </w:tcPr>
          <w:p>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5"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2"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1</w:t>
            </w:r>
          </w:p>
        </w:tc>
        <w:tc>
          <w:tcPr>
            <w:tcW w:w="3798" w:type="dxa"/>
            <w:vAlign w:val="center"/>
          </w:tcPr>
          <w:p>
            <w:pPr>
              <w:pStyle w:val="14"/>
              <w:rPr>
                <w:rFonts w:ascii="方正书宋_GBK" w:hAnsi="方正书宋_GBK" w:eastAsia="方正书宋_GBK" w:cs="方正书宋_GBK"/>
                <w:b/>
                <w:sz w:val="21"/>
                <w:szCs w:val="24"/>
                <w:lang w:val="en-US" w:eastAsia="uk-UA" w:bidi="ar-SA"/>
              </w:rPr>
            </w:pPr>
            <w:r>
              <w:rPr>
                <w:rFonts w:hint="eastAsia"/>
              </w:rPr>
              <w:t>合计</w:t>
            </w:r>
          </w:p>
        </w:tc>
        <w:tc>
          <w:tcPr>
            <w:tcW w:w="2382" w:type="dxa"/>
            <w:vAlign w:val="center"/>
          </w:tcPr>
          <w:p>
            <w:pPr>
              <w:pStyle w:val="15"/>
              <w:jc w:val="left"/>
              <w:rPr>
                <w:rFonts w:hint="default"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本单位本年度无三公经费支出</w:t>
            </w:r>
          </w:p>
        </w:tc>
        <w:tc>
          <w:tcPr>
            <w:tcW w:w="2381" w:type="dxa"/>
            <w:vAlign w:val="center"/>
          </w:tcPr>
          <w:p>
            <w:pPr>
              <w:pStyle w:val="15"/>
              <w:rPr>
                <w:rFonts w:hint="eastAsia"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0</w:t>
            </w:r>
          </w:p>
        </w:tc>
        <w:tc>
          <w:tcPr>
            <w:tcW w:w="2381" w:type="dxa"/>
            <w:vAlign w:val="center"/>
          </w:tcPr>
          <w:p>
            <w:pPr>
              <w:pStyle w:val="15"/>
              <w:rPr>
                <w:rFonts w:hint="eastAsia"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0</w:t>
            </w:r>
          </w:p>
        </w:tc>
        <w:tc>
          <w:tcPr>
            <w:tcW w:w="2381" w:type="dxa"/>
            <w:vAlign w:val="center"/>
          </w:tcPr>
          <w:p>
            <w:pPr>
              <w:pStyle w:val="15"/>
              <w:rPr>
                <w:rFonts w:hint="eastAsia" w:ascii="方正书宋_GBK" w:hAnsi="方正书宋_GBK" w:eastAsia="方正书宋_GBK" w:cs="方正书宋_GBK"/>
                <w:b/>
                <w:sz w:val="21"/>
                <w:szCs w:val="24"/>
                <w:lang w:val="en-US" w:eastAsia="zh-CN" w:bidi="ar-SA"/>
              </w:rPr>
            </w:pPr>
            <w:r>
              <w:rPr>
                <w:rFonts w:hint="eastAsia" w:cs="方正书宋_GBK"/>
                <w:b/>
                <w:sz w:val="21"/>
                <w:szCs w:val="24"/>
                <w:lang w:val="en-US" w:eastAsia="zh-CN" w:bidi="ar-SA"/>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2</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“三公”经费小计</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3</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一、因公出国（境）费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4</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其中：教学科研人员因公出国（境）</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5</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其他因公出国（境）费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6</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二、公务用车购置及运维费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7</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其中：公务用车购置费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8</w:t>
            </w:r>
          </w:p>
        </w:tc>
        <w:tc>
          <w:tcPr>
            <w:tcW w:w="3798" w:type="dxa"/>
            <w:vAlign w:val="center"/>
          </w:tcPr>
          <w:p>
            <w:pPr>
              <w:pStyle w:val="12"/>
              <w:rPr>
                <w:rFonts w:ascii="方正书宋_GBK" w:hAnsi="方正书宋_GBK" w:eastAsia="方正书宋_GBK" w:cs="方正书宋_GBK"/>
                <w:sz w:val="21"/>
                <w:szCs w:val="24"/>
                <w:lang w:val="en-US" w:eastAsia="uk-UA" w:bidi="ar-SA"/>
              </w:rPr>
            </w:pPr>
            <w:r>
              <w:t xml:space="preserve">          </w:t>
            </w:r>
            <w:r>
              <w:rPr>
                <w:rFonts w:hint="eastAsia"/>
              </w:rPr>
              <w:t>公务用车运行维护费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rPr>
                <w:rFonts w:ascii="方正书宋_GBK" w:hAnsi="方正书宋_GBK" w:eastAsia="方正书宋_GBK" w:cs="方正书宋_GBK"/>
                <w:sz w:val="21"/>
                <w:szCs w:val="24"/>
                <w:lang w:val="en-US" w:eastAsia="uk-UA" w:bidi="ar-SA"/>
              </w:rPr>
            </w:pPr>
            <w:r>
              <w:t>9</w:t>
            </w:r>
          </w:p>
        </w:tc>
        <w:tc>
          <w:tcPr>
            <w:tcW w:w="3798" w:type="dxa"/>
            <w:vAlign w:val="center"/>
          </w:tcPr>
          <w:p>
            <w:pPr>
              <w:pStyle w:val="12"/>
              <w:rPr>
                <w:rFonts w:ascii="方正书宋_GBK" w:hAnsi="方正书宋_GBK" w:eastAsia="方正书宋_GBK" w:cs="方正书宋_GBK"/>
                <w:sz w:val="21"/>
                <w:szCs w:val="24"/>
                <w:lang w:val="en-US" w:eastAsia="uk-UA" w:bidi="ar-SA"/>
              </w:rPr>
            </w:pPr>
            <w:r>
              <w:rPr>
                <w:rFonts w:hint="eastAsia"/>
              </w:rPr>
              <w:t>三、公务接待费</w:t>
            </w:r>
          </w:p>
        </w:tc>
        <w:tc>
          <w:tcPr>
            <w:tcW w:w="2382"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c>
          <w:tcPr>
            <w:tcW w:w="2381" w:type="dxa"/>
            <w:vAlign w:val="center"/>
          </w:tcPr>
          <w:p>
            <w:pPr>
              <w:pStyle w:val="11"/>
              <w:rPr>
                <w:rFonts w:ascii="方正书宋_GBK" w:hAnsi="方正书宋_GBK" w:eastAsia="方正书宋_GBK" w:cs="方正书宋_GBK"/>
                <w:sz w:val="21"/>
                <w:szCs w:val="24"/>
                <w:lang w:val="en-US" w:eastAsia="uk-UA" w:bidi="ar-SA"/>
              </w:rPr>
            </w:pPr>
          </w:p>
        </w:tc>
      </w:tr>
    </w:tbl>
    <w:p>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魏县档案馆本级2023年单位预算信息公开情况说明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、《地方预决算公开操作规程》和《关于进一步推进预算公开工作的实施意见》规定，现将魏县档案馆本级2023年单位预算公开如下：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5"/>
      </w:pPr>
      <w:r>
        <w:t>1.认真贯彻</w:t>
      </w:r>
      <w:r>
        <w:rPr>
          <w:rFonts w:hint="eastAsia"/>
          <w:lang w:eastAsia="zh-CN"/>
        </w:rPr>
        <w:t>《中华人民共和国档案法》</w:t>
      </w:r>
      <w:r>
        <w:t>搞好对全县立档单位的执法监督检查，促使</w:t>
      </w:r>
      <w:r>
        <w:rPr>
          <w:rFonts w:hint="eastAsia"/>
          <w:lang w:eastAsia="zh-CN"/>
        </w:rPr>
        <w:t>《中华人民共和国档案法》</w:t>
      </w:r>
      <w:r>
        <w:t>的落实和实施。</w:t>
      </w:r>
    </w:p>
    <w:p>
      <w:pPr>
        <w:pStyle w:val="25"/>
      </w:pPr>
      <w:r>
        <w:t>2.加强对全县档案室及其工作人员的管理和业务培训。搞好全县档案人员政治素质和业务素质。</w:t>
      </w:r>
    </w:p>
    <w:p>
      <w:pPr>
        <w:pStyle w:val="25"/>
      </w:pPr>
      <w:r>
        <w:t>3.搞好对馆藏档案资料的保管利用和查阅服务工作。</w:t>
      </w:r>
    </w:p>
    <w:p>
      <w:pPr>
        <w:pStyle w:val="25"/>
      </w:pPr>
      <w:r>
        <w:t>4. 搞好档案信息资源的开发利用工作。</w:t>
      </w:r>
    </w:p>
    <w:p>
      <w:pPr>
        <w:pStyle w:val="25"/>
      </w:pPr>
      <w:r>
        <w:t>5.推进档案馆数字化进程。</w:t>
      </w:r>
    </w:p>
    <w:p>
      <w:pPr>
        <w:pStyle w:val="25"/>
      </w:pPr>
      <w:r>
        <w:t>6.维护好馆藏档案。</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魏县档案馆本级</w:t>
            </w:r>
          </w:p>
        </w:tc>
        <w:tc>
          <w:tcPr>
            <w:tcW w:w="1843" w:type="dxa"/>
            <w:vAlign w:val="center"/>
          </w:tcPr>
          <w:p>
            <w:pPr>
              <w:pStyle w:val="13"/>
            </w:pPr>
            <w:r>
              <w:t>事业</w:t>
            </w:r>
          </w:p>
        </w:tc>
        <w:tc>
          <w:tcPr>
            <w:tcW w:w="2126" w:type="dxa"/>
            <w:vAlign w:val="center"/>
          </w:tcPr>
          <w:p>
            <w:pPr>
              <w:pStyle w:val="13"/>
            </w:pPr>
            <w:r>
              <w:t>正科级</w:t>
            </w:r>
          </w:p>
        </w:tc>
        <w:tc>
          <w:tcPr>
            <w:tcW w:w="3827" w:type="dxa"/>
            <w:vAlign w:val="center"/>
          </w:tcPr>
          <w:p>
            <w:pPr>
              <w:pStyle w:val="13"/>
            </w:pPr>
            <w:r>
              <w:t>财政性资金基本保证</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pPr>
        <w:pStyle w:val="26"/>
      </w:pPr>
      <w:r>
        <w:t>按照预算管理有关规定，目前我县部门预算的编制实行综合预算制度，即全部收入和支出都反映的预算中。</w:t>
      </w:r>
    </w:p>
    <w:p>
      <w:pPr>
        <w:pStyle w:val="26"/>
      </w:pPr>
      <w:r>
        <w:t>1、收入说明：2023年收入预算共计87.13万元，全部为财政拨款收入</w:t>
      </w:r>
    </w:p>
    <w:p>
      <w:pPr>
        <w:pStyle w:val="26"/>
      </w:pPr>
      <w:r>
        <w:t>2、支出说明：2023年支出预算共计87.13万元，其中人员经费支出预算73.13万元，日常公用经费支出4万元，专项公用经费10万元。</w:t>
      </w:r>
    </w:p>
    <w:p>
      <w:pPr>
        <w:pStyle w:val="26"/>
      </w:pPr>
      <w:r>
        <w:t>3、比上年增减情况：经过测算2023年财政拨款预算比2022年增加16.05万元，主要是人员工资增加17.05万元，日常公用经费减少1万元，专项公用经费不变。</w:t>
      </w:r>
    </w:p>
    <w:p>
      <w:pPr>
        <w:pStyle w:val="26"/>
      </w:pPr>
    </w:p>
    <w:p>
      <w:pPr>
        <w:spacing w:before="10" w:after="10"/>
        <w:ind w:firstLine="640"/>
        <w:outlineLvl w:val="5"/>
      </w:pPr>
      <w:r>
        <w:rPr>
          <w:rFonts w:ascii="黑体" w:hAnsi="黑体" w:eastAsia="黑体" w:cs="黑体"/>
          <w:color w:val="000000"/>
          <w:sz w:val="32"/>
        </w:rPr>
        <w:t>三、机关运行经费安排情况</w:t>
      </w:r>
    </w:p>
    <w:p>
      <w:pPr>
        <w:pStyle w:val="27"/>
      </w:pPr>
      <w:r>
        <w:t>1、机关运行经费</w:t>
      </w:r>
      <w:r>
        <w:rPr>
          <w:rFonts w:hint="eastAsia" w:eastAsia="宋体"/>
          <w:lang w:eastAsia="zh-CN"/>
        </w:rPr>
        <w:t>6.46</w:t>
      </w:r>
      <w:r>
        <w:t>万元，主要用于保证正常办公的基本需要和维持单位日常业务运转，包括：办公费、邮电费、差旅费、福利费、手续费、公务接待费、工会经费和离退休干部经费。</w:t>
      </w:r>
    </w:p>
    <w:p>
      <w:pPr>
        <w:pStyle w:val="27"/>
      </w:pPr>
      <w:r>
        <w:t>2、专项公用经费10万元，主要用于档案收集整理维护，数字化档案馆运行维护。</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28"/>
      </w:pPr>
      <w:r>
        <w:t>2023年，财政拨款“三公”经费预算安排0万元，其中因公出国（境）费0万元；公务公车购置及运维费0万元（其中：公务公车购置费为0万元，公务公车运行费0万元）；公务接待费0万元。与2022年相比，因公外出国（境）费降低0万元，与去年持平；公务用车运行费降低0万元，与去年持平；公务接待费减少0万元，与去年持平。另外，我单位根据单位业务需要，按照有关要求。强化“三公'经费管理，实施“零招待'制度，对相关经费进行了答复压减。</w:t>
      </w:r>
    </w:p>
    <w:p>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1、档案收集整理维护绩效目标表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1.目标内容1</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维护、整理档案数量</w:t>
            </w:r>
          </w:p>
        </w:tc>
        <w:tc>
          <w:tcPr>
            <w:tcW w:w="2835" w:type="dxa"/>
            <w:vAlign w:val="center"/>
          </w:tcPr>
          <w:p>
            <w:pPr>
              <w:pStyle w:val="12"/>
            </w:pPr>
            <w:r>
              <w:t>维护、整理档案数量</w:t>
            </w:r>
          </w:p>
          <w:p>
            <w:pPr>
              <w:pStyle w:val="12"/>
            </w:pPr>
          </w:p>
        </w:tc>
        <w:tc>
          <w:tcPr>
            <w:tcW w:w="2551" w:type="dxa"/>
            <w:vAlign w:val="center"/>
          </w:tcPr>
          <w:p>
            <w:pPr>
              <w:pStyle w:val="12"/>
            </w:pPr>
            <w:r>
              <w:t>≥3000卷</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维护整理档案案卷合格率</w:t>
            </w:r>
          </w:p>
        </w:tc>
        <w:tc>
          <w:tcPr>
            <w:tcW w:w="2835" w:type="dxa"/>
            <w:vAlign w:val="center"/>
          </w:tcPr>
          <w:p>
            <w:pPr>
              <w:pStyle w:val="12"/>
            </w:pPr>
            <w:r>
              <w:t>维护整理档案案卷合格率</w:t>
            </w:r>
          </w:p>
        </w:tc>
        <w:tc>
          <w:tcPr>
            <w:tcW w:w="2551" w:type="dxa"/>
            <w:vAlign w:val="center"/>
          </w:tcPr>
          <w:p>
            <w:pPr>
              <w:pStyle w:val="12"/>
            </w:pPr>
            <w:r>
              <w:t>≥90%</w:t>
            </w:r>
          </w:p>
        </w:tc>
        <w:tc>
          <w:tcPr>
            <w:tcW w:w="2268" w:type="dxa"/>
            <w:vAlign w:val="center"/>
          </w:tcPr>
          <w:p>
            <w:pPr>
              <w:pStyle w:val="12"/>
            </w:pPr>
            <w:r>
              <w:t>档案工作条例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完成档案收集整理时间</w:t>
            </w:r>
          </w:p>
        </w:tc>
        <w:tc>
          <w:tcPr>
            <w:tcW w:w="2835" w:type="dxa"/>
            <w:vAlign w:val="center"/>
          </w:tcPr>
          <w:p>
            <w:pPr>
              <w:pStyle w:val="12"/>
            </w:pPr>
            <w:r>
              <w:t>2022年12月底完成档案整理工作</w:t>
            </w:r>
          </w:p>
        </w:tc>
        <w:tc>
          <w:tcPr>
            <w:tcW w:w="2551" w:type="dxa"/>
            <w:vAlign w:val="center"/>
          </w:tcPr>
          <w:p>
            <w:pPr>
              <w:pStyle w:val="12"/>
            </w:pPr>
            <w:r>
              <w:t>2022年12月底完成档案整理工作</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维护整理每卷档案所需成本</w:t>
            </w:r>
          </w:p>
        </w:tc>
        <w:tc>
          <w:tcPr>
            <w:tcW w:w="2835" w:type="dxa"/>
            <w:vAlign w:val="center"/>
          </w:tcPr>
          <w:p>
            <w:pPr>
              <w:pStyle w:val="12"/>
            </w:pPr>
            <w:r>
              <w:t>维护整理每年接收档案所花费金额</w:t>
            </w:r>
          </w:p>
        </w:tc>
        <w:tc>
          <w:tcPr>
            <w:tcW w:w="2551" w:type="dxa"/>
            <w:vAlign w:val="center"/>
          </w:tcPr>
          <w:p>
            <w:pPr>
              <w:pStyle w:val="12"/>
            </w:pPr>
            <w:r>
              <w:t>≤3万元</w:t>
            </w:r>
          </w:p>
        </w:tc>
        <w:tc>
          <w:tcPr>
            <w:tcW w:w="2268" w:type="dxa"/>
            <w:vAlign w:val="center"/>
          </w:tcPr>
          <w:p>
            <w:pPr>
              <w:pStyle w:val="12"/>
            </w:pPr>
            <w:r>
              <w:t>年初预算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社会效益指标</w:t>
            </w:r>
          </w:p>
        </w:tc>
        <w:tc>
          <w:tcPr>
            <w:tcW w:w="2835" w:type="dxa"/>
            <w:vAlign w:val="center"/>
          </w:tcPr>
          <w:p>
            <w:pPr>
              <w:pStyle w:val="12"/>
            </w:pPr>
            <w:r>
              <w:t>群众查阅利用</w:t>
            </w:r>
          </w:p>
        </w:tc>
        <w:tc>
          <w:tcPr>
            <w:tcW w:w="2835" w:type="dxa"/>
            <w:vAlign w:val="center"/>
          </w:tcPr>
          <w:p>
            <w:pPr>
              <w:pStyle w:val="12"/>
            </w:pPr>
            <w:r>
              <w:t>为社会提供宝贵资源，便于查阅利用</w:t>
            </w:r>
          </w:p>
        </w:tc>
        <w:tc>
          <w:tcPr>
            <w:tcW w:w="2551" w:type="dxa"/>
            <w:vAlign w:val="center"/>
          </w:tcPr>
          <w:p>
            <w:pPr>
              <w:pStyle w:val="12"/>
            </w:pPr>
            <w:r>
              <w:t>方便群众查阅利用档案资料</w:t>
            </w:r>
          </w:p>
        </w:tc>
        <w:tc>
          <w:tcPr>
            <w:tcW w:w="2268" w:type="dxa"/>
            <w:vAlign w:val="center"/>
          </w:tcPr>
          <w:p>
            <w:pPr>
              <w:pStyle w:val="12"/>
            </w:pPr>
            <w:r>
              <w:t>档案法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可持续影响指标</w:t>
            </w:r>
          </w:p>
        </w:tc>
        <w:tc>
          <w:tcPr>
            <w:tcW w:w="2835" w:type="dxa"/>
            <w:vAlign w:val="center"/>
          </w:tcPr>
          <w:p>
            <w:pPr>
              <w:pStyle w:val="12"/>
            </w:pPr>
            <w:r>
              <w:t>档案保存利用</w:t>
            </w:r>
          </w:p>
        </w:tc>
        <w:tc>
          <w:tcPr>
            <w:tcW w:w="2835" w:type="dxa"/>
            <w:vAlign w:val="center"/>
          </w:tcPr>
          <w:p>
            <w:pPr>
              <w:pStyle w:val="12"/>
            </w:pPr>
            <w:r>
              <w:t>收藏的档案对社会影响深远</w:t>
            </w:r>
          </w:p>
        </w:tc>
        <w:tc>
          <w:tcPr>
            <w:tcW w:w="2551" w:type="dxa"/>
            <w:vAlign w:val="center"/>
          </w:tcPr>
          <w:p>
            <w:pPr>
              <w:pStyle w:val="12"/>
            </w:pPr>
            <w:r>
              <w:t>收藏档案利用率极高，对社会影响很大</w:t>
            </w:r>
          </w:p>
        </w:tc>
        <w:tc>
          <w:tcPr>
            <w:tcW w:w="2268" w:type="dxa"/>
            <w:vAlign w:val="center"/>
          </w:tcPr>
          <w:p>
            <w:pPr>
              <w:pStyle w:val="12"/>
            </w:pPr>
            <w:r>
              <w:t>档案法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对来档案馆查阅群众提供高标准服务</w:t>
            </w:r>
          </w:p>
        </w:tc>
        <w:tc>
          <w:tcPr>
            <w:tcW w:w="2551" w:type="dxa"/>
            <w:vAlign w:val="center"/>
          </w:tcPr>
          <w:p>
            <w:pPr>
              <w:pStyle w:val="12"/>
            </w:pPr>
            <w:r>
              <w:t>100%</w:t>
            </w:r>
          </w:p>
        </w:tc>
        <w:tc>
          <w:tcPr>
            <w:tcW w:w="2268" w:type="dxa"/>
            <w:vAlign w:val="center"/>
          </w:tcPr>
          <w:p>
            <w:pPr>
              <w:pStyle w:val="12"/>
            </w:pPr>
            <w:r>
              <w:t>档案工作条例</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2、数字化档案馆运行维护绩效目标表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0"/>
            </w:pPr>
            <w:r>
              <w:t>绩效目标</w:t>
            </w:r>
          </w:p>
        </w:tc>
        <w:tc>
          <w:tcPr>
            <w:tcW w:w="12756" w:type="dxa"/>
            <w:tcBorders>
              <w:bottom w:val="single" w:color="FFFFFF" w:sz="6" w:space="0"/>
            </w:tcBorders>
            <w:vAlign w:val="center"/>
          </w:tcPr>
          <w:p>
            <w:pPr>
              <w:pStyle w:val="12"/>
            </w:pPr>
            <w:r>
              <w:t>1.目标内容1</w:t>
            </w:r>
          </w:p>
        </w:tc>
      </w:tr>
    </w:tbl>
    <w:p>
      <w:pPr>
        <w:spacing w:line="2" w:lineRule="exact"/>
        <w:jc w:val="center"/>
      </w:pPr>
      <w:r>
        <w:rPr>
          <w:rFonts w:ascii="方正书宋_GBK" w:hAnsi="方正书宋_GBK" w:eastAsia="方正书宋_GBK" w:cs="方正书宋_GBK"/>
          <w:color w:val="000000"/>
          <w:sz w:val="18"/>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0"/>
            </w:pPr>
            <w:r>
              <w:t>一级指标</w:t>
            </w:r>
          </w:p>
        </w:tc>
        <w:tc>
          <w:tcPr>
            <w:tcW w:w="2268" w:type="dxa"/>
            <w:vAlign w:val="center"/>
          </w:tcPr>
          <w:p>
            <w:pPr>
              <w:pStyle w:val="10"/>
            </w:pPr>
            <w:r>
              <w:t>二级指标</w:t>
            </w:r>
          </w:p>
        </w:tc>
        <w:tc>
          <w:tcPr>
            <w:tcW w:w="2835" w:type="dxa"/>
            <w:vAlign w:val="center"/>
          </w:tcPr>
          <w:p>
            <w:pPr>
              <w:pStyle w:val="10"/>
            </w:pPr>
            <w:r>
              <w:t>三级指标</w:t>
            </w:r>
          </w:p>
        </w:tc>
        <w:tc>
          <w:tcPr>
            <w:tcW w:w="2835" w:type="dxa"/>
            <w:vAlign w:val="center"/>
          </w:tcPr>
          <w:p>
            <w:pPr>
              <w:pStyle w:val="10"/>
            </w:pPr>
            <w:r>
              <w:t>绩效指标描述</w:t>
            </w:r>
          </w:p>
        </w:tc>
        <w:tc>
          <w:tcPr>
            <w:tcW w:w="2551" w:type="dxa"/>
            <w:vAlign w:val="center"/>
          </w:tcPr>
          <w:p>
            <w:pPr>
              <w:pStyle w:val="10"/>
            </w:pPr>
            <w:r>
              <w:t>指标值</w:t>
            </w:r>
          </w:p>
        </w:tc>
        <w:tc>
          <w:tcPr>
            <w:tcW w:w="2268"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产出指标</w:t>
            </w:r>
          </w:p>
        </w:tc>
        <w:tc>
          <w:tcPr>
            <w:tcW w:w="2268" w:type="dxa"/>
            <w:vAlign w:val="center"/>
          </w:tcPr>
          <w:p>
            <w:pPr>
              <w:pStyle w:val="12"/>
            </w:pPr>
            <w:r>
              <w:t>数量指标</w:t>
            </w:r>
          </w:p>
        </w:tc>
        <w:tc>
          <w:tcPr>
            <w:tcW w:w="2835" w:type="dxa"/>
            <w:vAlign w:val="center"/>
          </w:tcPr>
          <w:p>
            <w:pPr>
              <w:pStyle w:val="12"/>
            </w:pPr>
            <w:r>
              <w:t>聘用技术人员次数</w:t>
            </w:r>
          </w:p>
        </w:tc>
        <w:tc>
          <w:tcPr>
            <w:tcW w:w="2835" w:type="dxa"/>
            <w:vAlign w:val="center"/>
          </w:tcPr>
          <w:p>
            <w:pPr>
              <w:pStyle w:val="12"/>
            </w:pPr>
            <w:r>
              <w:t>对网络进行维护聘用技术人员次数</w:t>
            </w:r>
          </w:p>
        </w:tc>
        <w:tc>
          <w:tcPr>
            <w:tcW w:w="2551" w:type="dxa"/>
            <w:vAlign w:val="center"/>
          </w:tcPr>
          <w:p>
            <w:pPr>
              <w:pStyle w:val="12"/>
            </w:pPr>
            <w:r>
              <w:t>4次</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质量指标</w:t>
            </w:r>
          </w:p>
        </w:tc>
        <w:tc>
          <w:tcPr>
            <w:tcW w:w="2835" w:type="dxa"/>
            <w:vAlign w:val="center"/>
          </w:tcPr>
          <w:p>
            <w:pPr>
              <w:pStyle w:val="12"/>
            </w:pPr>
            <w:r>
              <w:t>维护网络达标率</w:t>
            </w:r>
          </w:p>
        </w:tc>
        <w:tc>
          <w:tcPr>
            <w:tcW w:w="2835" w:type="dxa"/>
            <w:vAlign w:val="center"/>
          </w:tcPr>
          <w:p>
            <w:pPr>
              <w:pStyle w:val="12"/>
            </w:pPr>
            <w:r>
              <w:t>聘用技术人员对网络进行维护合格率</w:t>
            </w:r>
          </w:p>
        </w:tc>
        <w:tc>
          <w:tcPr>
            <w:tcW w:w="2551" w:type="dxa"/>
            <w:vAlign w:val="center"/>
          </w:tcPr>
          <w:p>
            <w:pPr>
              <w:pStyle w:val="12"/>
            </w:pPr>
            <w:r>
              <w:t>≥99%</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时效指标</w:t>
            </w:r>
          </w:p>
        </w:tc>
        <w:tc>
          <w:tcPr>
            <w:tcW w:w="2835" w:type="dxa"/>
            <w:vAlign w:val="center"/>
          </w:tcPr>
          <w:p>
            <w:pPr>
              <w:pStyle w:val="12"/>
            </w:pPr>
            <w:r>
              <w:t>维护时间</w:t>
            </w:r>
          </w:p>
        </w:tc>
        <w:tc>
          <w:tcPr>
            <w:tcW w:w="2835" w:type="dxa"/>
            <w:vAlign w:val="center"/>
          </w:tcPr>
          <w:p>
            <w:pPr>
              <w:pStyle w:val="12"/>
            </w:pPr>
            <w:r>
              <w:t>对网络进行维护时间安排，2022年底完成4次维护</w:t>
            </w:r>
          </w:p>
        </w:tc>
        <w:tc>
          <w:tcPr>
            <w:tcW w:w="2551" w:type="dxa"/>
            <w:vAlign w:val="center"/>
          </w:tcPr>
          <w:p>
            <w:pPr>
              <w:pStyle w:val="12"/>
            </w:pPr>
            <w:r>
              <w:t>2022年底完成4次维护</w:t>
            </w:r>
          </w:p>
          <w:p>
            <w:pPr>
              <w:pStyle w:val="12"/>
            </w:pP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成本指标</w:t>
            </w:r>
          </w:p>
        </w:tc>
        <w:tc>
          <w:tcPr>
            <w:tcW w:w="2835" w:type="dxa"/>
            <w:vAlign w:val="center"/>
          </w:tcPr>
          <w:p>
            <w:pPr>
              <w:pStyle w:val="12"/>
            </w:pPr>
            <w:r>
              <w:t>网络维护所需费用</w:t>
            </w:r>
          </w:p>
        </w:tc>
        <w:tc>
          <w:tcPr>
            <w:tcW w:w="2835" w:type="dxa"/>
            <w:vAlign w:val="center"/>
          </w:tcPr>
          <w:p>
            <w:pPr>
              <w:pStyle w:val="12"/>
            </w:pPr>
            <w:r>
              <w:t>网络维护所需费用</w:t>
            </w:r>
          </w:p>
        </w:tc>
        <w:tc>
          <w:tcPr>
            <w:tcW w:w="2551" w:type="dxa"/>
            <w:vAlign w:val="center"/>
          </w:tcPr>
          <w:p>
            <w:pPr>
              <w:pStyle w:val="12"/>
            </w:pPr>
            <w:r>
              <w:t>≤7万元</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3"/>
            </w:pPr>
            <w:r>
              <w:t>效益指标</w:t>
            </w:r>
          </w:p>
        </w:tc>
        <w:tc>
          <w:tcPr>
            <w:tcW w:w="2268" w:type="dxa"/>
            <w:vAlign w:val="center"/>
          </w:tcPr>
          <w:p>
            <w:pPr>
              <w:pStyle w:val="12"/>
            </w:pPr>
            <w:r>
              <w:t>经济效益指标</w:t>
            </w:r>
          </w:p>
        </w:tc>
        <w:tc>
          <w:tcPr>
            <w:tcW w:w="2835" w:type="dxa"/>
            <w:vAlign w:val="center"/>
          </w:tcPr>
          <w:p>
            <w:pPr>
              <w:pStyle w:val="12"/>
            </w:pPr>
            <w:r>
              <w:t>方便群众查阅利用</w:t>
            </w:r>
          </w:p>
        </w:tc>
        <w:tc>
          <w:tcPr>
            <w:tcW w:w="2835" w:type="dxa"/>
            <w:vAlign w:val="center"/>
          </w:tcPr>
          <w:p>
            <w:pPr>
              <w:pStyle w:val="12"/>
            </w:pPr>
            <w:r>
              <w:t>方便群众查阅利用</w:t>
            </w:r>
          </w:p>
        </w:tc>
        <w:tc>
          <w:tcPr>
            <w:tcW w:w="2551" w:type="dxa"/>
            <w:vAlign w:val="center"/>
          </w:tcPr>
          <w:p>
            <w:pPr>
              <w:pStyle w:val="12"/>
            </w:pPr>
            <w:r>
              <w:t>群众查阅利用</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2"/>
            </w:pPr>
            <w:r>
              <w:t>社会效益指标</w:t>
            </w:r>
          </w:p>
        </w:tc>
        <w:tc>
          <w:tcPr>
            <w:tcW w:w="2835" w:type="dxa"/>
            <w:vAlign w:val="center"/>
          </w:tcPr>
          <w:p>
            <w:pPr>
              <w:pStyle w:val="12"/>
            </w:pPr>
            <w:r>
              <w:t>数字化档案便于保存、长期利用</w:t>
            </w:r>
          </w:p>
        </w:tc>
        <w:tc>
          <w:tcPr>
            <w:tcW w:w="2835" w:type="dxa"/>
            <w:vAlign w:val="center"/>
          </w:tcPr>
          <w:p>
            <w:pPr>
              <w:pStyle w:val="12"/>
            </w:pPr>
            <w:r>
              <w:t>数字化档案便于保存、长期利用</w:t>
            </w:r>
          </w:p>
        </w:tc>
        <w:tc>
          <w:tcPr>
            <w:tcW w:w="2551" w:type="dxa"/>
            <w:vAlign w:val="center"/>
          </w:tcPr>
          <w:p>
            <w:pPr>
              <w:pStyle w:val="12"/>
            </w:pPr>
            <w:r>
              <w:t>档案长期保存利用</w:t>
            </w:r>
          </w:p>
        </w:tc>
        <w:tc>
          <w:tcPr>
            <w:tcW w:w="2268" w:type="dxa"/>
            <w:vAlign w:val="center"/>
          </w:tcPr>
          <w:p>
            <w:pPr>
              <w:pStyle w:val="12"/>
            </w:pPr>
            <w:r>
              <w:t>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3"/>
            </w:pPr>
            <w:r>
              <w:t>满意度指标</w:t>
            </w:r>
          </w:p>
        </w:tc>
        <w:tc>
          <w:tcPr>
            <w:tcW w:w="2268" w:type="dxa"/>
            <w:vAlign w:val="center"/>
          </w:tcPr>
          <w:p>
            <w:pPr>
              <w:pStyle w:val="12"/>
            </w:pPr>
            <w:r>
              <w:t>服务对象满意度指标</w:t>
            </w:r>
          </w:p>
        </w:tc>
        <w:tc>
          <w:tcPr>
            <w:tcW w:w="2835" w:type="dxa"/>
            <w:vAlign w:val="center"/>
          </w:tcPr>
          <w:p>
            <w:pPr>
              <w:pStyle w:val="12"/>
            </w:pPr>
            <w:r>
              <w:t>群众满意度</w:t>
            </w:r>
          </w:p>
        </w:tc>
        <w:tc>
          <w:tcPr>
            <w:tcW w:w="2835" w:type="dxa"/>
            <w:vAlign w:val="center"/>
          </w:tcPr>
          <w:p>
            <w:pPr>
              <w:pStyle w:val="12"/>
            </w:pPr>
            <w:r>
              <w:t>受益i群众满意度</w:t>
            </w:r>
          </w:p>
        </w:tc>
        <w:tc>
          <w:tcPr>
            <w:tcW w:w="2551" w:type="dxa"/>
            <w:vAlign w:val="center"/>
          </w:tcPr>
          <w:p>
            <w:pPr>
              <w:pStyle w:val="12"/>
            </w:pPr>
            <w:r>
              <w:t>≥95%</w:t>
            </w:r>
          </w:p>
        </w:tc>
        <w:tc>
          <w:tcPr>
            <w:tcW w:w="2268" w:type="dxa"/>
            <w:vAlign w:val="center"/>
          </w:tcPr>
          <w:p>
            <w:pPr>
              <w:pStyle w:val="12"/>
            </w:pPr>
            <w:r>
              <w:t>年度工作计划</w:t>
            </w:r>
          </w:p>
        </w:tc>
      </w:tr>
    </w:tbl>
    <w:p>
      <w:pPr>
        <w:sectPr>
          <w:pgSz w:w="16840" w:h="11900" w:orient="landscape"/>
          <w:pgMar w:top="1361" w:right="1020" w:bottom="1134"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2023年，魏县档案馆本级安排政府采购预算0.00万元。具体内容见下表。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241001魏县档案馆本级</w:t>
            </w:r>
          </w:p>
        </w:tc>
        <w:tc>
          <w:tcPr>
            <w:tcW w:w="867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p>
        </w:tc>
        <w:tc>
          <w:tcPr>
            <w:tcW w:w="964" w:type="dxa"/>
            <w:vAlign w:val="center"/>
          </w:tcPr>
          <w:p>
            <w:pPr>
              <w:pStyle w:val="11"/>
            </w:pPr>
          </w:p>
        </w:tc>
        <w:tc>
          <w:tcPr>
            <w:tcW w:w="1134" w:type="dxa"/>
            <w:vAlign w:val="center"/>
          </w:tcPr>
          <w:p>
            <w:pPr>
              <w:pStyle w:val="12"/>
            </w:pPr>
          </w:p>
        </w:tc>
        <w:tc>
          <w:tcPr>
            <w:tcW w:w="1134" w:type="dxa"/>
            <w:vAlign w:val="center"/>
          </w:tcPr>
          <w:p>
            <w:pPr>
              <w:pStyle w:val="12"/>
            </w:pPr>
          </w:p>
        </w:tc>
        <w:tc>
          <w:tcPr>
            <w:tcW w:w="709" w:type="dxa"/>
            <w:vAlign w:val="center"/>
          </w:tcPr>
          <w:p>
            <w:pPr>
              <w:pStyle w:val="13"/>
            </w:pPr>
          </w:p>
        </w:tc>
        <w:tc>
          <w:tcPr>
            <w:tcW w:w="850" w:type="dxa"/>
            <w:vAlign w:val="center"/>
          </w:tcPr>
          <w:p>
            <w:pPr>
              <w:pStyle w:val="11"/>
            </w:pPr>
          </w:p>
        </w:tc>
        <w:tc>
          <w:tcPr>
            <w:tcW w:w="850"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魏县档案馆本级上年末固定资产金额为</w:t>
      </w:r>
      <w:r>
        <w:rPr>
          <w:rFonts w:hint="eastAsia" w:eastAsia="方正仿宋_GBK"/>
          <w:color w:val="000000"/>
          <w:sz w:val="28"/>
          <w:lang w:val="en-US" w:eastAsia="zh-CN"/>
        </w:rPr>
        <w:t>77.9</w:t>
      </w:r>
      <w:r>
        <w:rPr>
          <w:rFonts w:eastAsia="方正仿宋_GBK"/>
          <w:color w:val="000000"/>
          <w:sz w:val="28"/>
        </w:rPr>
        <w:t>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241001魏县档案馆本级</w:t>
            </w:r>
          </w:p>
        </w:tc>
        <w:tc>
          <w:tcPr>
            <w:tcW w:w="5670" w:type="dxa"/>
            <w:gridSpan w:val="2"/>
            <w:tcBorders>
              <w:top w:val="single" w:color="FFFFFF" w:sz="6" w:space="0"/>
              <w:left w:val="single" w:color="FFFFFF" w:sz="6" w:space="0"/>
              <w:right w:val="single" w:color="FFFFFF" w:sz="6" w:space="0"/>
            </w:tcBorders>
            <w:vAlign w:val="center"/>
          </w:tcPr>
          <w:p>
            <w:pPr>
              <w:pStyle w:val="7"/>
            </w:pPr>
            <w:r>
              <w:t>截止时间：2022-12-31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rPr>
                <w:rFonts w:ascii="方正书宋_GBK" w:hAnsi="方正书宋_GBK" w:eastAsia="方正书宋_GBK" w:cs="方正书宋_GBK"/>
                <w:sz w:val="21"/>
                <w:szCs w:val="24"/>
                <w:lang w:val="en-US" w:eastAsia="uk-UA" w:bidi="ar-SA"/>
              </w:rPr>
            </w:pPr>
            <w:r>
              <w:rPr>
                <w:rFonts w:hint="eastAsia"/>
              </w:rPr>
              <w:t>资产总额</w:t>
            </w:r>
          </w:p>
        </w:tc>
        <w:tc>
          <w:tcPr>
            <w:tcW w:w="2835" w:type="dxa"/>
            <w:vAlign w:val="center"/>
          </w:tcPr>
          <w:p>
            <w:pPr>
              <w:pStyle w:val="13"/>
              <w:rPr>
                <w:rFonts w:ascii="方正书宋_GBK" w:hAnsi="方正书宋_GBK" w:eastAsia="方正书宋_GBK" w:cs="方正书宋_GBK"/>
                <w:sz w:val="21"/>
                <w:szCs w:val="24"/>
                <w:lang w:val="en-US" w:eastAsia="uk-UA" w:bidi="ar-SA"/>
              </w:rPr>
            </w:pPr>
          </w:p>
        </w:tc>
        <w:tc>
          <w:tcPr>
            <w:tcW w:w="2835" w:type="dxa"/>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77.9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0" w:type="auto"/>
            <w:vAlign w:val="center"/>
          </w:tcPr>
          <w:p>
            <w:pPr>
              <w:pStyle w:val="12"/>
              <w:rPr>
                <w:rFonts w:ascii="方正书宋_GBK" w:hAnsi="方正书宋_GBK" w:eastAsia="方正书宋_GBK" w:cs="方正书宋_GBK"/>
                <w:sz w:val="21"/>
                <w:szCs w:val="24"/>
                <w:lang w:val="en-US" w:eastAsia="uk-UA" w:bidi="ar-SA"/>
              </w:rPr>
            </w:pPr>
            <w:r>
              <w:t>1</w:t>
            </w:r>
            <w:r>
              <w:rPr>
                <w:rFonts w:hint="eastAsia"/>
              </w:rPr>
              <w:t>、房屋（平方米）</w:t>
            </w:r>
          </w:p>
        </w:tc>
        <w:tc>
          <w:tcPr>
            <w:tcW w:w="0" w:type="auto"/>
            <w:vAlign w:val="center"/>
          </w:tcPr>
          <w:p>
            <w:pPr>
              <w:pStyle w:val="13"/>
              <w:rPr>
                <w:rFonts w:ascii="方正书宋_GBK" w:hAnsi="方正书宋_GBK" w:eastAsia="方正书宋_GBK" w:cs="方正书宋_GBK"/>
                <w:sz w:val="21"/>
                <w:szCs w:val="24"/>
                <w:lang w:val="en-US" w:eastAsia="uk-UA" w:bidi="ar-SA"/>
              </w:rPr>
            </w:pPr>
          </w:p>
        </w:tc>
        <w:tc>
          <w:tcPr>
            <w:tcW w:w="0" w:type="auto"/>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2"/>
              <w:rPr>
                <w:rFonts w:ascii="方正书宋_GBK" w:hAnsi="方正书宋_GBK" w:eastAsia="方正书宋_GBK" w:cs="方正书宋_GBK"/>
                <w:sz w:val="21"/>
                <w:szCs w:val="24"/>
                <w:lang w:val="en-US" w:eastAsia="uk-UA" w:bidi="ar-SA"/>
              </w:rPr>
            </w:pPr>
            <w:r>
              <w:rPr>
                <w:rFonts w:hint="eastAsia"/>
              </w:rPr>
              <w:t>　　其中：办公用房（平方米）</w:t>
            </w:r>
          </w:p>
        </w:tc>
        <w:tc>
          <w:tcPr>
            <w:tcW w:w="0" w:type="auto"/>
            <w:vAlign w:val="center"/>
          </w:tcPr>
          <w:p>
            <w:pPr>
              <w:pStyle w:val="13"/>
              <w:rPr>
                <w:rFonts w:ascii="方正书宋_GBK" w:hAnsi="方正书宋_GBK" w:eastAsia="方正书宋_GBK" w:cs="方正书宋_GBK"/>
                <w:sz w:val="21"/>
                <w:szCs w:val="24"/>
                <w:lang w:val="en-US" w:eastAsia="uk-UA" w:bidi="ar-SA"/>
              </w:rPr>
            </w:pPr>
          </w:p>
        </w:tc>
        <w:tc>
          <w:tcPr>
            <w:tcW w:w="0" w:type="auto"/>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2"/>
              <w:rPr>
                <w:rFonts w:ascii="方正书宋_GBK" w:hAnsi="方正书宋_GBK" w:eastAsia="方正书宋_GBK" w:cs="方正书宋_GBK"/>
                <w:sz w:val="21"/>
                <w:szCs w:val="24"/>
                <w:lang w:val="en-US" w:eastAsia="uk-UA" w:bidi="ar-SA"/>
              </w:rPr>
            </w:pPr>
            <w:r>
              <w:t>2</w:t>
            </w:r>
            <w:r>
              <w:rPr>
                <w:rFonts w:hint="eastAsia"/>
              </w:rPr>
              <w:t>、车辆（台、辆）</w:t>
            </w:r>
          </w:p>
        </w:tc>
        <w:tc>
          <w:tcPr>
            <w:tcW w:w="0" w:type="auto"/>
            <w:vAlign w:val="center"/>
          </w:tcPr>
          <w:p>
            <w:pPr>
              <w:pStyle w:val="13"/>
              <w:rPr>
                <w:rFonts w:ascii="方正书宋_GBK" w:hAnsi="方正书宋_GBK" w:eastAsia="方正书宋_GBK" w:cs="方正书宋_GBK"/>
                <w:sz w:val="21"/>
                <w:szCs w:val="24"/>
                <w:lang w:val="en-US" w:eastAsia="zh-CN" w:bidi="ar-SA"/>
              </w:rPr>
            </w:pPr>
          </w:p>
        </w:tc>
        <w:tc>
          <w:tcPr>
            <w:tcW w:w="0" w:type="auto"/>
            <w:vAlign w:val="center"/>
          </w:tcPr>
          <w:p>
            <w:pPr>
              <w:pStyle w:val="11"/>
              <w:rPr>
                <w:rFonts w:ascii="方正书宋_GBK" w:hAnsi="方正书宋_GBK" w:eastAsia="方正书宋_GBK" w:cs="方正书宋_GBK"/>
                <w:sz w:val="21"/>
                <w:szCs w:val="24"/>
                <w:lang w:val="en-US" w:eastAsia="zh-CN"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2"/>
              <w:rPr>
                <w:rFonts w:ascii="方正书宋_GBK" w:hAnsi="方正书宋_GBK" w:eastAsia="方正书宋_GBK" w:cs="方正书宋_GBK"/>
                <w:sz w:val="21"/>
                <w:szCs w:val="24"/>
                <w:lang w:val="en-US" w:eastAsia="uk-UA" w:bidi="ar-SA"/>
              </w:rPr>
            </w:pPr>
            <w:r>
              <w:t>3</w:t>
            </w:r>
            <w:r>
              <w:rPr>
                <w:rFonts w:hint="eastAsia"/>
              </w:rPr>
              <w:t>、单价在</w:t>
            </w:r>
            <w:r>
              <w:t>20</w:t>
            </w:r>
            <w:r>
              <w:rPr>
                <w:rFonts w:hint="eastAsia"/>
              </w:rPr>
              <w:t>万元以上的设备</w:t>
            </w:r>
          </w:p>
        </w:tc>
        <w:tc>
          <w:tcPr>
            <w:tcW w:w="0" w:type="auto"/>
            <w:vAlign w:val="center"/>
          </w:tcPr>
          <w:p>
            <w:pPr>
              <w:pStyle w:val="13"/>
              <w:rPr>
                <w:rFonts w:ascii="方正书宋_GBK" w:hAnsi="方正书宋_GBK" w:eastAsia="方正书宋_GBK" w:cs="方正书宋_GBK"/>
                <w:sz w:val="21"/>
                <w:szCs w:val="24"/>
                <w:lang w:val="en-US" w:eastAsia="uk-UA" w:bidi="ar-SA"/>
              </w:rPr>
            </w:pPr>
          </w:p>
        </w:tc>
        <w:tc>
          <w:tcPr>
            <w:tcW w:w="0" w:type="auto"/>
            <w:vAlign w:val="center"/>
          </w:tcPr>
          <w:p>
            <w:pPr>
              <w:pStyle w:val="11"/>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0" w:type="auto"/>
            <w:vAlign w:val="center"/>
          </w:tcPr>
          <w:p>
            <w:pPr>
              <w:pStyle w:val="12"/>
              <w:rPr>
                <w:rFonts w:ascii="方正书宋_GBK" w:hAnsi="方正书宋_GBK" w:eastAsia="方正书宋_GBK" w:cs="方正书宋_GBK"/>
                <w:sz w:val="21"/>
                <w:szCs w:val="24"/>
                <w:lang w:val="en-US" w:eastAsia="uk-UA" w:bidi="ar-SA"/>
              </w:rPr>
            </w:pPr>
            <w:r>
              <w:t>4</w:t>
            </w:r>
            <w:r>
              <w:rPr>
                <w:rFonts w:hint="eastAsia"/>
              </w:rPr>
              <w:t>、其他固定资产</w:t>
            </w:r>
          </w:p>
        </w:tc>
        <w:tc>
          <w:tcPr>
            <w:tcW w:w="0" w:type="auto"/>
            <w:vAlign w:val="center"/>
          </w:tcPr>
          <w:p>
            <w:pPr>
              <w:pStyle w:val="13"/>
              <w:rPr>
                <w:rFonts w:ascii="方正书宋_GBK" w:hAnsi="方正书宋_GBK" w:eastAsia="方正书宋_GBK" w:cs="方正书宋_GBK"/>
                <w:sz w:val="21"/>
                <w:szCs w:val="24"/>
                <w:lang w:val="en-US" w:eastAsia="uk-UA" w:bidi="ar-SA"/>
              </w:rPr>
            </w:pPr>
          </w:p>
        </w:tc>
        <w:tc>
          <w:tcPr>
            <w:tcW w:w="0" w:type="auto"/>
            <w:vAlign w:val="center"/>
          </w:tcPr>
          <w:p>
            <w:pPr>
              <w:pStyle w:val="11"/>
              <w:rPr>
                <w:rFonts w:hint="default" w:ascii="方正书宋_GBK" w:hAnsi="方正书宋_GBK" w:eastAsia="方正书宋_GBK" w:cs="方正书宋_GBK"/>
                <w:sz w:val="21"/>
                <w:szCs w:val="24"/>
                <w:lang w:val="en-US" w:eastAsia="zh-CN" w:bidi="ar-SA"/>
              </w:rPr>
            </w:pPr>
            <w:r>
              <w:rPr>
                <w:rFonts w:hint="eastAsia"/>
                <w:lang w:val="en-US" w:eastAsia="zh-CN"/>
              </w:rPr>
              <w:t>77.9</w:t>
            </w:r>
          </w:p>
        </w:tc>
      </w:tr>
    </w:tbl>
    <w:p>
      <w:pPr>
        <w:ind w:firstLine="420"/>
      </w:pPr>
    </w:p>
    <w:p>
      <w:pPr>
        <w:ind w:firstLine="640"/>
      </w:pPr>
      <w:r>
        <w:rPr>
          <w:rFonts w:eastAsia="方正仿宋_GBK"/>
          <w:color w:val="000000"/>
          <w:sz w:val="32"/>
        </w:rPr>
        <w:t xml:space="preserve"> </w:t>
      </w: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000000"/>
    <w:rsid w:val="772F1F37"/>
    <w:rsid w:val="DEF76329"/>
    <w:rsid w:val="FFEFA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34"/>
    <w:qFormat/>
    <w:uiPriority w:val="99"/>
    <w:pPr>
      <w:tabs>
        <w:tab w:val="center" w:pos="4153"/>
        <w:tab w:val="right" w:pos="8306"/>
      </w:tabs>
      <w:snapToGrid w:val="0"/>
    </w:pPr>
    <w:rPr>
      <w:sz w:val="18"/>
      <w:szCs w:val="18"/>
    </w:rPr>
  </w:style>
  <w:style w:type="paragraph" w:styleId="3">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目录 21"/>
    <w:basedOn w:val="1"/>
    <w:qFormat/>
    <w:uiPriority w:val="0"/>
    <w:pPr>
      <w:ind w:left="240"/>
    </w:pPr>
  </w:style>
  <w:style w:type="paragraph" w:customStyle="1" w:styleId="30">
    <w:name w:val="目录 31"/>
    <w:basedOn w:val="1"/>
    <w:qFormat/>
    <w:uiPriority w:val="0"/>
    <w:pPr>
      <w:ind w:left="480"/>
    </w:pPr>
  </w:style>
  <w:style w:type="paragraph" w:customStyle="1" w:styleId="31">
    <w:name w:val="目录 41"/>
    <w:basedOn w:val="1"/>
    <w:qFormat/>
    <w:uiPriority w:val="0"/>
    <w:pPr>
      <w:ind w:left="720"/>
    </w:pPr>
  </w:style>
  <w:style w:type="paragraph" w:customStyle="1" w:styleId="32">
    <w:name w:val="目录 11"/>
    <w:basedOn w:val="1"/>
    <w:qFormat/>
    <w:uiPriority w:val="0"/>
    <w:pPr>
      <w:spacing w:before="120"/>
      <w:ind w:firstLine="560"/>
    </w:pPr>
    <w:rPr>
      <w:rFonts w:eastAsia="方正仿宋_GBK"/>
      <w:color w:val="000000"/>
      <w:sz w:val="28"/>
    </w:rPr>
  </w:style>
  <w:style w:type="character" w:customStyle="1" w:styleId="33">
    <w:name w:val="页眉 Char"/>
    <w:basedOn w:val="6"/>
    <w:link w:val="3"/>
    <w:qFormat/>
    <w:uiPriority w:val="99"/>
    <w:rPr>
      <w:rFonts w:eastAsia="Times New Roman"/>
      <w:sz w:val="18"/>
      <w:szCs w:val="18"/>
      <w:lang w:eastAsia="uk-UA"/>
    </w:rPr>
  </w:style>
  <w:style w:type="character" w:customStyle="1" w:styleId="34">
    <w:name w:val="页脚 Char"/>
    <w:basedOn w:val="6"/>
    <w:link w:val="2"/>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5125</Words>
  <Characters>6097</Characters>
  <Paragraphs>1609</Paragraphs>
  <TotalTime>2</TotalTime>
  <ScaleCrop>false</ScaleCrop>
  <LinksUpToDate>false</LinksUpToDate>
  <CharactersWithSpaces>6243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2023-08-19T11:12:00Z</dcterms:created>
  <dc:creator>Administrator</dc:creator>
  <cp:lastModifiedBy>wxak</cp:lastModifiedBy>
  <dcterms:modified xsi:type="dcterms:W3CDTF">2026-05-21T18:02:18Z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109514326F0B4622BFE3F04E3752990B_13</vt:lpwstr>
  </property>
</Properties>
</file>