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8" w:name="_GoBack"/>
      <w:bookmarkEnd w:id="18"/>
      <w:r>
        <w:rPr>
          <w:rFonts w:ascii="黑体" w:hAnsi="黑体" w:eastAsia="黑体" w:cs="黑体"/>
          <w:b/>
          <w:color w:val="000000"/>
          <w:sz w:val="44"/>
        </w:rPr>
        <w:t>2022年部门预算信息公开目录</w:t>
      </w:r>
    </w:p>
    <w:p>
      <w:pPr>
        <w:jc w:val="center"/>
      </w:pPr>
      <w:r>
        <w:rPr>
          <w:rFonts w:ascii="黑体" w:hAnsi="黑体" w:eastAsia="黑体" w:cs="黑体"/>
          <w:b/>
          <w:color w:val="000000"/>
          <w:sz w:val="30"/>
        </w:rPr>
        <w:t xml:space="preserve"> </w:t>
      </w:r>
    </w:p>
    <w:p>
      <w:pPr>
        <w:jc w:val="center"/>
      </w:pPr>
      <w:r>
        <w:rPr>
          <w:rFonts w:ascii="黑体" w:hAnsi="黑体" w:eastAsia="黑体" w:cs="黑体"/>
          <w:b/>
          <w:color w:val="000000"/>
          <w:sz w:val="30"/>
        </w:rPr>
        <w:t>第一部分  部门预算</w:t>
      </w:r>
    </w:p>
    <w:p>
      <w:r>
        <w:rPr>
          <w:rFonts w:ascii="方正楷体_GBK" w:hAnsi="方正楷体_GBK" w:eastAsia="方正楷体_GBK" w:cs="方正楷体_GBK"/>
          <w:b/>
          <w:color w:val="000000"/>
          <w:sz w:val="28"/>
        </w:rPr>
        <w:t>部门预算公开表</w:t>
      </w:r>
    </w:p>
    <w:p>
      <w:pPr>
        <w:pStyle w:val="32"/>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4</w:t>
      </w:r>
      <w:r>
        <w:fldChar w:fldCharType="end"/>
      </w:r>
      <w:r>
        <w:fldChar w:fldCharType="end"/>
      </w:r>
    </w:p>
    <w:p>
      <w:pPr>
        <w:pStyle w:val="32"/>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6</w:t>
      </w:r>
      <w:r>
        <w:fldChar w:fldCharType="end"/>
      </w:r>
      <w:r>
        <w:fldChar w:fldCharType="end"/>
      </w:r>
    </w:p>
    <w:p>
      <w:pPr>
        <w:pStyle w:val="32"/>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pPr>
        <w:pStyle w:val="32"/>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pPr>
        <w:pStyle w:val="32"/>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pPr>
        <w:pStyle w:val="32"/>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pPr>
        <w:pStyle w:val="32"/>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12</w:t>
      </w:r>
      <w:r>
        <w:fldChar w:fldCharType="end"/>
      </w:r>
      <w:r>
        <w:fldChar w:fldCharType="end"/>
      </w:r>
    </w:p>
    <w:p>
      <w:pPr>
        <w:pStyle w:val="32"/>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pPr>
        <w:pStyle w:val="32"/>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32"/>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pPr>
        <w:pStyle w:val="32"/>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pPr>
        <w:pStyle w:val="32"/>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pPr>
        <w:pStyle w:val="32"/>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pPr>
        <w:pStyle w:val="32"/>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17</w:t>
      </w:r>
      <w:r>
        <w:fldChar w:fldCharType="end"/>
      </w:r>
      <w:r>
        <w:fldChar w:fldCharType="end"/>
      </w:r>
    </w:p>
    <w:p>
      <w:pPr>
        <w:pStyle w:val="32"/>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23</w:t>
      </w:r>
      <w:r>
        <w:fldChar w:fldCharType="end"/>
      </w:r>
      <w:r>
        <w:fldChar w:fldCharType="end"/>
      </w:r>
    </w:p>
    <w:p>
      <w:pPr>
        <w:pStyle w:val="32"/>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23</w:t>
      </w:r>
      <w:r>
        <w:fldChar w:fldCharType="end"/>
      </w:r>
      <w:r>
        <w:fldChar w:fldCharType="end"/>
      </w:r>
    </w:p>
    <w:p>
      <w:pPr>
        <w:pStyle w:val="32"/>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23</w:t>
      </w:r>
      <w:r>
        <w:fldChar w:fldCharType="end"/>
      </w:r>
      <w:r>
        <w:fldChar w:fldCharType="end"/>
      </w:r>
    </w:p>
    <w:p>
      <w:pPr>
        <w:pStyle w:val="32"/>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24</w:t>
      </w:r>
      <w:r>
        <w:fldChar w:fldCharType="end"/>
      </w:r>
      <w:r>
        <w:fldChar w:fldCharType="end"/>
      </w:r>
    </w:p>
    <w:p>
      <w:r>
        <w:fldChar w:fldCharType="end"/>
      </w:r>
    </w:p>
    <w:p>
      <w:pPr>
        <w:jc w:val="center"/>
        <w:rPr>
          <w:rFonts w:hint="eastAsia" w:ascii="黑体" w:hAnsi="黑体" w:eastAsia="黑体" w:cs="黑体"/>
          <w:b/>
          <w:color w:val="000000"/>
          <w:sz w:val="30"/>
          <w:lang w:val="en-US" w:eastAsia="zh-CN"/>
        </w:rPr>
      </w:pPr>
      <w:r>
        <w:rPr>
          <w:rFonts w:hint="eastAsia" w:ascii="黑体" w:hAnsi="黑体" w:eastAsia="黑体" w:cs="黑体"/>
          <w:b/>
          <w:color w:val="000000"/>
          <w:sz w:val="30"/>
          <w:lang w:val="en-US" w:eastAsia="zh-CN"/>
        </w:rPr>
        <w:t xml:space="preserve"> </w:t>
      </w: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rPr>
          <w:rFonts w:hint="eastAsia" w:ascii="黑体" w:hAnsi="黑体" w:eastAsia="黑体" w:cs="黑体"/>
          <w:b/>
          <w:color w:val="000000"/>
          <w:sz w:val="30"/>
          <w:lang w:val="en-US" w:eastAsia="zh-CN"/>
        </w:rPr>
      </w:pP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rPr>
          <w:rFonts w:ascii="方正小标宋_GBK" w:hAnsi="方正小标宋_GBK" w:eastAsia="方正小标宋_GBK" w:cs="方正小标宋_GBK"/>
          <w:color w:val="000000"/>
          <w:sz w:val="72"/>
        </w:rPr>
      </w:pPr>
    </w:p>
    <w:p>
      <w:pPr>
        <w:jc w:val="center"/>
        <w:outlineLvl w:val="0"/>
        <w:rPr>
          <w:rFonts w:ascii="方正小标宋_GBK" w:hAnsi="方正小标宋_GBK" w:eastAsia="方正小标宋_GBK" w:cs="方正小标宋_GBK"/>
          <w:color w:val="000000"/>
          <w:sz w:val="72"/>
        </w:rPr>
      </w:pPr>
    </w:p>
    <w:p>
      <w:pPr>
        <w:jc w:val="center"/>
        <w:outlineLvl w:val="0"/>
        <w:rPr>
          <w:rFonts w:ascii="方正小标宋_GBK" w:hAnsi="方正小标宋_GBK" w:eastAsia="方正小标宋_GBK" w:cs="方正小标宋_GBK"/>
          <w:color w:val="000000"/>
          <w:sz w:val="72"/>
        </w:rPr>
      </w:pP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410魏县统计局</w:t>
            </w:r>
          </w:p>
        </w:tc>
        <w:tc>
          <w:tcPr>
            <w:tcW w:w="2126" w:type="dxa"/>
            <w:tcBorders>
              <w:top w:val="single" w:color="FFFFFF" w:sz="6" w:space="0"/>
              <w:left w:val="single" w:color="FFFFFF" w:sz="6" w:space="0"/>
              <w:right w:val="single" w:color="FFFFFF" w:sz="6" w:space="0"/>
            </w:tcBorders>
            <w:vAlign w:val="center"/>
          </w:tcPr>
          <w:p>
            <w:pPr>
              <w:pStyle w:val="8"/>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317.26</w:t>
            </w:r>
          </w:p>
        </w:tc>
        <w:tc>
          <w:tcPr>
            <w:tcW w:w="4535" w:type="dxa"/>
            <w:vAlign w:val="center"/>
          </w:tcPr>
          <w:p>
            <w:pPr>
              <w:pStyle w:val="12"/>
            </w:pPr>
            <w:r>
              <w:t>一、一般公共服务支出</w:t>
            </w:r>
          </w:p>
        </w:tc>
        <w:tc>
          <w:tcPr>
            <w:tcW w:w="2126" w:type="dxa"/>
            <w:vAlign w:val="center"/>
          </w:tcPr>
          <w:p>
            <w:pPr>
              <w:pStyle w:val="11"/>
            </w:pPr>
            <w:r>
              <w:t>301.43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6.29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9.54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4"/>
            </w:pPr>
            <w:r>
              <w:t>本年收入合计</w:t>
            </w:r>
          </w:p>
        </w:tc>
        <w:tc>
          <w:tcPr>
            <w:tcW w:w="2126" w:type="dxa"/>
            <w:vAlign w:val="center"/>
          </w:tcPr>
          <w:p>
            <w:pPr>
              <w:pStyle w:val="15"/>
            </w:pPr>
            <w:r>
              <w:t>317.26</w:t>
            </w:r>
          </w:p>
        </w:tc>
        <w:tc>
          <w:tcPr>
            <w:tcW w:w="4535" w:type="dxa"/>
            <w:vAlign w:val="center"/>
          </w:tcPr>
          <w:p>
            <w:pPr>
              <w:pStyle w:val="14"/>
            </w:pPr>
            <w:r>
              <w:t>本年支出合计</w:t>
            </w:r>
          </w:p>
        </w:tc>
        <w:tc>
          <w:tcPr>
            <w:tcW w:w="2126" w:type="dxa"/>
            <w:vAlign w:val="center"/>
          </w:tcPr>
          <w:p>
            <w:pPr>
              <w:pStyle w:val="15"/>
            </w:pPr>
            <w:r>
              <w:t>317.26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4"/>
            </w:pPr>
            <w:r>
              <w:t>收入总计</w:t>
            </w:r>
          </w:p>
        </w:tc>
        <w:tc>
          <w:tcPr>
            <w:tcW w:w="2126" w:type="dxa"/>
            <w:vAlign w:val="center"/>
          </w:tcPr>
          <w:p>
            <w:pPr>
              <w:pStyle w:val="15"/>
            </w:pPr>
            <w:r>
              <w:t>317.26</w:t>
            </w:r>
          </w:p>
        </w:tc>
        <w:tc>
          <w:tcPr>
            <w:tcW w:w="4535" w:type="dxa"/>
            <w:vAlign w:val="center"/>
          </w:tcPr>
          <w:p>
            <w:pPr>
              <w:pStyle w:val="14"/>
            </w:pPr>
            <w:r>
              <w:t>支出总计</w:t>
            </w:r>
          </w:p>
        </w:tc>
        <w:tc>
          <w:tcPr>
            <w:tcW w:w="2126" w:type="dxa"/>
            <w:vAlign w:val="center"/>
          </w:tcPr>
          <w:p>
            <w:pPr>
              <w:pStyle w:val="15"/>
            </w:pPr>
            <w:r>
              <w:t>317.26</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410魏县统计局</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预算年度：2022</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317.26</w:t>
            </w:r>
          </w:p>
        </w:tc>
        <w:tc>
          <w:tcPr>
            <w:tcW w:w="1134" w:type="dxa"/>
            <w:vAlign w:val="center"/>
          </w:tcPr>
          <w:p>
            <w:pPr>
              <w:pStyle w:val="15"/>
            </w:pPr>
            <w:r>
              <w:t>317.26</w:t>
            </w:r>
          </w:p>
        </w:tc>
        <w:tc>
          <w:tcPr>
            <w:tcW w:w="1134" w:type="dxa"/>
            <w:vAlign w:val="center"/>
          </w:tcPr>
          <w:p>
            <w:pPr>
              <w:pStyle w:val="15"/>
            </w:pPr>
            <w:r>
              <w:t>317.26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301.43</w:t>
            </w:r>
          </w:p>
        </w:tc>
        <w:tc>
          <w:tcPr>
            <w:tcW w:w="1134" w:type="dxa"/>
            <w:vAlign w:val="center"/>
          </w:tcPr>
          <w:p>
            <w:pPr>
              <w:pStyle w:val="11"/>
            </w:pPr>
            <w:r>
              <w:t>301.43</w:t>
            </w:r>
          </w:p>
        </w:tc>
        <w:tc>
          <w:tcPr>
            <w:tcW w:w="1134" w:type="dxa"/>
            <w:vAlign w:val="center"/>
          </w:tcPr>
          <w:p>
            <w:pPr>
              <w:pStyle w:val="11"/>
            </w:pPr>
            <w:r>
              <w:t>301.43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20105</w:t>
            </w:r>
          </w:p>
        </w:tc>
        <w:tc>
          <w:tcPr>
            <w:tcW w:w="1559" w:type="dxa"/>
            <w:vAlign w:val="center"/>
          </w:tcPr>
          <w:p>
            <w:pPr>
              <w:pStyle w:val="12"/>
            </w:pPr>
            <w:r>
              <w:t>统计信息事务</w:t>
            </w:r>
          </w:p>
        </w:tc>
        <w:tc>
          <w:tcPr>
            <w:tcW w:w="1134" w:type="dxa"/>
            <w:vAlign w:val="center"/>
          </w:tcPr>
          <w:p>
            <w:pPr>
              <w:pStyle w:val="11"/>
            </w:pPr>
            <w:r>
              <w:t>301.43</w:t>
            </w:r>
          </w:p>
        </w:tc>
        <w:tc>
          <w:tcPr>
            <w:tcW w:w="1134" w:type="dxa"/>
            <w:vAlign w:val="center"/>
          </w:tcPr>
          <w:p>
            <w:pPr>
              <w:pStyle w:val="11"/>
            </w:pPr>
            <w:r>
              <w:t>301.43</w:t>
            </w:r>
          </w:p>
        </w:tc>
        <w:tc>
          <w:tcPr>
            <w:tcW w:w="1134" w:type="dxa"/>
            <w:vAlign w:val="center"/>
          </w:tcPr>
          <w:p>
            <w:pPr>
              <w:pStyle w:val="11"/>
            </w:pPr>
            <w:r>
              <w:t>301.43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2010501</w:t>
            </w:r>
          </w:p>
        </w:tc>
        <w:tc>
          <w:tcPr>
            <w:tcW w:w="1559" w:type="dxa"/>
            <w:vAlign w:val="center"/>
          </w:tcPr>
          <w:p>
            <w:pPr>
              <w:pStyle w:val="12"/>
            </w:pPr>
            <w:r>
              <w:t>行政运行</w:t>
            </w:r>
          </w:p>
        </w:tc>
        <w:tc>
          <w:tcPr>
            <w:tcW w:w="1134" w:type="dxa"/>
            <w:vAlign w:val="center"/>
          </w:tcPr>
          <w:p>
            <w:pPr>
              <w:pStyle w:val="11"/>
            </w:pPr>
            <w:r>
              <w:t>251.43</w:t>
            </w:r>
          </w:p>
        </w:tc>
        <w:tc>
          <w:tcPr>
            <w:tcW w:w="1134" w:type="dxa"/>
            <w:vAlign w:val="center"/>
          </w:tcPr>
          <w:p>
            <w:pPr>
              <w:pStyle w:val="11"/>
            </w:pPr>
            <w:r>
              <w:t>251.43</w:t>
            </w:r>
          </w:p>
        </w:tc>
        <w:tc>
          <w:tcPr>
            <w:tcW w:w="1134" w:type="dxa"/>
            <w:vAlign w:val="center"/>
          </w:tcPr>
          <w:p>
            <w:pPr>
              <w:pStyle w:val="11"/>
            </w:pPr>
            <w:r>
              <w:t>251.43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2010502</w:t>
            </w:r>
          </w:p>
        </w:tc>
        <w:tc>
          <w:tcPr>
            <w:tcW w:w="1559" w:type="dxa"/>
            <w:vAlign w:val="center"/>
          </w:tcPr>
          <w:p>
            <w:pPr>
              <w:pStyle w:val="12"/>
            </w:pPr>
            <w:r>
              <w:t>一般行政管理事务</w:t>
            </w:r>
          </w:p>
        </w:tc>
        <w:tc>
          <w:tcPr>
            <w:tcW w:w="1134" w:type="dxa"/>
            <w:vAlign w:val="center"/>
          </w:tcPr>
          <w:p>
            <w:pPr>
              <w:pStyle w:val="11"/>
            </w:pPr>
            <w:r>
              <w:t>50.00</w:t>
            </w:r>
          </w:p>
        </w:tc>
        <w:tc>
          <w:tcPr>
            <w:tcW w:w="1134" w:type="dxa"/>
            <w:vAlign w:val="center"/>
          </w:tcPr>
          <w:p>
            <w:pPr>
              <w:pStyle w:val="11"/>
            </w:pPr>
            <w:r>
              <w:t>50.00</w:t>
            </w:r>
          </w:p>
        </w:tc>
        <w:tc>
          <w:tcPr>
            <w:tcW w:w="1134" w:type="dxa"/>
            <w:vAlign w:val="center"/>
          </w:tcPr>
          <w:p>
            <w:pPr>
              <w:pStyle w:val="11"/>
            </w:pPr>
            <w:r>
              <w:t>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2101199</w:t>
            </w:r>
          </w:p>
        </w:tc>
        <w:tc>
          <w:tcPr>
            <w:tcW w:w="1559" w:type="dxa"/>
            <w:vAlign w:val="center"/>
          </w:tcPr>
          <w:p>
            <w:pPr>
              <w:pStyle w:val="12"/>
            </w:pPr>
            <w:r>
              <w:t>其他行政事业单位医疗支出</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410魏县统计局</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预算年度：2022</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317.26</w:t>
            </w:r>
          </w:p>
        </w:tc>
        <w:tc>
          <w:tcPr>
            <w:tcW w:w="1361" w:type="dxa"/>
            <w:vAlign w:val="center"/>
          </w:tcPr>
          <w:p>
            <w:pPr>
              <w:pStyle w:val="15"/>
            </w:pPr>
            <w:r>
              <w:t>223.26</w:t>
            </w:r>
          </w:p>
        </w:tc>
        <w:tc>
          <w:tcPr>
            <w:tcW w:w="1361" w:type="dxa"/>
            <w:vAlign w:val="center"/>
          </w:tcPr>
          <w:p>
            <w:pPr>
              <w:pStyle w:val="15"/>
            </w:pPr>
            <w:r>
              <w:t>94.00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301.43</w:t>
            </w:r>
          </w:p>
        </w:tc>
        <w:tc>
          <w:tcPr>
            <w:tcW w:w="1361" w:type="dxa"/>
            <w:vAlign w:val="center"/>
          </w:tcPr>
          <w:p>
            <w:pPr>
              <w:pStyle w:val="11"/>
            </w:pPr>
            <w:r>
              <w:t>207.43</w:t>
            </w:r>
          </w:p>
        </w:tc>
        <w:tc>
          <w:tcPr>
            <w:tcW w:w="1361" w:type="dxa"/>
            <w:vAlign w:val="center"/>
          </w:tcPr>
          <w:p>
            <w:pPr>
              <w:pStyle w:val="11"/>
            </w:pPr>
            <w:r>
              <w:t>94.00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20105</w:t>
            </w:r>
          </w:p>
        </w:tc>
        <w:tc>
          <w:tcPr>
            <w:tcW w:w="4535" w:type="dxa"/>
            <w:vAlign w:val="center"/>
          </w:tcPr>
          <w:p>
            <w:pPr>
              <w:pStyle w:val="12"/>
            </w:pPr>
            <w:r>
              <w:t>统计信息事务</w:t>
            </w:r>
          </w:p>
        </w:tc>
        <w:tc>
          <w:tcPr>
            <w:tcW w:w="1361" w:type="dxa"/>
            <w:vAlign w:val="center"/>
          </w:tcPr>
          <w:p>
            <w:pPr>
              <w:pStyle w:val="11"/>
            </w:pPr>
            <w:r>
              <w:t>301.43</w:t>
            </w:r>
          </w:p>
        </w:tc>
        <w:tc>
          <w:tcPr>
            <w:tcW w:w="1361" w:type="dxa"/>
            <w:vAlign w:val="center"/>
          </w:tcPr>
          <w:p>
            <w:pPr>
              <w:pStyle w:val="11"/>
            </w:pPr>
            <w:r>
              <w:t>207.43</w:t>
            </w:r>
          </w:p>
        </w:tc>
        <w:tc>
          <w:tcPr>
            <w:tcW w:w="1361" w:type="dxa"/>
            <w:vAlign w:val="center"/>
          </w:tcPr>
          <w:p>
            <w:pPr>
              <w:pStyle w:val="11"/>
            </w:pPr>
            <w:r>
              <w:t>94.00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2010501</w:t>
            </w:r>
          </w:p>
        </w:tc>
        <w:tc>
          <w:tcPr>
            <w:tcW w:w="4535" w:type="dxa"/>
            <w:vAlign w:val="center"/>
          </w:tcPr>
          <w:p>
            <w:pPr>
              <w:pStyle w:val="12"/>
            </w:pPr>
            <w:r>
              <w:t>行政运行</w:t>
            </w:r>
          </w:p>
        </w:tc>
        <w:tc>
          <w:tcPr>
            <w:tcW w:w="1361" w:type="dxa"/>
            <w:vAlign w:val="center"/>
          </w:tcPr>
          <w:p>
            <w:pPr>
              <w:pStyle w:val="11"/>
            </w:pPr>
            <w:r>
              <w:t>251.43</w:t>
            </w:r>
          </w:p>
        </w:tc>
        <w:tc>
          <w:tcPr>
            <w:tcW w:w="1361" w:type="dxa"/>
            <w:vAlign w:val="center"/>
          </w:tcPr>
          <w:p>
            <w:pPr>
              <w:pStyle w:val="11"/>
            </w:pPr>
            <w:r>
              <w:t>207.43</w:t>
            </w:r>
          </w:p>
        </w:tc>
        <w:tc>
          <w:tcPr>
            <w:tcW w:w="1361" w:type="dxa"/>
            <w:vAlign w:val="center"/>
          </w:tcPr>
          <w:p>
            <w:pPr>
              <w:pStyle w:val="11"/>
            </w:pPr>
            <w:r>
              <w:t>44.00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2010502</w:t>
            </w:r>
          </w:p>
        </w:tc>
        <w:tc>
          <w:tcPr>
            <w:tcW w:w="4535" w:type="dxa"/>
            <w:vAlign w:val="center"/>
          </w:tcPr>
          <w:p>
            <w:pPr>
              <w:pStyle w:val="12"/>
            </w:pPr>
            <w:r>
              <w:t>一般行政管理事务</w:t>
            </w:r>
          </w:p>
        </w:tc>
        <w:tc>
          <w:tcPr>
            <w:tcW w:w="1361" w:type="dxa"/>
            <w:vAlign w:val="center"/>
          </w:tcPr>
          <w:p>
            <w:pPr>
              <w:pStyle w:val="11"/>
            </w:pPr>
            <w:r>
              <w:t>50.00</w:t>
            </w:r>
          </w:p>
        </w:tc>
        <w:tc>
          <w:tcPr>
            <w:tcW w:w="1361" w:type="dxa"/>
            <w:vAlign w:val="center"/>
          </w:tcPr>
          <w:p>
            <w:pPr>
              <w:pStyle w:val="11"/>
            </w:pPr>
          </w:p>
        </w:tc>
        <w:tc>
          <w:tcPr>
            <w:tcW w:w="1361" w:type="dxa"/>
            <w:vAlign w:val="center"/>
          </w:tcPr>
          <w:p>
            <w:pPr>
              <w:pStyle w:val="11"/>
            </w:pPr>
            <w:r>
              <w:t>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6.29</w:t>
            </w:r>
          </w:p>
        </w:tc>
        <w:tc>
          <w:tcPr>
            <w:tcW w:w="1361" w:type="dxa"/>
            <w:vAlign w:val="center"/>
          </w:tcPr>
          <w:p>
            <w:pPr>
              <w:pStyle w:val="11"/>
            </w:pPr>
            <w:r>
              <w:t>6.29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6.29</w:t>
            </w:r>
          </w:p>
        </w:tc>
        <w:tc>
          <w:tcPr>
            <w:tcW w:w="1361" w:type="dxa"/>
            <w:vAlign w:val="center"/>
          </w:tcPr>
          <w:p>
            <w:pPr>
              <w:pStyle w:val="11"/>
            </w:pPr>
            <w:r>
              <w:t>6.29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2080501</w:t>
            </w:r>
          </w:p>
        </w:tc>
        <w:tc>
          <w:tcPr>
            <w:tcW w:w="4535" w:type="dxa"/>
            <w:vAlign w:val="center"/>
          </w:tcPr>
          <w:p>
            <w:pPr>
              <w:pStyle w:val="12"/>
            </w:pPr>
            <w:r>
              <w:t>行政单位离退休</w:t>
            </w:r>
          </w:p>
        </w:tc>
        <w:tc>
          <w:tcPr>
            <w:tcW w:w="1361" w:type="dxa"/>
            <w:vAlign w:val="center"/>
          </w:tcPr>
          <w:p>
            <w:pPr>
              <w:pStyle w:val="11"/>
            </w:pPr>
            <w:r>
              <w:t>6.29</w:t>
            </w:r>
          </w:p>
        </w:tc>
        <w:tc>
          <w:tcPr>
            <w:tcW w:w="1361" w:type="dxa"/>
            <w:vAlign w:val="center"/>
          </w:tcPr>
          <w:p>
            <w:pPr>
              <w:pStyle w:val="11"/>
            </w:pPr>
            <w:r>
              <w:t>6.29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9.54</w:t>
            </w:r>
          </w:p>
        </w:tc>
        <w:tc>
          <w:tcPr>
            <w:tcW w:w="1361" w:type="dxa"/>
            <w:vAlign w:val="center"/>
          </w:tcPr>
          <w:p>
            <w:pPr>
              <w:pStyle w:val="11"/>
            </w:pPr>
            <w:r>
              <w:t>9.54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9.54</w:t>
            </w:r>
          </w:p>
        </w:tc>
        <w:tc>
          <w:tcPr>
            <w:tcW w:w="1361" w:type="dxa"/>
            <w:vAlign w:val="center"/>
          </w:tcPr>
          <w:p>
            <w:pPr>
              <w:pStyle w:val="11"/>
            </w:pPr>
            <w:r>
              <w:t>9.54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2101199</w:t>
            </w:r>
          </w:p>
        </w:tc>
        <w:tc>
          <w:tcPr>
            <w:tcW w:w="4535" w:type="dxa"/>
            <w:vAlign w:val="center"/>
          </w:tcPr>
          <w:p>
            <w:pPr>
              <w:pStyle w:val="12"/>
            </w:pPr>
            <w:r>
              <w:t>其他行政事业单位医疗支出</w:t>
            </w:r>
          </w:p>
        </w:tc>
        <w:tc>
          <w:tcPr>
            <w:tcW w:w="1361" w:type="dxa"/>
            <w:vAlign w:val="center"/>
          </w:tcPr>
          <w:p>
            <w:pPr>
              <w:pStyle w:val="11"/>
            </w:pPr>
            <w:r>
              <w:t>9.54</w:t>
            </w:r>
          </w:p>
        </w:tc>
        <w:tc>
          <w:tcPr>
            <w:tcW w:w="1361" w:type="dxa"/>
            <w:vAlign w:val="center"/>
          </w:tcPr>
          <w:p>
            <w:pPr>
              <w:pStyle w:val="11"/>
            </w:pPr>
            <w:r>
              <w:t>9.54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410魏县统计局</w:t>
            </w:r>
          </w:p>
        </w:tc>
        <w:tc>
          <w:tcPr>
            <w:tcW w:w="3402" w:type="dxa"/>
            <w:tcBorders>
              <w:top w:val="single" w:color="FFFFFF" w:sz="6" w:space="0"/>
              <w:left w:val="single" w:color="FFFFFF" w:sz="6" w:space="0"/>
              <w:right w:val="single" w:color="FFFFFF" w:sz="6" w:space="0"/>
            </w:tcBorders>
            <w:vAlign w:val="center"/>
          </w:tcPr>
          <w:p>
            <w:pPr>
              <w:pStyle w:val="8"/>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317.26</w:t>
            </w:r>
          </w:p>
        </w:tc>
        <w:tc>
          <w:tcPr>
            <w:tcW w:w="3402" w:type="dxa"/>
            <w:vAlign w:val="center"/>
          </w:tcPr>
          <w:p>
            <w:pPr>
              <w:pStyle w:val="12"/>
            </w:pPr>
            <w:r>
              <w:t>一、一般公共服务支出</w:t>
            </w:r>
          </w:p>
        </w:tc>
        <w:tc>
          <w:tcPr>
            <w:tcW w:w="1474" w:type="dxa"/>
            <w:vAlign w:val="center"/>
          </w:tcPr>
          <w:p>
            <w:pPr>
              <w:pStyle w:val="11"/>
            </w:pPr>
            <w:r>
              <w:t>301.43</w:t>
            </w:r>
          </w:p>
        </w:tc>
        <w:tc>
          <w:tcPr>
            <w:tcW w:w="1474" w:type="dxa"/>
            <w:vAlign w:val="center"/>
          </w:tcPr>
          <w:p>
            <w:pPr>
              <w:pStyle w:val="11"/>
            </w:pPr>
            <w:r>
              <w:t>301.43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6.29</w:t>
            </w:r>
          </w:p>
        </w:tc>
        <w:tc>
          <w:tcPr>
            <w:tcW w:w="1474" w:type="dxa"/>
            <w:vAlign w:val="center"/>
          </w:tcPr>
          <w:p>
            <w:pPr>
              <w:pStyle w:val="11"/>
            </w:pPr>
            <w:r>
              <w:t>6.29</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9.54</w:t>
            </w:r>
          </w:p>
        </w:tc>
        <w:tc>
          <w:tcPr>
            <w:tcW w:w="1474" w:type="dxa"/>
            <w:vAlign w:val="center"/>
          </w:tcPr>
          <w:p>
            <w:pPr>
              <w:pStyle w:val="11"/>
            </w:pPr>
            <w:r>
              <w:t>9.54</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4"/>
            </w:pPr>
            <w:r>
              <w:t>本年收入合计</w:t>
            </w:r>
          </w:p>
        </w:tc>
        <w:tc>
          <w:tcPr>
            <w:tcW w:w="1474" w:type="dxa"/>
            <w:vAlign w:val="center"/>
          </w:tcPr>
          <w:p>
            <w:pPr>
              <w:pStyle w:val="15"/>
            </w:pPr>
            <w:r>
              <w:t>317.26</w:t>
            </w:r>
          </w:p>
        </w:tc>
        <w:tc>
          <w:tcPr>
            <w:tcW w:w="3402" w:type="dxa"/>
            <w:vAlign w:val="center"/>
          </w:tcPr>
          <w:p>
            <w:pPr>
              <w:pStyle w:val="14"/>
            </w:pPr>
            <w:r>
              <w:t>本年支出合计</w:t>
            </w:r>
          </w:p>
        </w:tc>
        <w:tc>
          <w:tcPr>
            <w:tcW w:w="1474" w:type="dxa"/>
            <w:vAlign w:val="center"/>
          </w:tcPr>
          <w:p>
            <w:pPr>
              <w:pStyle w:val="15"/>
            </w:pPr>
            <w:r>
              <w:t>317.26</w:t>
            </w:r>
          </w:p>
        </w:tc>
        <w:tc>
          <w:tcPr>
            <w:tcW w:w="1474" w:type="dxa"/>
            <w:vAlign w:val="center"/>
          </w:tcPr>
          <w:p>
            <w:pPr>
              <w:pStyle w:val="15"/>
            </w:pPr>
            <w:r>
              <w:t>317.26</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4"/>
            </w:pPr>
            <w:r>
              <w:t>收入总计</w:t>
            </w:r>
          </w:p>
        </w:tc>
        <w:tc>
          <w:tcPr>
            <w:tcW w:w="1474" w:type="dxa"/>
            <w:vAlign w:val="center"/>
          </w:tcPr>
          <w:p>
            <w:pPr>
              <w:pStyle w:val="15"/>
            </w:pPr>
            <w:r>
              <w:t>317.26</w:t>
            </w:r>
          </w:p>
        </w:tc>
        <w:tc>
          <w:tcPr>
            <w:tcW w:w="3402" w:type="dxa"/>
            <w:vAlign w:val="center"/>
          </w:tcPr>
          <w:p>
            <w:pPr>
              <w:pStyle w:val="14"/>
            </w:pPr>
            <w:r>
              <w:t>支出总计</w:t>
            </w:r>
          </w:p>
        </w:tc>
        <w:tc>
          <w:tcPr>
            <w:tcW w:w="1474" w:type="dxa"/>
            <w:vAlign w:val="center"/>
          </w:tcPr>
          <w:p>
            <w:pPr>
              <w:pStyle w:val="15"/>
            </w:pPr>
            <w:r>
              <w:t>317.26</w:t>
            </w:r>
          </w:p>
        </w:tc>
        <w:tc>
          <w:tcPr>
            <w:tcW w:w="1474" w:type="dxa"/>
            <w:vAlign w:val="center"/>
          </w:tcPr>
          <w:p>
            <w:pPr>
              <w:pStyle w:val="15"/>
            </w:pPr>
            <w:r>
              <w:t>317.26</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410魏县统计局</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317.26</w:t>
            </w:r>
          </w:p>
        </w:tc>
        <w:tc>
          <w:tcPr>
            <w:tcW w:w="2551" w:type="dxa"/>
            <w:vAlign w:val="center"/>
          </w:tcPr>
          <w:p>
            <w:pPr>
              <w:pStyle w:val="15"/>
            </w:pPr>
            <w:r>
              <w:t>223.26</w:t>
            </w:r>
          </w:p>
        </w:tc>
        <w:tc>
          <w:tcPr>
            <w:tcW w:w="2551" w:type="dxa"/>
            <w:vAlign w:val="center"/>
          </w:tcPr>
          <w:p>
            <w:pPr>
              <w:pStyle w:val="15"/>
            </w:pPr>
            <w:r>
              <w:t>94.00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301.43</w:t>
            </w:r>
          </w:p>
        </w:tc>
        <w:tc>
          <w:tcPr>
            <w:tcW w:w="2551" w:type="dxa"/>
            <w:vAlign w:val="center"/>
          </w:tcPr>
          <w:p>
            <w:pPr>
              <w:pStyle w:val="11"/>
            </w:pPr>
            <w:r>
              <w:t>207.43</w:t>
            </w:r>
          </w:p>
        </w:tc>
        <w:tc>
          <w:tcPr>
            <w:tcW w:w="2551" w:type="dxa"/>
            <w:vAlign w:val="center"/>
          </w:tcPr>
          <w:p>
            <w:pPr>
              <w:pStyle w:val="11"/>
            </w:pPr>
            <w:r>
              <w:t>94.00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20105</w:t>
            </w:r>
          </w:p>
        </w:tc>
        <w:tc>
          <w:tcPr>
            <w:tcW w:w="4535" w:type="dxa"/>
            <w:vAlign w:val="center"/>
          </w:tcPr>
          <w:p>
            <w:pPr>
              <w:pStyle w:val="12"/>
            </w:pPr>
            <w:r>
              <w:t>统计信息事务</w:t>
            </w:r>
          </w:p>
        </w:tc>
        <w:tc>
          <w:tcPr>
            <w:tcW w:w="2551" w:type="dxa"/>
            <w:vAlign w:val="center"/>
          </w:tcPr>
          <w:p>
            <w:pPr>
              <w:pStyle w:val="11"/>
            </w:pPr>
            <w:r>
              <w:t>301.43</w:t>
            </w:r>
          </w:p>
        </w:tc>
        <w:tc>
          <w:tcPr>
            <w:tcW w:w="2551" w:type="dxa"/>
            <w:vAlign w:val="center"/>
          </w:tcPr>
          <w:p>
            <w:pPr>
              <w:pStyle w:val="11"/>
            </w:pPr>
            <w:r>
              <w:t>207.43</w:t>
            </w:r>
          </w:p>
        </w:tc>
        <w:tc>
          <w:tcPr>
            <w:tcW w:w="2551" w:type="dxa"/>
            <w:vAlign w:val="center"/>
          </w:tcPr>
          <w:p>
            <w:pPr>
              <w:pStyle w:val="11"/>
            </w:pPr>
            <w:r>
              <w:t>94.00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2010501</w:t>
            </w:r>
          </w:p>
        </w:tc>
        <w:tc>
          <w:tcPr>
            <w:tcW w:w="4535" w:type="dxa"/>
            <w:vAlign w:val="center"/>
          </w:tcPr>
          <w:p>
            <w:pPr>
              <w:pStyle w:val="12"/>
            </w:pPr>
            <w:r>
              <w:t>行政运行</w:t>
            </w:r>
          </w:p>
        </w:tc>
        <w:tc>
          <w:tcPr>
            <w:tcW w:w="2551" w:type="dxa"/>
            <w:vAlign w:val="center"/>
          </w:tcPr>
          <w:p>
            <w:pPr>
              <w:pStyle w:val="11"/>
            </w:pPr>
            <w:r>
              <w:t>251.43</w:t>
            </w:r>
          </w:p>
        </w:tc>
        <w:tc>
          <w:tcPr>
            <w:tcW w:w="2551" w:type="dxa"/>
            <w:vAlign w:val="center"/>
          </w:tcPr>
          <w:p>
            <w:pPr>
              <w:pStyle w:val="11"/>
            </w:pPr>
            <w:r>
              <w:t>207.43</w:t>
            </w:r>
          </w:p>
        </w:tc>
        <w:tc>
          <w:tcPr>
            <w:tcW w:w="2551" w:type="dxa"/>
            <w:vAlign w:val="center"/>
          </w:tcPr>
          <w:p>
            <w:pPr>
              <w:pStyle w:val="11"/>
            </w:pPr>
            <w:r>
              <w:t>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2010502</w:t>
            </w:r>
          </w:p>
        </w:tc>
        <w:tc>
          <w:tcPr>
            <w:tcW w:w="4535" w:type="dxa"/>
            <w:vAlign w:val="center"/>
          </w:tcPr>
          <w:p>
            <w:pPr>
              <w:pStyle w:val="12"/>
            </w:pPr>
            <w:r>
              <w:t>一般行政管理事务</w:t>
            </w:r>
          </w:p>
        </w:tc>
        <w:tc>
          <w:tcPr>
            <w:tcW w:w="2551" w:type="dxa"/>
            <w:vAlign w:val="center"/>
          </w:tcPr>
          <w:p>
            <w:pPr>
              <w:pStyle w:val="11"/>
            </w:pPr>
            <w:r>
              <w:t>50.00</w:t>
            </w:r>
          </w:p>
        </w:tc>
        <w:tc>
          <w:tcPr>
            <w:tcW w:w="2551" w:type="dxa"/>
            <w:vAlign w:val="center"/>
          </w:tcPr>
          <w:p>
            <w:pPr>
              <w:pStyle w:val="11"/>
            </w:pPr>
          </w:p>
        </w:tc>
        <w:tc>
          <w:tcPr>
            <w:tcW w:w="2551" w:type="dxa"/>
            <w:vAlign w:val="center"/>
          </w:tcPr>
          <w:p>
            <w:pPr>
              <w:pStyle w:val="11"/>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6.29</w:t>
            </w:r>
          </w:p>
        </w:tc>
        <w:tc>
          <w:tcPr>
            <w:tcW w:w="2551" w:type="dxa"/>
            <w:vAlign w:val="center"/>
          </w:tcPr>
          <w:p>
            <w:pPr>
              <w:pStyle w:val="11"/>
            </w:pPr>
            <w:r>
              <w:t>6.29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6.29</w:t>
            </w:r>
          </w:p>
        </w:tc>
        <w:tc>
          <w:tcPr>
            <w:tcW w:w="2551" w:type="dxa"/>
            <w:vAlign w:val="center"/>
          </w:tcPr>
          <w:p>
            <w:pPr>
              <w:pStyle w:val="11"/>
            </w:pPr>
            <w:r>
              <w:t>6.29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6.29</w:t>
            </w:r>
          </w:p>
        </w:tc>
        <w:tc>
          <w:tcPr>
            <w:tcW w:w="2551" w:type="dxa"/>
            <w:vAlign w:val="center"/>
          </w:tcPr>
          <w:p>
            <w:pPr>
              <w:pStyle w:val="11"/>
            </w:pPr>
            <w:r>
              <w:t>6.29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9.54</w:t>
            </w:r>
          </w:p>
        </w:tc>
        <w:tc>
          <w:tcPr>
            <w:tcW w:w="2551" w:type="dxa"/>
            <w:vAlign w:val="center"/>
          </w:tcPr>
          <w:p>
            <w:pPr>
              <w:pStyle w:val="11"/>
            </w:pPr>
            <w:r>
              <w:t>9.54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9.54</w:t>
            </w:r>
          </w:p>
        </w:tc>
        <w:tc>
          <w:tcPr>
            <w:tcW w:w="2551" w:type="dxa"/>
            <w:vAlign w:val="center"/>
          </w:tcPr>
          <w:p>
            <w:pPr>
              <w:pStyle w:val="11"/>
            </w:pPr>
            <w:r>
              <w:t>9.54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2101199</w:t>
            </w:r>
          </w:p>
        </w:tc>
        <w:tc>
          <w:tcPr>
            <w:tcW w:w="4535" w:type="dxa"/>
            <w:vAlign w:val="center"/>
          </w:tcPr>
          <w:p>
            <w:pPr>
              <w:pStyle w:val="12"/>
            </w:pPr>
            <w:r>
              <w:t>其他行政事业单位医疗支出</w:t>
            </w:r>
          </w:p>
        </w:tc>
        <w:tc>
          <w:tcPr>
            <w:tcW w:w="2551" w:type="dxa"/>
            <w:vAlign w:val="center"/>
          </w:tcPr>
          <w:p>
            <w:pPr>
              <w:pStyle w:val="11"/>
            </w:pPr>
            <w:r>
              <w:t>9.54</w:t>
            </w:r>
          </w:p>
        </w:tc>
        <w:tc>
          <w:tcPr>
            <w:tcW w:w="2551" w:type="dxa"/>
            <w:vAlign w:val="center"/>
          </w:tcPr>
          <w:p>
            <w:pPr>
              <w:pStyle w:val="11"/>
            </w:pPr>
            <w:r>
              <w:t>9.54</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410魏县统计局</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223.26</w:t>
            </w:r>
          </w:p>
        </w:tc>
        <w:tc>
          <w:tcPr>
            <w:tcW w:w="2551" w:type="dxa"/>
            <w:vAlign w:val="center"/>
          </w:tcPr>
          <w:p>
            <w:pPr>
              <w:pStyle w:val="15"/>
            </w:pPr>
            <w:r>
              <w:t>192.40</w:t>
            </w:r>
          </w:p>
        </w:tc>
        <w:tc>
          <w:tcPr>
            <w:tcW w:w="2551" w:type="dxa"/>
            <w:vAlign w:val="center"/>
          </w:tcPr>
          <w:p>
            <w:pPr>
              <w:pStyle w:val="15"/>
            </w:pPr>
            <w:r>
              <w:t>30.86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184.31</w:t>
            </w:r>
          </w:p>
        </w:tc>
        <w:tc>
          <w:tcPr>
            <w:tcW w:w="2551" w:type="dxa"/>
            <w:vAlign w:val="center"/>
          </w:tcPr>
          <w:p>
            <w:pPr>
              <w:pStyle w:val="11"/>
            </w:pPr>
            <w:r>
              <w:t>184.31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116.36</w:t>
            </w:r>
          </w:p>
        </w:tc>
        <w:tc>
          <w:tcPr>
            <w:tcW w:w="2551" w:type="dxa"/>
            <w:vAlign w:val="center"/>
          </w:tcPr>
          <w:p>
            <w:pPr>
              <w:pStyle w:val="11"/>
            </w:pPr>
            <w:r>
              <w:t>116.36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6.12</w:t>
            </w:r>
          </w:p>
        </w:tc>
        <w:tc>
          <w:tcPr>
            <w:tcW w:w="2551" w:type="dxa"/>
            <w:vAlign w:val="center"/>
          </w:tcPr>
          <w:p>
            <w:pPr>
              <w:pStyle w:val="11"/>
            </w:pPr>
            <w:r>
              <w:t>6.12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0.54</w:t>
            </w:r>
          </w:p>
        </w:tc>
        <w:tc>
          <w:tcPr>
            <w:tcW w:w="2551" w:type="dxa"/>
            <w:vAlign w:val="center"/>
          </w:tcPr>
          <w:p>
            <w:pPr>
              <w:pStyle w:val="11"/>
            </w:pPr>
            <w:r>
              <w:t>0.54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17.20</w:t>
            </w:r>
          </w:p>
        </w:tc>
        <w:tc>
          <w:tcPr>
            <w:tcW w:w="2551" w:type="dxa"/>
            <w:vAlign w:val="center"/>
          </w:tcPr>
          <w:p>
            <w:pPr>
              <w:pStyle w:val="11"/>
            </w:pPr>
            <w:r>
              <w:t>17.20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8.60</w:t>
            </w:r>
          </w:p>
        </w:tc>
        <w:tc>
          <w:tcPr>
            <w:tcW w:w="2551" w:type="dxa"/>
            <w:vAlign w:val="center"/>
          </w:tcPr>
          <w:p>
            <w:pPr>
              <w:pStyle w:val="11"/>
            </w:pPr>
            <w:r>
              <w:t>8.60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9.54</w:t>
            </w:r>
          </w:p>
        </w:tc>
        <w:tc>
          <w:tcPr>
            <w:tcW w:w="2551" w:type="dxa"/>
            <w:vAlign w:val="center"/>
          </w:tcPr>
          <w:p>
            <w:pPr>
              <w:pStyle w:val="11"/>
            </w:pPr>
            <w:r>
              <w:t>9.54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30199</w:t>
            </w:r>
          </w:p>
        </w:tc>
        <w:tc>
          <w:tcPr>
            <w:tcW w:w="4535" w:type="dxa"/>
            <w:vAlign w:val="center"/>
          </w:tcPr>
          <w:p>
            <w:pPr>
              <w:pStyle w:val="12"/>
            </w:pPr>
            <w:r>
              <w:t>其他工资福利支出</w:t>
            </w:r>
          </w:p>
        </w:tc>
        <w:tc>
          <w:tcPr>
            <w:tcW w:w="2551" w:type="dxa"/>
            <w:vAlign w:val="center"/>
          </w:tcPr>
          <w:p>
            <w:pPr>
              <w:pStyle w:val="11"/>
            </w:pPr>
            <w:r>
              <w:t>25.95</w:t>
            </w:r>
          </w:p>
        </w:tc>
        <w:tc>
          <w:tcPr>
            <w:tcW w:w="2551" w:type="dxa"/>
            <w:vAlign w:val="center"/>
          </w:tcPr>
          <w:p>
            <w:pPr>
              <w:pStyle w:val="11"/>
            </w:pPr>
            <w:r>
              <w:t>25.95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30.86</w:t>
            </w:r>
          </w:p>
        </w:tc>
        <w:tc>
          <w:tcPr>
            <w:tcW w:w="2551" w:type="dxa"/>
            <w:vAlign w:val="center"/>
          </w:tcPr>
          <w:p>
            <w:pPr>
              <w:pStyle w:val="11"/>
            </w:pPr>
          </w:p>
        </w:tc>
        <w:tc>
          <w:tcPr>
            <w:tcW w:w="2551" w:type="dxa"/>
            <w:vAlign w:val="center"/>
          </w:tcPr>
          <w:p>
            <w:pPr>
              <w:pStyle w:val="11"/>
            </w:pPr>
            <w:r>
              <w:t>30.86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8.00</w:t>
            </w:r>
          </w:p>
        </w:tc>
        <w:tc>
          <w:tcPr>
            <w:tcW w:w="2551" w:type="dxa"/>
            <w:vAlign w:val="center"/>
          </w:tcPr>
          <w:p>
            <w:pPr>
              <w:pStyle w:val="11"/>
            </w:pPr>
          </w:p>
        </w:tc>
        <w:tc>
          <w:tcPr>
            <w:tcW w:w="2551" w:type="dxa"/>
            <w:vAlign w:val="center"/>
          </w:tcPr>
          <w:p>
            <w:pPr>
              <w:pStyle w:val="11"/>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30217</w:t>
            </w:r>
          </w:p>
        </w:tc>
        <w:tc>
          <w:tcPr>
            <w:tcW w:w="4535" w:type="dxa"/>
            <w:vAlign w:val="center"/>
          </w:tcPr>
          <w:p>
            <w:pPr>
              <w:pStyle w:val="12"/>
            </w:pPr>
            <w:r>
              <w:t>公务接待费</w:t>
            </w:r>
          </w:p>
        </w:tc>
        <w:tc>
          <w:tcPr>
            <w:tcW w:w="2551" w:type="dxa"/>
            <w:vAlign w:val="center"/>
          </w:tcPr>
          <w:p>
            <w:pPr>
              <w:pStyle w:val="11"/>
            </w:pPr>
            <w:r>
              <w:t>2.00</w:t>
            </w:r>
          </w:p>
        </w:tc>
        <w:tc>
          <w:tcPr>
            <w:tcW w:w="2551" w:type="dxa"/>
            <w:vAlign w:val="center"/>
          </w:tcPr>
          <w:p>
            <w:pPr>
              <w:pStyle w:val="11"/>
            </w:pPr>
          </w:p>
        </w:tc>
        <w:tc>
          <w:tcPr>
            <w:tcW w:w="2551" w:type="dxa"/>
            <w:vAlign w:val="center"/>
          </w:tcPr>
          <w:p>
            <w:pPr>
              <w:pStyle w:val="11"/>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3.00</w:t>
            </w:r>
          </w:p>
        </w:tc>
        <w:tc>
          <w:tcPr>
            <w:tcW w:w="2551" w:type="dxa"/>
            <w:vAlign w:val="center"/>
          </w:tcPr>
          <w:p>
            <w:pPr>
              <w:pStyle w:val="11"/>
            </w:pPr>
          </w:p>
        </w:tc>
        <w:tc>
          <w:tcPr>
            <w:tcW w:w="2551" w:type="dxa"/>
            <w:vAlign w:val="center"/>
          </w:tcPr>
          <w:p>
            <w:pPr>
              <w:pStyle w:val="11"/>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1"/>
            </w:pPr>
            <w:r>
              <w:t>2.00</w:t>
            </w:r>
          </w:p>
        </w:tc>
        <w:tc>
          <w:tcPr>
            <w:tcW w:w="2551" w:type="dxa"/>
            <w:vAlign w:val="center"/>
          </w:tcPr>
          <w:p>
            <w:pPr>
              <w:pStyle w:val="11"/>
            </w:pPr>
          </w:p>
        </w:tc>
        <w:tc>
          <w:tcPr>
            <w:tcW w:w="2551" w:type="dxa"/>
            <w:vAlign w:val="center"/>
          </w:tcPr>
          <w:p>
            <w:pPr>
              <w:pStyle w:val="11"/>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10.86</w:t>
            </w:r>
          </w:p>
        </w:tc>
        <w:tc>
          <w:tcPr>
            <w:tcW w:w="2551" w:type="dxa"/>
            <w:vAlign w:val="center"/>
          </w:tcPr>
          <w:p>
            <w:pPr>
              <w:pStyle w:val="11"/>
            </w:pPr>
          </w:p>
        </w:tc>
        <w:tc>
          <w:tcPr>
            <w:tcW w:w="2551" w:type="dxa"/>
            <w:vAlign w:val="center"/>
          </w:tcPr>
          <w:p>
            <w:pPr>
              <w:pStyle w:val="11"/>
            </w:pPr>
            <w:r>
              <w:t>10.86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8.09</w:t>
            </w:r>
          </w:p>
        </w:tc>
        <w:tc>
          <w:tcPr>
            <w:tcW w:w="2551" w:type="dxa"/>
            <w:vAlign w:val="center"/>
          </w:tcPr>
          <w:p>
            <w:pPr>
              <w:pStyle w:val="11"/>
            </w:pPr>
            <w:r>
              <w:t>8.09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6.29</w:t>
            </w:r>
          </w:p>
        </w:tc>
        <w:tc>
          <w:tcPr>
            <w:tcW w:w="2551" w:type="dxa"/>
            <w:vAlign w:val="center"/>
          </w:tcPr>
          <w:p>
            <w:pPr>
              <w:pStyle w:val="11"/>
            </w:pPr>
            <w:r>
              <w:t>6.29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1.80</w:t>
            </w:r>
          </w:p>
        </w:tc>
        <w:tc>
          <w:tcPr>
            <w:tcW w:w="2551" w:type="dxa"/>
            <w:vAlign w:val="center"/>
          </w:tcPr>
          <w:p>
            <w:pPr>
              <w:pStyle w:val="11"/>
            </w:pPr>
            <w:r>
              <w:t>1.80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410魏县统计局</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410魏县统计局</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410魏县统计局</w:t>
            </w:r>
          </w:p>
        </w:tc>
        <w:tc>
          <w:tcPr>
            <w:tcW w:w="2381" w:type="dxa"/>
            <w:tcBorders>
              <w:top w:val="single" w:color="FFFFFF" w:sz="6" w:space="0"/>
              <w:left w:val="single" w:color="FFFFFF" w:sz="6" w:space="0"/>
              <w:right w:val="single" w:color="FFFFFF" w:sz="6" w:space="0"/>
            </w:tcBorders>
            <w:vAlign w:val="center"/>
          </w:tcPr>
          <w:p>
            <w:pPr>
              <w:pStyle w:val="8"/>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pPr>
            <w:r>
              <w:t>4.00</w:t>
            </w:r>
          </w:p>
        </w:tc>
        <w:tc>
          <w:tcPr>
            <w:tcW w:w="2381" w:type="dxa"/>
            <w:vAlign w:val="center"/>
          </w:tcPr>
          <w:p>
            <w:pPr>
              <w:pStyle w:val="15"/>
            </w:pPr>
            <w:r>
              <w:t>4.00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pPr>
            <w:r>
              <w:t>4.00</w:t>
            </w:r>
          </w:p>
        </w:tc>
        <w:tc>
          <w:tcPr>
            <w:tcW w:w="2381" w:type="dxa"/>
            <w:vAlign w:val="center"/>
          </w:tcPr>
          <w:p>
            <w:pPr>
              <w:pStyle w:val="11"/>
            </w:pPr>
            <w:r>
              <w:t>4.00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r>
              <w:t>2.00</w:t>
            </w:r>
          </w:p>
        </w:tc>
        <w:tc>
          <w:tcPr>
            <w:tcW w:w="2381" w:type="dxa"/>
            <w:vAlign w:val="center"/>
          </w:tcPr>
          <w:p>
            <w:pPr>
              <w:pStyle w:val="11"/>
            </w:pPr>
            <w:r>
              <w:t>2.00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r>
              <w:t>2.00</w:t>
            </w:r>
          </w:p>
        </w:tc>
        <w:tc>
          <w:tcPr>
            <w:tcW w:w="2381" w:type="dxa"/>
            <w:vAlign w:val="center"/>
          </w:tcPr>
          <w:p>
            <w:pPr>
              <w:pStyle w:val="11"/>
            </w:pPr>
            <w:r>
              <w:t>2.00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r>
              <w:t>2.00</w:t>
            </w:r>
          </w:p>
        </w:tc>
        <w:tc>
          <w:tcPr>
            <w:tcW w:w="2381" w:type="dxa"/>
            <w:vAlign w:val="center"/>
          </w:tcPr>
          <w:p>
            <w:pPr>
              <w:pStyle w:val="11"/>
            </w:pPr>
            <w:r>
              <w:t>2.00</w:t>
            </w:r>
          </w:p>
        </w:tc>
        <w:tc>
          <w:tcPr>
            <w:tcW w:w="2381" w:type="dxa"/>
            <w:vAlign w:val="center"/>
          </w:tcPr>
          <w:p>
            <w:pPr>
              <w:pStyle w:val="11"/>
            </w:pPr>
          </w:p>
        </w:tc>
        <w:tc>
          <w:tcPr>
            <w:tcW w:w="2381" w:type="dxa"/>
            <w:vAlign w:val="center"/>
          </w:tcPr>
          <w:p>
            <w:pPr>
              <w:pStyle w:val="11"/>
            </w:pPr>
          </w:p>
        </w:tc>
      </w:tr>
    </w:tbl>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魏县统计局2022年部门预算信息公开情况说明</w:t>
      </w:r>
    </w:p>
    <w:p>
      <w:pPr>
        <w:jc w:val="center"/>
      </w:pPr>
      <w:r>
        <w:rPr>
          <w:rFonts w:ascii="方正小标宋_GBK" w:hAnsi="方正小标宋_GBK" w:eastAsia="方正小标宋_GBK" w:cs="方正小标宋_GBK"/>
          <w:color w:val="000000"/>
          <w:sz w:val="44"/>
        </w:rPr>
        <w:t>魏县统计局2022年部门预算信息公开情况说明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、《地方预决算公开操作规程》和《关于进一步推进预算公开工作的实施意见》规定，现将魏县统计局2022年部门预算公开如下：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7"/>
      </w:pPr>
      <w:r>
        <w:t>在县委、县政府的正确领导和上级统计部门的精心指导下，深入贯彻党中央、国务院以及省市县各项决策部署，认真贯彻落实县委“爱家乡、比担当、尚德善、拼贡献”思想教育活动，坚持做好疫情常态防控，充分发挥统计职能，较好地完成了上级交办的各项工作任务。</w:t>
      </w:r>
    </w:p>
    <w:p>
      <w:pPr>
        <w:pStyle w:val="17"/>
      </w:pPr>
      <w:r>
        <w:t>（一）强化依法统计。把深入学习贯彻习近平总书记关于统计工作的重要指示批示精神和《意见》、《办法》、《规定》等文件精神作为一项政治任务，纳入党委(党组)理论学习中心组学习内容，纳入县委党校、乡局级领导干部教育培训内容，深入学习领会其精神实质和核心要义；加强依法统计和依法治统的宣传教育力度，切实增强防范和惩治统计造假、弄虚作假的责任感使命感紧迫感，不触统计“四条红线”，坚守数据质量底线，进一步树立正确政绩观，发展观，增强履行法定统计职责的自觉性，确保党中央、国务院，省委、省政府，市委、市政府关于统计改革发展的各项决策部署在魏县落地生效。</w:t>
      </w:r>
    </w:p>
    <w:p>
      <w:pPr>
        <w:pStyle w:val="17"/>
      </w:pPr>
      <w:r>
        <w:t>(二)提升服务水平。一是认真贯彻落实县委“爱家乡、比担当、尚德善、拼贡献”思想教育活动，进一步加强经济形势分析调研，加大预警预判和监测力度；撰写高质量《统计专报》，为服务领导决策参考，加快撤县设市步伐，加快建设邯郸市域副中心城市，实现县域经济高质量发展提供强有力统计支撑。二是组织编撰《魏县2021年国民经济和社会发展统计公报》、《2021年魏县统计年鉴》。为社会各界了解县情、参政议政及时提供信息资讯。</w:t>
      </w:r>
    </w:p>
    <w:p>
      <w:pPr>
        <w:pStyle w:val="17"/>
      </w:pPr>
      <w:r>
        <w:t>（三）加强双基建设。督促协调乡镇以及主要经济指标承担部门，进一步加强统计双基建设，加强要素保障，提高政府统计公信力；坚持精准发力、坚持应统尽统，确保数出有据，真实反映我县经济发展总体水平，确保统计数据经得起上级部门的审核、评估与核查。</w:t>
      </w:r>
    </w:p>
    <w:p>
      <w:pPr>
        <w:pStyle w:val="17"/>
      </w:pPr>
      <w:r>
        <w:t>（四）推进调查工作。按照县委安排，积极适时组织乡镇、县直单位年度社会民意满意度问卷调查工作；组织国家、省局安排的人口抽样变动调查工作；组织县委县政府安排的其他专项调查工作。</w:t>
      </w:r>
    </w:p>
    <w:p>
      <w:pPr>
        <w:pStyle w:val="17"/>
      </w:pPr>
      <w:r>
        <w:t>（五）完成县委县政府交办的其他工作。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魏县统计局本级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魏县城调队</w:t>
            </w:r>
          </w:p>
        </w:tc>
        <w:tc>
          <w:tcPr>
            <w:tcW w:w="1843" w:type="dxa"/>
            <w:vAlign w:val="center"/>
          </w:tcPr>
          <w:p>
            <w:pPr>
              <w:pStyle w:val="13"/>
            </w:pPr>
            <w:r>
              <w:t>行政</w:t>
            </w:r>
          </w:p>
        </w:tc>
        <w:tc>
          <w:tcPr>
            <w:tcW w:w="2126" w:type="dxa"/>
            <w:vAlign w:val="center"/>
          </w:tcPr>
          <w:p>
            <w:pPr>
              <w:pStyle w:val="13"/>
            </w:pPr>
            <w:r>
              <w:t>副科级</w:t>
            </w:r>
          </w:p>
        </w:tc>
        <w:tc>
          <w:tcPr>
            <w:tcW w:w="3827" w:type="dxa"/>
            <w:vAlign w:val="center"/>
          </w:tcPr>
          <w:p>
            <w:pPr>
              <w:pStyle w:val="13"/>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魏县普查中心</w:t>
            </w:r>
          </w:p>
        </w:tc>
        <w:tc>
          <w:tcPr>
            <w:tcW w:w="1843" w:type="dxa"/>
            <w:vAlign w:val="center"/>
          </w:tcPr>
          <w:p>
            <w:pPr>
              <w:pStyle w:val="13"/>
            </w:pPr>
            <w:r>
              <w:t>事业</w:t>
            </w:r>
          </w:p>
        </w:tc>
        <w:tc>
          <w:tcPr>
            <w:tcW w:w="2126" w:type="dxa"/>
            <w:vAlign w:val="center"/>
          </w:tcPr>
          <w:p>
            <w:pPr>
              <w:pStyle w:val="13"/>
            </w:pPr>
            <w:r>
              <w:t>副科级</w:t>
            </w:r>
          </w:p>
        </w:tc>
        <w:tc>
          <w:tcPr>
            <w:tcW w:w="3827" w:type="dxa"/>
            <w:vAlign w:val="center"/>
          </w:tcPr>
          <w:p>
            <w:pPr>
              <w:pStyle w:val="13"/>
            </w:pPr>
            <w:r>
              <w:t>财政性资金基本保证</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按照预算管理有关规定，目前我省部门预算的编制实行综合预算管理，即全部收入和支出都反映在预算中。魏县统计局机关及所属事业单位的收支包含在部门预算中。</w:t>
      </w:r>
    </w:p>
    <w:p>
      <w:pPr>
        <w:pStyle w:val="18"/>
      </w:pPr>
      <w:r>
        <w:t>1、收入说明：2022年收入预算共计</w:t>
      </w:r>
      <w:r>
        <w:rPr>
          <w:rFonts w:hint="eastAsia"/>
          <w:lang w:val="en-US" w:eastAsia="zh-CN"/>
        </w:rPr>
        <w:t>317.26</w:t>
      </w:r>
      <w:r>
        <w:t>万元，全部为财政拨款收入。</w:t>
      </w:r>
    </w:p>
    <w:p>
      <w:pPr>
        <w:pStyle w:val="18"/>
      </w:pPr>
      <w:r>
        <w:t>2、支出说明：2020年支出预算共计</w:t>
      </w:r>
      <w:r>
        <w:rPr>
          <w:rFonts w:hint="eastAsia"/>
          <w:lang w:val="en-US" w:eastAsia="zh-CN"/>
        </w:rPr>
        <w:t>317.26</w:t>
      </w:r>
      <w:r>
        <w:t>万元，其中人员经费支出预算</w:t>
      </w:r>
      <w:r>
        <w:rPr>
          <w:rFonts w:hint="eastAsia"/>
          <w:lang w:val="en-US" w:eastAsia="zh-CN"/>
        </w:rPr>
        <w:t>192.4</w:t>
      </w:r>
      <w:r>
        <w:t>万元，正常公用经费支出预算</w:t>
      </w:r>
      <w:r>
        <w:rPr>
          <w:rFonts w:hint="eastAsia"/>
          <w:lang w:val="en-US" w:eastAsia="zh-CN"/>
        </w:rPr>
        <w:t>30.86</w:t>
      </w:r>
      <w:r>
        <w:t>万元，专项项目支出</w:t>
      </w:r>
      <w:r>
        <w:rPr>
          <w:rFonts w:hint="eastAsia"/>
          <w:lang w:val="en-US" w:eastAsia="zh-CN"/>
        </w:rPr>
        <w:t>94</w:t>
      </w:r>
      <w:r>
        <w:t>万元。</w:t>
      </w:r>
    </w:p>
    <w:p>
      <w:pPr>
        <w:pStyle w:val="18"/>
      </w:pPr>
      <w:r>
        <w:t>3、比上年增减情况：经过对比测算，2022年财政拨款预算比2021年增加</w:t>
      </w:r>
      <w:r>
        <w:rPr>
          <w:rFonts w:hint="eastAsia"/>
          <w:lang w:val="en-US" w:eastAsia="zh-CN"/>
        </w:rPr>
        <w:t>18.83</w:t>
      </w:r>
      <w:r>
        <w:t>万元，主要是：人员支出增加</w:t>
      </w:r>
      <w:r>
        <w:rPr>
          <w:rFonts w:hint="eastAsia"/>
          <w:lang w:val="en-US" w:eastAsia="zh-CN"/>
        </w:rPr>
        <w:t>12.97</w:t>
      </w:r>
      <w:r>
        <w:t>万元，人员经费增加的主要因素为工资调标</w:t>
      </w:r>
      <w:r>
        <w:rPr>
          <w:rFonts w:hint="eastAsia"/>
          <w:lang w:eastAsia="zh-CN"/>
        </w:rPr>
        <w:t>；公用经费增加</w:t>
      </w:r>
      <w:r>
        <w:rPr>
          <w:rFonts w:hint="eastAsia"/>
          <w:lang w:val="en-US" w:eastAsia="zh-CN"/>
        </w:rPr>
        <w:t>11.86万元，主要原因是统计业务经费增加经费；</w:t>
      </w:r>
      <w:r>
        <w:t>项目经费</w:t>
      </w:r>
      <w:r>
        <w:rPr>
          <w:rFonts w:hint="eastAsia"/>
          <w:lang w:eastAsia="zh-CN"/>
        </w:rPr>
        <w:t>减少</w:t>
      </w:r>
      <w:r>
        <w:rPr>
          <w:rFonts w:hint="eastAsia"/>
          <w:lang w:val="en-US" w:eastAsia="zh-CN"/>
        </w:rPr>
        <w:t>6万元，主要是安排专项统计业务压减减少</w:t>
      </w:r>
      <w:r>
        <w:t>。</w:t>
      </w:r>
    </w:p>
    <w:p>
      <w:pPr>
        <w:spacing w:line="500" w:lineRule="exact"/>
        <w:ind w:firstLine="560"/>
        <w:rPr>
          <w:rFonts w:eastAsia="方正仿宋_GBK"/>
          <w:color w:val="000000"/>
          <w:sz w:val="28"/>
        </w:rPr>
      </w:pP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19"/>
      </w:pPr>
      <w:r>
        <w:t>机关运行经费共计安排</w:t>
      </w:r>
      <w:r>
        <w:rPr>
          <w:rFonts w:hint="eastAsia"/>
          <w:lang w:val="en-US" w:eastAsia="zh-CN"/>
        </w:rPr>
        <w:t>30.86</w:t>
      </w:r>
      <w:r>
        <w:t>万元，主要用于保障机关人员工资福利支出及正常办公的基本需要和维持单位日常业务运转，包括：办公费、邮电费、差旅费、手续费、公务接待费、公务用车运行维护费和离退休干部经费。</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spacing w:before="10" w:after="10" w:line="360" w:lineRule="auto"/>
        <w:ind w:firstLine="640"/>
        <w:outlineLvl w:val="2"/>
      </w:pPr>
      <w:bookmarkStart w:id="13" w:name="_Toc_3_3_0000000014"/>
      <w:r>
        <w:t>2022年，财政拨款“三公”经费预算安排4万元，其中因公出国(境)费0万元</w:t>
      </w:r>
      <w:r>
        <w:rPr>
          <w:rFonts w:hint="eastAsia"/>
          <w:lang w:eastAsia="zh-CN"/>
        </w:rPr>
        <w:t>，</w:t>
      </w:r>
      <w:r>
        <w:rPr>
          <w:rFonts w:hint="eastAsia" w:eastAsia="方正仿宋_GBK"/>
          <w:sz w:val="28"/>
        </w:rPr>
        <w:t>同比未增减变动，与去年持平</w:t>
      </w:r>
      <w:r>
        <w:t>；公务用车购置及运维费2万元(其中：公务用车购置费为0万元，公务用车运行费2万元)</w:t>
      </w:r>
      <w:r>
        <w:rPr>
          <w:rFonts w:hint="eastAsia"/>
          <w:lang w:eastAsia="zh-CN"/>
        </w:rPr>
        <w:t>，</w:t>
      </w:r>
      <w:r>
        <w:rPr>
          <w:rFonts w:hint="eastAsia" w:eastAsia="方正仿宋_GBK"/>
          <w:sz w:val="28"/>
        </w:rPr>
        <w:t>同比未增减变动，与去年持平</w:t>
      </w:r>
      <w:r>
        <w:t>；公务接待费2万元。与2021年相比，因公出国(境)费0万元没有变动，与去年持平</w:t>
      </w:r>
      <w:r>
        <w:rPr>
          <w:rFonts w:hint="eastAsia"/>
          <w:lang w:eastAsia="zh-CN"/>
        </w:rPr>
        <w:t>。</w:t>
      </w:r>
      <w:r>
        <w:t>主要原因是我单位严格按照党中央</w:t>
      </w:r>
      <w:r>
        <w:rPr>
          <w:rFonts w:hint="eastAsia" w:eastAsia="宋体"/>
          <w:lang w:eastAsia="zh-CN"/>
        </w:rPr>
        <w:t>八项规定</w:t>
      </w:r>
      <w:r>
        <w:t>，严格控制各项费用，由于工作需要和单位工作实际情况，三公经费已压减到最低，故本年预算未再作压减。</w:t>
      </w:r>
    </w:p>
    <w:p>
      <w:pPr>
        <w:spacing w:before="10" w:after="10" w:line="360" w:lineRule="auto"/>
        <w:ind w:firstLine="640"/>
        <w:outlineLvl w:val="2"/>
      </w:pPr>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21"/>
      </w:pPr>
      <w:r>
        <w:t>在县委、县政府的坚强领导和上级统计部门的精心指导下，深入贯彻党中央、国务院以及省市县各项决策部署，认真贯彻落实县委“爱家乡、比担当、尚德善、拼贡献”思想教育活动，坚持做好疫情常态防控，充分发挥统计职能，较好完成上级交办的各项工作任务。各项统计调查数据客观真实地反映了我县经济社会发展所取得的成绩。</w:t>
      </w:r>
    </w:p>
    <w:p>
      <w:pPr>
        <w:spacing w:line="500" w:lineRule="exact"/>
        <w:ind w:firstLine="560"/>
      </w:pPr>
      <w:r>
        <w:rPr>
          <w:rFonts w:eastAsia="方正仿宋_GBK"/>
          <w:color w:val="000000"/>
          <w:sz w:val="28"/>
        </w:rPr>
        <w:t>（二）分项绩效目标</w:t>
      </w:r>
    </w:p>
    <w:p>
      <w:pPr>
        <w:pStyle w:val="22"/>
      </w:pPr>
      <w:r>
        <w:t>1、国民经济核算。完成全县年度、季度数据及各市年度数据的测算审核认定工作；完成必要分析，对相关经济决策提供重要依据。</w:t>
      </w:r>
    </w:p>
    <w:p>
      <w:pPr>
        <w:pStyle w:val="22"/>
      </w:pPr>
      <w:r>
        <w:t>2、统计调查。研究制定资料开发应用计划，进行业务培训，组织开展深层次课题研究，发布普查主要数据公报，完成普查工作总结和表彰。</w:t>
      </w:r>
    </w:p>
    <w:p>
      <w:pPr>
        <w:pStyle w:val="22"/>
      </w:pPr>
      <w:r>
        <w:t>3、国情国力普查。按照国家统计局、财政部关于印发《关于统计部门周期性普查和大型调查经费开支问题的暂行规定》，分年度完成普查工作，确保普查的顺利完成。</w:t>
      </w:r>
    </w:p>
    <w:p>
      <w:pPr>
        <w:pStyle w:val="22"/>
      </w:pPr>
      <w:r>
        <w:t>4、专项统计调查。组织开展专项统计调查工作，了解基层情况和动态提供统计信息和咨询建议。</w:t>
      </w:r>
    </w:p>
    <w:p>
      <w:pPr>
        <w:pStyle w:val="22"/>
      </w:pPr>
      <w:r>
        <w:t>5、统计数据采集决策咨询。保障全县统计信息自动化系统和统计数据库系统运行安全平稳。保证统计数据的顺利报送汇总。</w:t>
      </w:r>
    </w:p>
    <w:p>
      <w:pPr>
        <w:pStyle w:val="22"/>
      </w:pPr>
      <w:r>
        <w:t>6、统计政务管理。保障统计信息化建设、统计执法、统计人员上岗资格认定、职称考试等全县统计专业技术队伍建设。</w:t>
      </w:r>
    </w:p>
    <w:p>
      <w:pPr>
        <w:pStyle w:val="22"/>
      </w:pPr>
      <w:r>
        <w:t>7、综合业务管理。开展统计执法检查和培训工作，防范统计违法现象的发生；拟定全县统计教育培训制度、规划等，统一归口管理指导全县统计教育培训工作； 开展全县统计专业技术人员职称资格考试和评定工作。</w:t>
      </w:r>
    </w:p>
    <w:p>
      <w:pPr>
        <w:pStyle w:val="22"/>
      </w:pPr>
      <w:r>
        <w:t>8、综合事务管理。保障机关正常运转。</w:t>
      </w:r>
    </w:p>
    <w:p>
      <w:pPr>
        <w:spacing w:line="500" w:lineRule="exact"/>
        <w:ind w:firstLine="560"/>
      </w:pPr>
      <w:r>
        <w:rPr>
          <w:rFonts w:eastAsia="方正仿宋_GBK"/>
          <w:color w:val="000000"/>
          <w:sz w:val="28"/>
        </w:rPr>
        <w:t>（三）工作保障措施</w:t>
      </w:r>
    </w:p>
    <w:p>
      <w:pPr>
        <w:pStyle w:val="23"/>
      </w:pPr>
      <w:r>
        <w:t>1、围绕县委中心，服务发展大局</w:t>
      </w:r>
    </w:p>
    <w:p>
      <w:pPr>
        <w:pStyle w:val="23"/>
      </w:pPr>
      <w:r>
        <w:t>2、加强审核评估，助推县域经济</w:t>
      </w:r>
    </w:p>
    <w:p>
      <w:pPr>
        <w:pStyle w:val="23"/>
      </w:pPr>
      <w:r>
        <w:t>3、加强队伍建设，激发履职热情</w:t>
      </w:r>
    </w:p>
    <w:p>
      <w:pPr>
        <w:pStyle w:val="23"/>
      </w:pPr>
      <w:r>
        <w:t>4、加强依法统计，确保应统尽统</w:t>
      </w:r>
    </w:p>
    <w:p>
      <w:pPr>
        <w:pStyle w:val="23"/>
      </w:pPr>
      <w:r>
        <w:t>5、创新工作机制，提升服务水平</w:t>
      </w:r>
    </w:p>
    <w:p>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pPr>
        <w:ind w:firstLine="640"/>
        <w:rPr>
          <w:rFonts w:ascii="方正楷体_GBK" w:hAnsi="方正楷体_GBK" w:eastAsia="方正楷体_GBK" w:cs="方正楷体_GBK"/>
          <w:b/>
          <w:color w:val="000000"/>
          <w:sz w:val="32"/>
        </w:rPr>
      </w:pPr>
    </w:p>
    <w:p>
      <w:pPr>
        <w:ind w:firstLine="640"/>
        <w:rPr>
          <w:rFonts w:hint="eastAsia" w:ascii="方正楷体_GBK" w:hAnsi="方正楷体_GBK" w:eastAsia="方正楷体_GBK" w:cs="方正楷体_GBK"/>
          <w:b w:val="0"/>
          <w:bCs/>
          <w:color w:val="000000"/>
          <w:sz w:val="28"/>
          <w:szCs w:val="28"/>
          <w:lang w:eastAsia="zh-CN"/>
        </w:rPr>
        <w:sectPr>
          <w:pgSz w:w="16840" w:h="11900" w:orient="landscape"/>
          <w:pgMar w:top="1361" w:right="1020" w:bottom="1361" w:left="1020" w:header="720" w:footer="720" w:gutter="0"/>
          <w:cols w:space="720" w:num="1"/>
        </w:sectPr>
      </w:pPr>
      <w:r>
        <w:rPr>
          <w:rFonts w:hint="eastAsia" w:ascii="方正楷体_GBK" w:hAnsi="方正楷体_GBK" w:eastAsia="方正楷体_GBK" w:cs="方正楷体_GBK"/>
          <w:b w:val="0"/>
          <w:bCs/>
          <w:color w:val="000000"/>
          <w:sz w:val="28"/>
          <w:szCs w:val="28"/>
          <w:lang w:eastAsia="zh-CN"/>
        </w:rPr>
        <w:t>无</w:t>
      </w:r>
    </w:p>
    <w:p>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ind w:firstLine="560"/>
      </w:pPr>
      <w:r>
        <w:rPr>
          <w:rFonts w:ascii="方正仿宋_GBK" w:hAnsi="方正仿宋_GBK" w:eastAsia="方正仿宋_GBK" w:cs="方正仿宋_GBK"/>
          <w:b/>
          <w:color w:val="000000"/>
          <w:sz w:val="28"/>
        </w:rPr>
        <w:t>1、2022年统计网格化管理经费绩效目标表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1.提高统计数据质量为目标，全面整合优化统计资源配置，扎实推进全县统计网格化管理责任体系建设。</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质量指标</w:t>
            </w:r>
          </w:p>
        </w:tc>
        <w:tc>
          <w:tcPr>
            <w:tcW w:w="2835" w:type="dxa"/>
            <w:vAlign w:val="center"/>
          </w:tcPr>
          <w:p>
            <w:pPr>
              <w:pStyle w:val="12"/>
            </w:pPr>
            <w:r>
              <w:t>调查对象统计数据上报率</w:t>
            </w:r>
          </w:p>
        </w:tc>
        <w:tc>
          <w:tcPr>
            <w:tcW w:w="2835" w:type="dxa"/>
            <w:vAlign w:val="center"/>
          </w:tcPr>
          <w:p>
            <w:pPr>
              <w:pStyle w:val="12"/>
            </w:pPr>
            <w:r>
              <w:t>调查对象统计数据上报率</w:t>
            </w:r>
          </w:p>
        </w:tc>
        <w:tc>
          <w:tcPr>
            <w:tcW w:w="2551" w:type="dxa"/>
            <w:vAlign w:val="center"/>
          </w:tcPr>
          <w:p>
            <w:pPr>
              <w:pStyle w:val="12"/>
            </w:pPr>
            <w:r>
              <w:t>100%</w:t>
            </w:r>
          </w:p>
        </w:tc>
        <w:tc>
          <w:tcPr>
            <w:tcW w:w="2268" w:type="dxa"/>
            <w:vAlign w:val="center"/>
          </w:tcPr>
          <w:p>
            <w:pPr>
              <w:pStyle w:val="12"/>
            </w:pPr>
            <w:r>
              <w:t>根据单位年初工作计划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统计网格级数</w:t>
            </w:r>
          </w:p>
        </w:tc>
        <w:tc>
          <w:tcPr>
            <w:tcW w:w="2835" w:type="dxa"/>
            <w:vAlign w:val="center"/>
          </w:tcPr>
          <w:p>
            <w:pPr>
              <w:pStyle w:val="12"/>
            </w:pPr>
            <w:r>
              <w:t>建立三级网格职责任务</w:t>
            </w:r>
          </w:p>
        </w:tc>
        <w:tc>
          <w:tcPr>
            <w:tcW w:w="2551" w:type="dxa"/>
            <w:vAlign w:val="center"/>
          </w:tcPr>
          <w:p>
            <w:pPr>
              <w:pStyle w:val="12"/>
            </w:pPr>
            <w:r>
              <w:t>3级</w:t>
            </w:r>
          </w:p>
        </w:tc>
        <w:tc>
          <w:tcPr>
            <w:tcW w:w="2268" w:type="dxa"/>
            <w:vAlign w:val="center"/>
          </w:tcPr>
          <w:p>
            <w:pPr>
              <w:pStyle w:val="12"/>
            </w:pPr>
            <w:r>
              <w:t>根据年初工作计划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项目成本</w:t>
            </w:r>
          </w:p>
        </w:tc>
        <w:tc>
          <w:tcPr>
            <w:tcW w:w="2835" w:type="dxa"/>
            <w:vAlign w:val="center"/>
          </w:tcPr>
          <w:p>
            <w:pPr>
              <w:pStyle w:val="12"/>
            </w:pPr>
            <w:r>
              <w:t>项目成本</w:t>
            </w:r>
          </w:p>
        </w:tc>
        <w:tc>
          <w:tcPr>
            <w:tcW w:w="2551" w:type="dxa"/>
            <w:vAlign w:val="center"/>
          </w:tcPr>
          <w:p>
            <w:pPr>
              <w:pStyle w:val="12"/>
            </w:pPr>
            <w:r>
              <w:t>50万元</w:t>
            </w:r>
          </w:p>
        </w:tc>
        <w:tc>
          <w:tcPr>
            <w:tcW w:w="2268" w:type="dxa"/>
            <w:vAlign w:val="center"/>
          </w:tcPr>
          <w:p>
            <w:pPr>
              <w:pStyle w:val="12"/>
            </w:pPr>
            <w:r>
              <w:t>根据年初工作计划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上报及时率</w:t>
            </w:r>
          </w:p>
        </w:tc>
        <w:tc>
          <w:tcPr>
            <w:tcW w:w="2835" w:type="dxa"/>
            <w:vAlign w:val="center"/>
          </w:tcPr>
          <w:p>
            <w:pPr>
              <w:pStyle w:val="12"/>
            </w:pPr>
            <w:r>
              <w:t>按照专业制度要求上报统计数据</w:t>
            </w:r>
          </w:p>
        </w:tc>
        <w:tc>
          <w:tcPr>
            <w:tcW w:w="2551" w:type="dxa"/>
            <w:vAlign w:val="center"/>
          </w:tcPr>
          <w:p>
            <w:pPr>
              <w:pStyle w:val="12"/>
            </w:pPr>
            <w:r>
              <w:t>100%</w:t>
            </w:r>
          </w:p>
        </w:tc>
        <w:tc>
          <w:tcPr>
            <w:tcW w:w="2268" w:type="dxa"/>
            <w:vAlign w:val="center"/>
          </w:tcPr>
          <w:p>
            <w:pPr>
              <w:pStyle w:val="12"/>
            </w:pPr>
            <w:r>
              <w:t>根据年初工作计划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综合事务保障率</w:t>
            </w:r>
          </w:p>
        </w:tc>
        <w:tc>
          <w:tcPr>
            <w:tcW w:w="2835" w:type="dxa"/>
            <w:vAlign w:val="center"/>
          </w:tcPr>
          <w:p>
            <w:pPr>
              <w:pStyle w:val="12"/>
            </w:pPr>
            <w:r>
              <w:t>综合业务按年度计划完成率</w:t>
            </w:r>
          </w:p>
        </w:tc>
        <w:tc>
          <w:tcPr>
            <w:tcW w:w="2551" w:type="dxa"/>
            <w:vAlign w:val="center"/>
          </w:tcPr>
          <w:p>
            <w:pPr>
              <w:pStyle w:val="12"/>
            </w:pPr>
            <w:r>
              <w:t>≥95%</w:t>
            </w:r>
          </w:p>
        </w:tc>
        <w:tc>
          <w:tcPr>
            <w:tcW w:w="2268" w:type="dxa"/>
            <w:vAlign w:val="center"/>
          </w:tcPr>
          <w:p>
            <w:pPr>
              <w:pStyle w:val="12"/>
            </w:pPr>
            <w:r>
              <w:t>根据以往经验、相关文件要求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网格化责任体系</w:t>
            </w:r>
          </w:p>
        </w:tc>
        <w:tc>
          <w:tcPr>
            <w:tcW w:w="2835" w:type="dxa"/>
            <w:vAlign w:val="center"/>
          </w:tcPr>
          <w:p>
            <w:pPr>
              <w:pStyle w:val="12"/>
            </w:pPr>
            <w:r>
              <w:t>建立统计数据网格化责任体系</w:t>
            </w:r>
          </w:p>
        </w:tc>
        <w:tc>
          <w:tcPr>
            <w:tcW w:w="2551" w:type="dxa"/>
            <w:vAlign w:val="center"/>
          </w:tcPr>
          <w:p>
            <w:pPr>
              <w:pStyle w:val="12"/>
            </w:pPr>
            <w:r>
              <w:t>网格化责任体系</w:t>
            </w:r>
          </w:p>
        </w:tc>
        <w:tc>
          <w:tcPr>
            <w:tcW w:w="2268" w:type="dxa"/>
            <w:vAlign w:val="center"/>
          </w:tcPr>
          <w:p>
            <w:pPr>
              <w:pStyle w:val="12"/>
            </w:pPr>
            <w:r>
              <w:t>根据相关文件要求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w:t>
            </w:r>
          </w:p>
        </w:tc>
        <w:tc>
          <w:tcPr>
            <w:tcW w:w="2551" w:type="dxa"/>
            <w:vAlign w:val="center"/>
          </w:tcPr>
          <w:p>
            <w:pPr>
              <w:pStyle w:val="12"/>
            </w:pPr>
            <w:r>
              <w:t>≥95%</w:t>
            </w:r>
          </w:p>
        </w:tc>
        <w:tc>
          <w:tcPr>
            <w:tcW w:w="2268" w:type="dxa"/>
            <w:vAlign w:val="center"/>
          </w:tcPr>
          <w:p>
            <w:pPr>
              <w:pStyle w:val="12"/>
            </w:pPr>
            <w:r>
              <w:t>根据相关文件及本级实际情况</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2、2022年乡镇统计站办公经费绩效目标表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1.保障全县22个 乡镇统计站统计数据上报全面及时准确</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乡镇个数</w:t>
            </w:r>
          </w:p>
        </w:tc>
        <w:tc>
          <w:tcPr>
            <w:tcW w:w="2835" w:type="dxa"/>
            <w:vAlign w:val="center"/>
          </w:tcPr>
          <w:p>
            <w:pPr>
              <w:pStyle w:val="12"/>
            </w:pPr>
            <w:r>
              <w:t>乡镇个数</w:t>
            </w:r>
          </w:p>
        </w:tc>
        <w:tc>
          <w:tcPr>
            <w:tcW w:w="2551" w:type="dxa"/>
            <w:vAlign w:val="center"/>
          </w:tcPr>
          <w:p>
            <w:pPr>
              <w:pStyle w:val="12"/>
            </w:pPr>
            <w:r>
              <w:t>22个</w:t>
            </w:r>
          </w:p>
        </w:tc>
        <w:tc>
          <w:tcPr>
            <w:tcW w:w="2268" w:type="dxa"/>
            <w:vAlign w:val="center"/>
          </w:tcPr>
          <w:p>
            <w:pPr>
              <w:pStyle w:val="12"/>
            </w:pPr>
            <w:r>
              <w:t>根据本县实际乡镇个数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统计数据上报率</w:t>
            </w:r>
          </w:p>
        </w:tc>
        <w:tc>
          <w:tcPr>
            <w:tcW w:w="2835" w:type="dxa"/>
            <w:vAlign w:val="center"/>
          </w:tcPr>
          <w:p>
            <w:pPr>
              <w:pStyle w:val="12"/>
            </w:pPr>
            <w:r>
              <w:t>统计情况完成质量达标率</w:t>
            </w:r>
          </w:p>
        </w:tc>
        <w:tc>
          <w:tcPr>
            <w:tcW w:w="2551" w:type="dxa"/>
            <w:vAlign w:val="center"/>
          </w:tcPr>
          <w:p>
            <w:pPr>
              <w:pStyle w:val="12"/>
            </w:pPr>
            <w:r>
              <w:t>≥95%</w:t>
            </w:r>
          </w:p>
        </w:tc>
        <w:tc>
          <w:tcPr>
            <w:tcW w:w="2268" w:type="dxa"/>
            <w:vAlign w:val="center"/>
          </w:tcPr>
          <w:p>
            <w:pPr>
              <w:pStyle w:val="12"/>
            </w:pPr>
            <w:r>
              <w:t>根据本年专业制度要求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每个乡镇每年补助经费数</w:t>
            </w:r>
          </w:p>
        </w:tc>
        <w:tc>
          <w:tcPr>
            <w:tcW w:w="2835" w:type="dxa"/>
            <w:vAlign w:val="center"/>
          </w:tcPr>
          <w:p>
            <w:pPr>
              <w:pStyle w:val="12"/>
            </w:pPr>
            <w:r>
              <w:t>每个乡镇每年补助经费数</w:t>
            </w:r>
          </w:p>
        </w:tc>
        <w:tc>
          <w:tcPr>
            <w:tcW w:w="2551" w:type="dxa"/>
            <w:vAlign w:val="center"/>
          </w:tcPr>
          <w:p>
            <w:pPr>
              <w:pStyle w:val="12"/>
            </w:pPr>
            <w:r>
              <w:t>2万元</w:t>
            </w:r>
          </w:p>
        </w:tc>
        <w:tc>
          <w:tcPr>
            <w:tcW w:w="2268" w:type="dxa"/>
            <w:vAlign w:val="center"/>
          </w:tcPr>
          <w:p>
            <w:pPr>
              <w:pStyle w:val="12"/>
            </w:pPr>
            <w:r>
              <w:t>根据相关文件及本级实际情况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上报截止时间</w:t>
            </w:r>
          </w:p>
        </w:tc>
        <w:tc>
          <w:tcPr>
            <w:tcW w:w="2835" w:type="dxa"/>
            <w:vAlign w:val="center"/>
          </w:tcPr>
          <w:p>
            <w:pPr>
              <w:pStyle w:val="12"/>
            </w:pPr>
            <w:r>
              <w:t>按照统计平台要求时限完成数据上报</w:t>
            </w:r>
          </w:p>
        </w:tc>
        <w:tc>
          <w:tcPr>
            <w:tcW w:w="2551" w:type="dxa"/>
            <w:vAlign w:val="center"/>
          </w:tcPr>
          <w:p>
            <w:pPr>
              <w:pStyle w:val="12"/>
            </w:pPr>
            <w:r>
              <w:t>按照统计平台要求时限完成数据上报</w:t>
            </w:r>
          </w:p>
        </w:tc>
        <w:tc>
          <w:tcPr>
            <w:tcW w:w="2268" w:type="dxa"/>
            <w:vAlign w:val="center"/>
          </w:tcPr>
          <w:p>
            <w:pPr>
              <w:pStyle w:val="12"/>
            </w:pPr>
            <w:r>
              <w:t>根据专业年初制度要求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提高数据上报及时率</w:t>
            </w:r>
          </w:p>
        </w:tc>
        <w:tc>
          <w:tcPr>
            <w:tcW w:w="2835" w:type="dxa"/>
            <w:vAlign w:val="center"/>
          </w:tcPr>
          <w:p>
            <w:pPr>
              <w:pStyle w:val="12"/>
            </w:pPr>
            <w:r>
              <w:t>按照一套表平台要求时间节点上报统计数据，并做好基础台账</w:t>
            </w:r>
          </w:p>
        </w:tc>
        <w:tc>
          <w:tcPr>
            <w:tcW w:w="2551" w:type="dxa"/>
            <w:vAlign w:val="center"/>
          </w:tcPr>
          <w:p>
            <w:pPr>
              <w:pStyle w:val="12"/>
            </w:pPr>
            <w:r>
              <w:t>按照要求上报统计数据并做好台账</w:t>
            </w:r>
          </w:p>
        </w:tc>
        <w:tc>
          <w:tcPr>
            <w:tcW w:w="2268" w:type="dxa"/>
            <w:vAlign w:val="center"/>
          </w:tcPr>
          <w:p>
            <w:pPr>
              <w:pStyle w:val="12"/>
            </w:pPr>
            <w:r>
              <w:t>本剧专业年初制度要求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本次统计数据作为以后年度数据对比时效</w:t>
            </w:r>
          </w:p>
        </w:tc>
        <w:tc>
          <w:tcPr>
            <w:tcW w:w="2835" w:type="dxa"/>
            <w:vAlign w:val="center"/>
          </w:tcPr>
          <w:p>
            <w:pPr>
              <w:pStyle w:val="12"/>
            </w:pPr>
            <w:r>
              <w:t>本次统计数据作为以后年度数据对比时效</w:t>
            </w:r>
          </w:p>
        </w:tc>
        <w:tc>
          <w:tcPr>
            <w:tcW w:w="2551" w:type="dxa"/>
            <w:vAlign w:val="center"/>
          </w:tcPr>
          <w:p>
            <w:pPr>
              <w:pStyle w:val="12"/>
            </w:pPr>
            <w:r>
              <w:t>上报统计数据</w:t>
            </w:r>
          </w:p>
        </w:tc>
        <w:tc>
          <w:tcPr>
            <w:tcW w:w="2268" w:type="dxa"/>
            <w:vAlign w:val="center"/>
          </w:tcPr>
          <w:p>
            <w:pPr>
              <w:pStyle w:val="12"/>
            </w:pPr>
            <w:r>
              <w:t>同比环比数据时效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w:t>
            </w:r>
          </w:p>
        </w:tc>
        <w:tc>
          <w:tcPr>
            <w:tcW w:w="2551" w:type="dxa"/>
            <w:vAlign w:val="center"/>
          </w:tcPr>
          <w:p>
            <w:pPr>
              <w:pStyle w:val="12"/>
            </w:pPr>
            <w:r>
              <w:t>≥95%</w:t>
            </w:r>
          </w:p>
        </w:tc>
        <w:tc>
          <w:tcPr>
            <w:tcW w:w="2268" w:type="dxa"/>
            <w:vAlign w:val="center"/>
          </w:tcPr>
          <w:p>
            <w:pPr>
              <w:pStyle w:val="12"/>
            </w:pPr>
            <w:r>
              <w:t>根据以往经验及本级实际情况</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2022年，魏县统计局安排政府采购预算0.00万元。具体内容见下表。</w:t>
      </w:r>
    </w:p>
    <w:p>
      <w:pPr>
        <w:jc w:val="center"/>
      </w:pPr>
      <w:r>
        <w:rPr>
          <w:rFonts w:ascii="方正小标宋_GBK" w:hAnsi="方正小标宋_GBK" w:eastAsia="方正小标宋_GBK" w:cs="方正小标宋_GBK"/>
          <w:color w:val="000000"/>
          <w:sz w:val="36"/>
        </w:rPr>
        <w:t>部门政府采购预算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410魏县统计局</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2"/>
      </w:pPr>
      <w:bookmarkStart w:id="15" w:name="_Toc_3_3_0000000016"/>
      <w:r>
        <w:rPr>
          <w:rFonts w:ascii="黑体" w:hAnsi="黑体" w:eastAsia="黑体" w:cs="黑体"/>
          <w:color w:val="000000"/>
          <w:sz w:val="32"/>
        </w:rPr>
        <w:t>七、国有资产信息</w:t>
      </w:r>
      <w:bookmarkEnd w:id="15"/>
    </w:p>
    <w:p>
      <w:pPr>
        <w:spacing w:line="500" w:lineRule="exact"/>
        <w:ind w:firstLine="560"/>
      </w:pPr>
      <w:r>
        <w:rPr>
          <w:rFonts w:eastAsia="方正仿宋_GBK"/>
          <w:color w:val="000000"/>
          <w:sz w:val="28"/>
        </w:rPr>
        <w:t>魏县统计局（含所属单位）上年末固定资产金额</w:t>
      </w:r>
      <w:r>
        <w:rPr>
          <w:rFonts w:hint="eastAsia" w:eastAsia="方正仿宋_GBK"/>
          <w:color w:val="000000"/>
          <w:sz w:val="28"/>
          <w:lang w:val="en-US" w:eastAsia="zh-CN"/>
        </w:rPr>
        <w:t>131.68</w:t>
      </w:r>
      <w:r>
        <w:rPr>
          <w:rFonts w:eastAsia="方正仿宋_GBK"/>
          <w:color w:val="000000"/>
          <w:sz w:val="28"/>
        </w:rPr>
        <w:t>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部门固定资产占用情况表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410魏县统计局</w:t>
            </w:r>
          </w:p>
        </w:tc>
        <w:tc>
          <w:tcPr>
            <w:tcW w:w="5670" w:type="dxa"/>
            <w:gridSpan w:val="2"/>
            <w:tcBorders>
              <w:top w:val="single" w:color="FFFFFF" w:sz="6" w:space="0"/>
              <w:left w:val="single" w:color="FFFFFF" w:sz="6" w:space="0"/>
              <w:right w:val="single" w:color="FFFFFF" w:sz="6" w:space="0"/>
            </w:tcBorders>
            <w:vAlign w:val="center"/>
          </w:tcPr>
          <w:p>
            <w:pPr>
              <w:pStyle w:val="7"/>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rPr>
                <w:rFonts w:hint="eastAsia"/>
                <w:lang w:val="en-US" w:eastAsia="zh-CN"/>
              </w:rPr>
              <w:t>1</w:t>
            </w:r>
            <w:r>
              <w:t>、车辆（台、辆）</w:t>
            </w:r>
          </w:p>
        </w:tc>
        <w:tc>
          <w:tcPr>
            <w:tcW w:w="2835" w:type="dxa"/>
            <w:vAlign w:val="center"/>
          </w:tcPr>
          <w:p>
            <w:pPr>
              <w:pStyle w:val="13"/>
              <w:rPr>
                <w:rFonts w:ascii="方正书宋_GBK" w:hAnsi="方正书宋_GBK" w:eastAsia="方正书宋_GBK" w:cs="方正书宋_GBK"/>
                <w:sz w:val="21"/>
                <w:szCs w:val="24"/>
                <w:lang w:val="en-US" w:eastAsia="uk-UA" w:bidi="ar-SA"/>
              </w:rPr>
            </w:pPr>
            <w:r>
              <w:t>1</w:t>
            </w:r>
          </w:p>
        </w:tc>
        <w:tc>
          <w:tcPr>
            <w:tcW w:w="2835" w:type="dxa"/>
            <w:vAlign w:val="center"/>
          </w:tcPr>
          <w:p>
            <w:pPr>
              <w:pStyle w:val="11"/>
              <w:rPr>
                <w:rFonts w:hint="default" w:ascii="方正书宋_GBK" w:hAnsi="方正书宋_GBK" w:eastAsia="方正书宋_GBK" w:cs="方正书宋_GBK"/>
                <w:sz w:val="21"/>
                <w:szCs w:val="24"/>
                <w:lang w:val="en-US" w:eastAsia="zh-CN" w:bidi="ar-SA"/>
              </w:rPr>
            </w:pPr>
            <w:r>
              <w:rPr>
                <w:rFonts w:hint="eastAsia"/>
                <w:lang w:val="en-US" w:eastAsia="zh-CN"/>
              </w:rPr>
              <w:t>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rPr>
                <w:rFonts w:hint="eastAsia"/>
                <w:lang w:val="en-US" w:eastAsia="zh-CN"/>
              </w:rPr>
              <w:t>2</w:t>
            </w:r>
            <w:r>
              <w:t>、其他固定资产</w:t>
            </w:r>
          </w:p>
        </w:tc>
        <w:tc>
          <w:tcPr>
            <w:tcW w:w="2835" w:type="dxa"/>
            <w:vAlign w:val="center"/>
          </w:tcPr>
          <w:p>
            <w:pPr>
              <w:pStyle w:val="13"/>
              <w:rPr>
                <w:rFonts w:ascii="方正书宋_GBK" w:hAnsi="方正书宋_GBK" w:eastAsia="方正书宋_GBK" w:cs="方正书宋_GBK"/>
                <w:sz w:val="21"/>
                <w:szCs w:val="24"/>
                <w:lang w:val="en-US" w:eastAsia="uk-UA" w:bidi="ar-SA"/>
              </w:rPr>
            </w:pPr>
          </w:p>
        </w:tc>
        <w:tc>
          <w:tcPr>
            <w:tcW w:w="2835" w:type="dxa"/>
            <w:vAlign w:val="center"/>
          </w:tcPr>
          <w:p>
            <w:pPr>
              <w:pStyle w:val="11"/>
              <w:rPr>
                <w:rFonts w:hint="default" w:ascii="方正书宋_GBK" w:hAnsi="方正书宋_GBK" w:eastAsia="方正书宋_GBK" w:cs="方正书宋_GBK"/>
                <w:sz w:val="21"/>
                <w:szCs w:val="24"/>
                <w:lang w:val="en-US" w:eastAsia="zh-CN" w:bidi="ar-SA"/>
              </w:rPr>
            </w:pPr>
            <w:r>
              <w:rPr>
                <w:rFonts w:hint="eastAsia"/>
                <w:lang w:val="en-US" w:eastAsia="zh-CN"/>
              </w:rPr>
              <w:t>117.18</w:t>
            </w: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olor w:val="000000"/>
          <w:sz w:val="32"/>
        </w:rPr>
        <w:t xml:space="preserve"> </w:t>
      </w:r>
    </w:p>
    <w:p>
      <w:pPr>
        <w:spacing w:before="10" w:after="10"/>
        <w:ind w:firstLine="640"/>
        <w:outlineLvl w:val="2"/>
      </w:pPr>
      <w:bookmarkStart w:id="16" w:name="_Toc_3_3_0000000017"/>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pPr>
        <w:keepNext w:val="0"/>
        <w:keepLines w:val="0"/>
        <w:pageBreakBefore w:val="0"/>
        <w:widowControl/>
        <w:kinsoku/>
        <w:wordWrap/>
        <w:overflowPunct/>
        <w:topLinePunct w:val="0"/>
        <w:autoSpaceDE/>
        <w:autoSpaceDN/>
        <w:bidi w:val="0"/>
        <w:adjustRightInd/>
        <w:snapToGrid w:val="0"/>
        <w:spacing w:line="500" w:lineRule="exact"/>
        <w:ind w:firstLine="561"/>
        <w:textAlignment w:val="auto"/>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2MTRjOTA5YzliNjAxZDc0ZTlkOTlhNTY2NWNiMWQifQ=="/>
  </w:docVars>
  <w:rsids>
    <w:rsidRoot w:val="002978B8"/>
    <w:rsid w:val="002978B8"/>
    <w:rsid w:val="00315472"/>
    <w:rsid w:val="00373A5D"/>
    <w:rsid w:val="003E2E7F"/>
    <w:rsid w:val="005B6BDA"/>
    <w:rsid w:val="00B41822"/>
    <w:rsid w:val="00D34580"/>
    <w:rsid w:val="00D56F79"/>
    <w:rsid w:val="04D30A0A"/>
    <w:rsid w:val="0ED463D8"/>
    <w:rsid w:val="1C001CEB"/>
    <w:rsid w:val="1C2D7127"/>
    <w:rsid w:val="1D4A4435"/>
    <w:rsid w:val="23F8626D"/>
    <w:rsid w:val="267B2EDA"/>
    <w:rsid w:val="2CA62D0A"/>
    <w:rsid w:val="2DF43621"/>
    <w:rsid w:val="34180991"/>
    <w:rsid w:val="3A5F274A"/>
    <w:rsid w:val="3BE86E9B"/>
    <w:rsid w:val="4CAF1A94"/>
    <w:rsid w:val="514364CA"/>
    <w:rsid w:val="655C380F"/>
    <w:rsid w:val="704B11CB"/>
    <w:rsid w:val="704E4817"/>
    <w:rsid w:val="70F058CE"/>
    <w:rsid w:val="7701195C"/>
    <w:rsid w:val="78322C70"/>
    <w:rsid w:val="793A7C22"/>
    <w:rsid w:val="7BE44C07"/>
    <w:rsid w:val="7F1F6071"/>
    <w:rsid w:val="FBFF2B78"/>
    <w:rsid w:val="FEDEC1EB"/>
    <w:rsid w:val="FF5FBF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semiHidden/>
    <w:unhideWhenUsed/>
    <w:qFormat/>
    <w:uiPriority w:val="99"/>
    <w:pPr>
      <w:tabs>
        <w:tab w:val="center" w:pos="4153"/>
        <w:tab w:val="right" w:pos="8306"/>
      </w:tabs>
      <w:snapToGrid w:val="0"/>
    </w:pPr>
    <w:rPr>
      <w:sz w:val="18"/>
      <w:szCs w:val="18"/>
    </w:rPr>
  </w:style>
  <w:style w:type="paragraph" w:styleId="3">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 w:type="character" w:customStyle="1" w:styleId="33">
    <w:name w:val="页眉 Char"/>
    <w:basedOn w:val="6"/>
    <w:link w:val="3"/>
    <w:semiHidden/>
    <w:qFormat/>
    <w:uiPriority w:val="99"/>
    <w:rPr>
      <w:rFonts w:eastAsia="Times New Roman"/>
      <w:sz w:val="18"/>
      <w:szCs w:val="18"/>
      <w:lang w:eastAsia="uk-UA"/>
    </w:rPr>
  </w:style>
  <w:style w:type="character" w:customStyle="1" w:styleId="34">
    <w:name w:val="页脚 Char"/>
    <w:basedOn w:val="6"/>
    <w:link w:val="2"/>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6790</Words>
  <Characters>7833</Characters>
  <Lines>187</Lines>
  <Paragraphs>52</Paragraphs>
  <TotalTime>18</TotalTime>
  <ScaleCrop>false</ScaleCrop>
  <LinksUpToDate>false</LinksUpToDate>
  <CharactersWithSpaces>8012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2022-03-05T02:53:00Z</dcterms:created>
  <dc:creator>Administrator</dc:creator>
  <cp:lastModifiedBy>wxak</cp:lastModifiedBy>
  <dcterms:modified xsi:type="dcterms:W3CDTF">2026-05-21T17:56:47Z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673BEECD15DA2CCB903A4B65F6F877D6</vt:lpwstr>
  </property>
</Properties>
</file>