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 w:name="_GoBack"/>
      <w:bookmarkEnd w:id="1"/>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年部门</w:t>
      </w:r>
      <w:r>
        <w:rPr>
          <w:rFonts w:hint="eastAsia" w:ascii="黑体" w:hAnsi="黑体" w:eastAsia="黑体" w:cs="黑体"/>
          <w:b/>
          <w:color w:val="000000"/>
          <w:sz w:val="44"/>
          <w:lang w:eastAsia="zh-CN"/>
        </w:rPr>
        <w:t>所属单位</w:t>
      </w:r>
      <w:r>
        <w:rPr>
          <w:rFonts w:ascii="黑体" w:hAnsi="黑体" w:eastAsia="黑体" w:cs="黑体"/>
          <w:b/>
          <w:color w:val="000000"/>
          <w:sz w:val="44"/>
        </w:rPr>
        <w:t>预算信息公开目录</w:t>
      </w:r>
    </w:p>
    <w:p>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cs="方正仿宋_GBK"/>
        </w:rPr>
        <w:t>一、河北魏县经济开发区管理委员会本级收支预算</w:t>
      </w:r>
      <w:r>
        <w:tab/>
      </w:r>
      <w:r>
        <w:fldChar w:fldCharType="begin"/>
      </w:r>
      <w:r>
        <w:instrText xml:space="preserve">PAGEREF _Toc_4_4_0000000019 \h</w:instrText>
      </w:r>
      <w:r>
        <w:fldChar w:fldCharType="separate"/>
      </w:r>
      <w:r>
        <w:t>2</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ascii="方正小标宋_GBK" w:hAnsi="方正小标宋_GBK" w:eastAsia="方正小标宋_GBK" w:cs="方正小标宋_GBK"/>
          <w:color w:val="000000"/>
          <w:sz w:val="72"/>
          <w:szCs w:val="72"/>
        </w:rPr>
      </w:pPr>
    </w:p>
    <w:p>
      <w:pPr>
        <w:jc w:val="center"/>
        <w:outlineLvl w:val="0"/>
        <w:rPr>
          <w:rFonts w:ascii="方正小标宋_GBK" w:hAnsi="方正小标宋_GBK" w:eastAsia="方正小标宋_GBK" w:cs="方正小标宋_GBK"/>
          <w:color w:val="000000"/>
          <w:sz w:val="72"/>
          <w:szCs w:val="72"/>
        </w:rPr>
      </w:pPr>
    </w:p>
    <w:p>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szCs w:val="72"/>
        </w:rPr>
        <w:t xml:space="preserve"> </w:t>
      </w:r>
      <w:r>
        <w:rPr>
          <w:rFonts w:hint="eastAsia" w:ascii="方正小标宋_GBK" w:hAnsi="方正小标宋_GBK" w:eastAsia="方正小标宋_GBK" w:cs="方正小标宋_GBK"/>
          <w:color w:val="000000"/>
          <w:sz w:val="72"/>
          <w:szCs w:val="72"/>
        </w:rPr>
        <w:t>部门所属单位预算</w:t>
      </w:r>
    </w:p>
    <w:p>
      <w:pPr>
        <w:jc w:val="center"/>
        <w:outlineLvl w:val="3"/>
      </w:pPr>
      <w:bookmarkStart w:id="0" w:name="_Toc_4_4_0000000019"/>
      <w:r>
        <w:rPr>
          <w:rFonts w:hint="eastAsia" w:ascii="方正小标宋_GBK" w:hAnsi="方正小标宋_GBK" w:eastAsia="方正小标宋_GBK" w:cs="方正小标宋_GBK"/>
          <w:color w:val="000000"/>
          <w:sz w:val="44"/>
          <w:szCs w:val="44"/>
        </w:rPr>
        <w:t>一、河北魏县经济开发区管理委员会本级收支预算</w:t>
      </w:r>
      <w:bookmarkEnd w:id="0"/>
    </w:p>
    <w:p>
      <w:pPr>
        <w:jc w:val="center"/>
        <w:outlineLvl w:val="4"/>
      </w:pPr>
      <w:r>
        <w:rPr>
          <w:rFonts w:hint="eastAsia" w:ascii="方正小标宋_GBK" w:hAnsi="方正小标宋_GBK" w:eastAsia="方正小标宋_GBK" w:cs="方正小标宋_GBK"/>
          <w:color w:val="000000"/>
          <w:sz w:val="36"/>
          <w:szCs w:val="36"/>
        </w:rPr>
        <w:t>单位预算收支总表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126"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6661"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6661" w:type="dxa"/>
            <w:gridSpan w:val="2"/>
            <w:vAlign w:val="center"/>
          </w:tcPr>
          <w:p>
            <w:pPr>
              <w:pStyle w:val="8"/>
              <w:rPr>
                <w:rFonts w:cs="Times New Roman"/>
              </w:rPr>
            </w:pPr>
            <w:r>
              <w:rPr>
                <w:rFonts w:hint="eastAsia"/>
              </w:rPr>
              <w:t>收入</w:t>
            </w:r>
          </w:p>
        </w:tc>
        <w:tc>
          <w:tcPr>
            <w:tcW w:w="6661" w:type="dxa"/>
            <w:gridSpan w:val="2"/>
            <w:vAlign w:val="center"/>
          </w:tcPr>
          <w:p>
            <w:pPr>
              <w:pStyle w:val="8"/>
              <w:rPr>
                <w:rFonts w:cs="Times New Roman"/>
              </w:rPr>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8"/>
              <w:rPr>
                <w:rFonts w:cs="Times New Roman"/>
              </w:rPr>
            </w:pPr>
            <w:r>
              <w:rPr>
                <w:rFonts w:hint="eastAsia"/>
              </w:rPr>
              <w:t>项</w:t>
            </w:r>
            <w:r>
              <w:t xml:space="preserve">  </w:t>
            </w:r>
            <w:r>
              <w:rPr>
                <w:rFonts w:hint="eastAsia"/>
              </w:rPr>
              <w:t>目</w:t>
            </w:r>
          </w:p>
        </w:tc>
        <w:tc>
          <w:tcPr>
            <w:tcW w:w="2126" w:type="dxa"/>
            <w:vAlign w:val="center"/>
          </w:tcPr>
          <w:p>
            <w:pPr>
              <w:pStyle w:val="8"/>
              <w:rPr>
                <w:rFonts w:cs="Times New Roman"/>
              </w:rPr>
            </w:pPr>
            <w:r>
              <w:rPr>
                <w:rFonts w:hint="eastAsia"/>
              </w:rPr>
              <w:t>预算数</w:t>
            </w:r>
          </w:p>
        </w:tc>
        <w:tc>
          <w:tcPr>
            <w:tcW w:w="4535" w:type="dxa"/>
            <w:vAlign w:val="center"/>
          </w:tcPr>
          <w:p>
            <w:pPr>
              <w:pStyle w:val="8"/>
              <w:rPr>
                <w:rFonts w:cs="Times New Roman"/>
              </w:rPr>
            </w:pPr>
            <w:r>
              <w:rPr>
                <w:rFonts w:hint="eastAsia"/>
              </w:rPr>
              <w:t>项</w:t>
            </w:r>
            <w:r>
              <w:t xml:space="preserve">  </w:t>
            </w:r>
            <w:r>
              <w:rPr>
                <w:rFonts w:hint="eastAsia"/>
              </w:rPr>
              <w:t>目</w:t>
            </w:r>
          </w:p>
        </w:tc>
        <w:tc>
          <w:tcPr>
            <w:tcW w:w="2126" w:type="dxa"/>
            <w:vAlign w:val="center"/>
          </w:tcPr>
          <w:p>
            <w:pPr>
              <w:pStyle w:val="8"/>
              <w:rPr>
                <w:rFonts w:cs="Times New Roman"/>
              </w:rPr>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4535" w:type="dxa"/>
            <w:vAlign w:val="center"/>
          </w:tcPr>
          <w:p>
            <w:pPr>
              <w:pStyle w:val="8"/>
            </w:pPr>
            <w:r>
              <w:t>1</w:t>
            </w:r>
          </w:p>
        </w:tc>
        <w:tc>
          <w:tcPr>
            <w:tcW w:w="2126" w:type="dxa"/>
            <w:vAlign w:val="center"/>
          </w:tcPr>
          <w:p>
            <w:pPr>
              <w:pStyle w:val="8"/>
            </w:pPr>
            <w:r>
              <w:t>2</w:t>
            </w:r>
          </w:p>
        </w:tc>
        <w:tc>
          <w:tcPr>
            <w:tcW w:w="4535" w:type="dxa"/>
            <w:vAlign w:val="center"/>
          </w:tcPr>
          <w:p>
            <w:pPr>
              <w:pStyle w:val="8"/>
            </w:pPr>
            <w:r>
              <w:t>3</w:t>
            </w:r>
          </w:p>
        </w:tc>
        <w:tc>
          <w:tcPr>
            <w:tcW w:w="2126" w:type="dxa"/>
            <w:vAlign w:val="center"/>
          </w:tcPr>
          <w:p>
            <w:pPr>
              <w:pStyle w:val="8"/>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4535" w:type="dxa"/>
            <w:vAlign w:val="center"/>
          </w:tcPr>
          <w:p>
            <w:pPr>
              <w:pStyle w:val="10"/>
              <w:rPr>
                <w:rFonts w:cs="Times New Roman"/>
              </w:rPr>
            </w:pPr>
            <w:r>
              <w:rPr>
                <w:rFonts w:hint="eastAsia"/>
              </w:rPr>
              <w:t>一、一般公共预算拨款收入</w:t>
            </w:r>
          </w:p>
        </w:tc>
        <w:tc>
          <w:tcPr>
            <w:tcW w:w="2126" w:type="dxa"/>
            <w:vAlign w:val="center"/>
          </w:tcPr>
          <w:p>
            <w:pPr>
              <w:pStyle w:val="11"/>
            </w:pPr>
            <w:r>
              <w:t>994.58</w:t>
            </w:r>
          </w:p>
        </w:tc>
        <w:tc>
          <w:tcPr>
            <w:tcW w:w="4535" w:type="dxa"/>
            <w:vAlign w:val="center"/>
          </w:tcPr>
          <w:p>
            <w:pPr>
              <w:pStyle w:val="10"/>
              <w:rPr>
                <w:rFonts w:cs="Times New Roman"/>
              </w:rPr>
            </w:pPr>
            <w:r>
              <w:rPr>
                <w:rFonts w:hint="eastAsia"/>
              </w:rPr>
              <w:t>一、一般公共服务支出</w:t>
            </w:r>
          </w:p>
        </w:tc>
        <w:tc>
          <w:tcPr>
            <w:tcW w:w="2126" w:type="dxa"/>
            <w:vAlign w:val="center"/>
          </w:tcPr>
          <w:p>
            <w:pPr>
              <w:pStyle w:val="11"/>
            </w:pPr>
            <w:r>
              <w:t>274.75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4535" w:type="dxa"/>
            <w:vAlign w:val="center"/>
          </w:tcPr>
          <w:p>
            <w:pPr>
              <w:pStyle w:val="10"/>
              <w:rPr>
                <w:rFonts w:cs="Times New Roman"/>
              </w:rPr>
            </w:pPr>
            <w:r>
              <w:rPr>
                <w:rFonts w:hint="eastAsia"/>
              </w:rPr>
              <w:t>二、政府性基金预算拨款收入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二、外交支出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4535" w:type="dxa"/>
            <w:vAlign w:val="center"/>
          </w:tcPr>
          <w:p>
            <w:pPr>
              <w:pStyle w:val="10"/>
              <w:rPr>
                <w:rFonts w:cs="Times New Roman"/>
              </w:rPr>
            </w:pPr>
            <w:r>
              <w:rPr>
                <w:rFonts w:hint="eastAsia"/>
              </w:rPr>
              <w:t>三、国有资本经营预算拨款收入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三、国防支出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4535" w:type="dxa"/>
            <w:vAlign w:val="center"/>
          </w:tcPr>
          <w:p>
            <w:pPr>
              <w:pStyle w:val="10"/>
              <w:rPr>
                <w:rFonts w:cs="Times New Roman"/>
              </w:rPr>
            </w:pPr>
            <w:r>
              <w:rPr>
                <w:rFonts w:hint="eastAsia"/>
              </w:rPr>
              <w:t>四、财政专户管理资金收入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四、公共安全支出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4535" w:type="dxa"/>
            <w:vAlign w:val="center"/>
          </w:tcPr>
          <w:p>
            <w:pPr>
              <w:pStyle w:val="10"/>
              <w:rPr>
                <w:rFonts w:cs="Times New Roman"/>
              </w:rPr>
            </w:pPr>
            <w:r>
              <w:rPr>
                <w:rFonts w:hint="eastAsia"/>
              </w:rPr>
              <w:t>五、事业收入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五、教育支出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4535" w:type="dxa"/>
            <w:vAlign w:val="center"/>
          </w:tcPr>
          <w:p>
            <w:pPr>
              <w:pStyle w:val="10"/>
              <w:rPr>
                <w:rFonts w:cs="Times New Roman"/>
              </w:rPr>
            </w:pPr>
            <w:r>
              <w:rPr>
                <w:rFonts w:hint="eastAsia"/>
              </w:rPr>
              <w:t>六、事业单位经营收入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六、科学技术支出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4535" w:type="dxa"/>
            <w:vAlign w:val="center"/>
          </w:tcPr>
          <w:p>
            <w:pPr>
              <w:pStyle w:val="10"/>
              <w:rPr>
                <w:rFonts w:cs="Times New Roman"/>
              </w:rPr>
            </w:pPr>
            <w:r>
              <w:rPr>
                <w:rFonts w:hint="eastAsia"/>
              </w:rPr>
              <w:t>七、上级补助收入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七、文化旅游体育与传媒支出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4535" w:type="dxa"/>
            <w:vAlign w:val="center"/>
          </w:tcPr>
          <w:p>
            <w:pPr>
              <w:pStyle w:val="10"/>
              <w:rPr>
                <w:rFonts w:cs="Times New Roman"/>
              </w:rPr>
            </w:pPr>
            <w:r>
              <w:rPr>
                <w:rFonts w:hint="eastAsia"/>
              </w:rPr>
              <w:t>八、附属单位上缴收入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八、社会保障和就业支出</w:t>
            </w:r>
          </w:p>
        </w:tc>
        <w:tc>
          <w:tcPr>
            <w:tcW w:w="2126" w:type="dxa"/>
            <w:vAlign w:val="center"/>
          </w:tcPr>
          <w:p>
            <w:pPr>
              <w:pStyle w:val="11"/>
            </w:pPr>
            <w:r>
              <w:t>51.81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4535" w:type="dxa"/>
            <w:vAlign w:val="center"/>
          </w:tcPr>
          <w:p>
            <w:pPr>
              <w:pStyle w:val="10"/>
              <w:rPr>
                <w:rFonts w:cs="Times New Roman"/>
              </w:rPr>
            </w:pPr>
            <w:r>
              <w:rPr>
                <w:rFonts w:hint="eastAsia"/>
              </w:rPr>
              <w:t>九、其他收入</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九、社会保险基金支出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十、卫生健康支出</w:t>
            </w:r>
          </w:p>
        </w:tc>
        <w:tc>
          <w:tcPr>
            <w:tcW w:w="2126" w:type="dxa"/>
            <w:vAlign w:val="center"/>
          </w:tcPr>
          <w:p>
            <w:pPr>
              <w:pStyle w:val="11"/>
            </w:pPr>
            <w:r>
              <w:t>18.02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十一、节能环保支出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十二、城乡社区支出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十三、农林水支出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十四、交通运输支出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十五、资源勘探工业信息等支出</w:t>
            </w:r>
          </w:p>
        </w:tc>
        <w:tc>
          <w:tcPr>
            <w:tcW w:w="2126" w:type="dxa"/>
            <w:vAlign w:val="center"/>
          </w:tcPr>
          <w:p>
            <w:pPr>
              <w:pStyle w:val="11"/>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十六、商业服务业等支出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十七、金融支出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十八、援助其他地区支出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十九、自然资源海洋气象等支出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二十、住房保障支出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二十一、粮油物资储备支出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二十二、国有资本经营预算支出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二十三、灾害防治及应急管理支出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二十四、预备费</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二十五、其他支出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二十六、转移性支出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二十七、债务还本支出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二十八、债务付息支出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二十九、债务发行费用支出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三十、抗疫特别国债安排的支出</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4535" w:type="dxa"/>
            <w:vAlign w:val="center"/>
          </w:tcPr>
          <w:p>
            <w:pPr>
              <w:pStyle w:val="10"/>
              <w:rPr>
                <w:rFonts w:cs="Times New Roman"/>
              </w:rPr>
            </w:pP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三十一、人行科目</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4535" w:type="dxa"/>
            <w:vAlign w:val="center"/>
          </w:tcPr>
          <w:p>
            <w:pPr>
              <w:pStyle w:val="12"/>
              <w:rPr>
                <w:rFonts w:cs="Times New Roman"/>
              </w:rPr>
            </w:pPr>
            <w:r>
              <w:rPr>
                <w:rFonts w:hint="eastAsia"/>
              </w:rPr>
              <w:t>本年收入合计</w:t>
            </w:r>
          </w:p>
        </w:tc>
        <w:tc>
          <w:tcPr>
            <w:tcW w:w="2126" w:type="dxa"/>
            <w:vAlign w:val="center"/>
          </w:tcPr>
          <w:p>
            <w:pPr>
              <w:pStyle w:val="13"/>
            </w:pPr>
            <w:r>
              <w:t>994.58</w:t>
            </w:r>
          </w:p>
        </w:tc>
        <w:tc>
          <w:tcPr>
            <w:tcW w:w="4535" w:type="dxa"/>
            <w:vAlign w:val="center"/>
          </w:tcPr>
          <w:p>
            <w:pPr>
              <w:pStyle w:val="12"/>
              <w:rPr>
                <w:rFonts w:cs="Times New Roman"/>
              </w:rPr>
            </w:pPr>
            <w:r>
              <w:rPr>
                <w:rFonts w:hint="eastAsia"/>
              </w:rPr>
              <w:t>本年支出合计</w:t>
            </w:r>
          </w:p>
        </w:tc>
        <w:tc>
          <w:tcPr>
            <w:tcW w:w="2126" w:type="dxa"/>
            <w:vAlign w:val="center"/>
          </w:tcPr>
          <w:p>
            <w:pPr>
              <w:pStyle w:val="13"/>
            </w:pPr>
            <w:r>
              <w:t>994.58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33</w:t>
            </w:r>
          </w:p>
        </w:tc>
        <w:tc>
          <w:tcPr>
            <w:tcW w:w="4535" w:type="dxa"/>
            <w:vAlign w:val="center"/>
          </w:tcPr>
          <w:p>
            <w:pPr>
              <w:pStyle w:val="10"/>
              <w:rPr>
                <w:rFonts w:cs="Times New Roman"/>
              </w:rPr>
            </w:pPr>
            <w:r>
              <w:rPr>
                <w:rFonts w:hint="eastAsia"/>
              </w:rPr>
              <w:t>上年结转结余</w:t>
            </w:r>
          </w:p>
        </w:tc>
        <w:tc>
          <w:tcPr>
            <w:tcW w:w="2126" w:type="dxa"/>
            <w:vAlign w:val="center"/>
          </w:tcPr>
          <w:p>
            <w:pPr>
              <w:pStyle w:val="11"/>
              <w:rPr>
                <w:rFonts w:cs="Times New Roman"/>
              </w:rPr>
            </w:pPr>
          </w:p>
        </w:tc>
        <w:tc>
          <w:tcPr>
            <w:tcW w:w="4535" w:type="dxa"/>
            <w:vAlign w:val="center"/>
          </w:tcPr>
          <w:p>
            <w:pPr>
              <w:pStyle w:val="10"/>
              <w:rPr>
                <w:rFonts w:cs="Times New Roman"/>
              </w:rPr>
            </w:pPr>
            <w:r>
              <w:rPr>
                <w:rFonts w:hint="eastAsia"/>
              </w:rPr>
              <w:t>年终结转结余</w:t>
            </w:r>
          </w:p>
        </w:tc>
        <w:tc>
          <w:tcPr>
            <w:tcW w:w="2126"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34</w:t>
            </w:r>
          </w:p>
        </w:tc>
        <w:tc>
          <w:tcPr>
            <w:tcW w:w="4535" w:type="dxa"/>
            <w:vAlign w:val="center"/>
          </w:tcPr>
          <w:p>
            <w:pPr>
              <w:pStyle w:val="12"/>
              <w:rPr>
                <w:rFonts w:cs="Times New Roman"/>
              </w:rPr>
            </w:pPr>
            <w:r>
              <w:rPr>
                <w:rFonts w:hint="eastAsia"/>
              </w:rPr>
              <w:t>收入总计</w:t>
            </w:r>
          </w:p>
        </w:tc>
        <w:tc>
          <w:tcPr>
            <w:tcW w:w="2126" w:type="dxa"/>
            <w:vAlign w:val="center"/>
          </w:tcPr>
          <w:p>
            <w:pPr>
              <w:pStyle w:val="13"/>
            </w:pPr>
            <w:r>
              <w:t>994.58</w:t>
            </w:r>
          </w:p>
        </w:tc>
        <w:tc>
          <w:tcPr>
            <w:tcW w:w="4535" w:type="dxa"/>
            <w:vAlign w:val="center"/>
          </w:tcPr>
          <w:p>
            <w:pPr>
              <w:pStyle w:val="12"/>
              <w:rPr>
                <w:rFonts w:cs="Times New Roman"/>
              </w:rPr>
            </w:pPr>
            <w:r>
              <w:rPr>
                <w:rFonts w:hint="eastAsia"/>
              </w:rPr>
              <w:t>支出总计</w:t>
            </w:r>
          </w:p>
        </w:tc>
        <w:tc>
          <w:tcPr>
            <w:tcW w:w="2126" w:type="dxa"/>
            <w:vAlign w:val="center"/>
          </w:tcPr>
          <w:p>
            <w:pPr>
              <w:pStyle w:val="13"/>
            </w:pPr>
            <w:r>
              <w:t>994.58</w:t>
            </w: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单位预算收入总表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3402" w:type="dxa"/>
            <w:gridSpan w:val="3"/>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669" w:type="dxa"/>
            <w:gridSpan w:val="5"/>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8"/>
              <w:rPr>
                <w:rFonts w:cs="Times New Roman"/>
              </w:rPr>
            </w:pPr>
            <w:r>
              <w:rPr>
                <w:rFonts w:hint="eastAsia"/>
              </w:rPr>
              <w:t>序号</w:t>
            </w:r>
          </w:p>
        </w:tc>
        <w:tc>
          <w:tcPr>
            <w:tcW w:w="2551" w:type="dxa"/>
            <w:gridSpan w:val="2"/>
            <w:vAlign w:val="center"/>
          </w:tcPr>
          <w:p>
            <w:pPr>
              <w:pStyle w:val="8"/>
              <w:rPr>
                <w:rFonts w:cs="Times New Roman"/>
              </w:rPr>
            </w:pPr>
            <w:r>
              <w:rPr>
                <w:rFonts w:hint="eastAsia"/>
              </w:rPr>
              <w:t>功能分类科目</w:t>
            </w:r>
          </w:p>
        </w:tc>
        <w:tc>
          <w:tcPr>
            <w:tcW w:w="1134" w:type="dxa"/>
            <w:vMerge w:val="restart"/>
            <w:vAlign w:val="center"/>
          </w:tcPr>
          <w:p>
            <w:pPr>
              <w:pStyle w:val="8"/>
              <w:rPr>
                <w:rFonts w:cs="Times New Roman"/>
              </w:rPr>
            </w:pPr>
            <w:r>
              <w:rPr>
                <w:rFonts w:hint="eastAsia"/>
              </w:rPr>
              <w:t>合计</w:t>
            </w:r>
          </w:p>
        </w:tc>
        <w:tc>
          <w:tcPr>
            <w:tcW w:w="9071" w:type="dxa"/>
            <w:gridSpan w:val="8"/>
            <w:vAlign w:val="center"/>
          </w:tcPr>
          <w:p>
            <w:pPr>
              <w:pStyle w:val="8"/>
              <w:rPr>
                <w:rFonts w:cs="Times New Roman"/>
              </w:rPr>
            </w:pPr>
            <w:r>
              <w:rPr>
                <w:rFonts w:hint="eastAsia"/>
              </w:rPr>
              <w:t>本年收入</w:t>
            </w:r>
          </w:p>
        </w:tc>
        <w:tc>
          <w:tcPr>
            <w:tcW w:w="1134" w:type="dxa"/>
            <w:vMerge w:val="restart"/>
            <w:vAlign w:val="center"/>
          </w:tcPr>
          <w:p>
            <w:pPr>
              <w:pStyle w:val="8"/>
              <w:rPr>
                <w:rFonts w:cs="Times New Roman"/>
              </w:rPr>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8"/>
              <w:rPr>
                <w:rFonts w:cs="Times New Roman"/>
              </w:rPr>
            </w:pPr>
            <w:r>
              <w:rPr>
                <w:rFonts w:hint="eastAsia"/>
              </w:rPr>
              <w:t>科目</w:t>
            </w:r>
            <w:r>
              <w:t xml:space="preserve">    </w:t>
            </w:r>
            <w:r>
              <w:rPr>
                <w:rFonts w:hint="eastAsia"/>
              </w:rPr>
              <w:t>编码</w:t>
            </w:r>
          </w:p>
        </w:tc>
        <w:tc>
          <w:tcPr>
            <w:tcW w:w="1559" w:type="dxa"/>
            <w:vAlign w:val="center"/>
          </w:tcPr>
          <w:p>
            <w:pPr>
              <w:pStyle w:val="8"/>
              <w:rPr>
                <w:rFonts w:cs="Times New Roman"/>
              </w:rPr>
            </w:pPr>
            <w:r>
              <w:rPr>
                <w:rFonts w:hint="eastAsia"/>
              </w:rPr>
              <w:t>科目名称</w:t>
            </w:r>
          </w:p>
        </w:tc>
        <w:tc>
          <w:tcPr>
            <w:tcW w:w="1134" w:type="dxa"/>
            <w:vMerge w:val="continue"/>
          </w:tcPr>
          <w:p/>
        </w:tc>
        <w:tc>
          <w:tcPr>
            <w:tcW w:w="1134" w:type="dxa"/>
            <w:vAlign w:val="center"/>
          </w:tcPr>
          <w:p>
            <w:pPr>
              <w:pStyle w:val="8"/>
              <w:rPr>
                <w:rFonts w:cs="Times New Roman"/>
              </w:rPr>
            </w:pPr>
            <w:r>
              <w:rPr>
                <w:rFonts w:hint="eastAsia"/>
              </w:rPr>
              <w:t>小计</w:t>
            </w:r>
          </w:p>
        </w:tc>
        <w:tc>
          <w:tcPr>
            <w:tcW w:w="1134" w:type="dxa"/>
            <w:vAlign w:val="center"/>
          </w:tcPr>
          <w:p>
            <w:pPr>
              <w:pStyle w:val="8"/>
              <w:rPr>
                <w:rFonts w:cs="Times New Roman"/>
              </w:rPr>
            </w:pPr>
            <w:r>
              <w:rPr>
                <w:rFonts w:hint="eastAsia"/>
              </w:rPr>
              <w:t>财政拨款</w:t>
            </w:r>
            <w:r>
              <w:t xml:space="preserve"> </w:t>
            </w:r>
            <w:r>
              <w:rPr>
                <w:rFonts w:hint="eastAsia"/>
              </w:rPr>
              <w:t>收入</w:t>
            </w:r>
          </w:p>
        </w:tc>
        <w:tc>
          <w:tcPr>
            <w:tcW w:w="1134" w:type="dxa"/>
            <w:vAlign w:val="center"/>
          </w:tcPr>
          <w:p>
            <w:pPr>
              <w:pStyle w:val="8"/>
              <w:rPr>
                <w:rFonts w:cs="Times New Roman"/>
              </w:rPr>
            </w:pPr>
            <w:r>
              <w:rPr>
                <w:rFonts w:hint="eastAsia"/>
              </w:rPr>
              <w:t>财政专户</w:t>
            </w:r>
            <w:r>
              <w:t xml:space="preserve"> </w:t>
            </w:r>
            <w:r>
              <w:rPr>
                <w:rFonts w:hint="eastAsia"/>
              </w:rPr>
              <w:t>收入</w:t>
            </w:r>
          </w:p>
        </w:tc>
        <w:tc>
          <w:tcPr>
            <w:tcW w:w="1134" w:type="dxa"/>
            <w:vAlign w:val="center"/>
          </w:tcPr>
          <w:p>
            <w:pPr>
              <w:pStyle w:val="8"/>
              <w:rPr>
                <w:rFonts w:cs="Times New Roman"/>
              </w:rPr>
            </w:pPr>
            <w:r>
              <w:rPr>
                <w:rFonts w:hint="eastAsia"/>
              </w:rPr>
              <w:t>事业收入</w:t>
            </w:r>
          </w:p>
        </w:tc>
        <w:tc>
          <w:tcPr>
            <w:tcW w:w="1134" w:type="dxa"/>
            <w:vAlign w:val="center"/>
          </w:tcPr>
          <w:p>
            <w:pPr>
              <w:pStyle w:val="8"/>
              <w:rPr>
                <w:rFonts w:cs="Times New Roman"/>
              </w:rPr>
            </w:pPr>
            <w:r>
              <w:rPr>
                <w:rFonts w:hint="eastAsia"/>
              </w:rPr>
              <w:t>经营收入</w:t>
            </w:r>
          </w:p>
        </w:tc>
        <w:tc>
          <w:tcPr>
            <w:tcW w:w="1134" w:type="dxa"/>
            <w:vAlign w:val="center"/>
          </w:tcPr>
          <w:p>
            <w:pPr>
              <w:pStyle w:val="8"/>
              <w:rPr>
                <w:rFonts w:cs="Times New Roman"/>
              </w:rPr>
            </w:pPr>
            <w:r>
              <w:rPr>
                <w:rFonts w:hint="eastAsia"/>
              </w:rPr>
              <w:t>上级补助收入</w:t>
            </w:r>
          </w:p>
        </w:tc>
        <w:tc>
          <w:tcPr>
            <w:tcW w:w="1134" w:type="dxa"/>
            <w:vAlign w:val="center"/>
          </w:tcPr>
          <w:p>
            <w:pPr>
              <w:pStyle w:val="8"/>
              <w:rPr>
                <w:rFonts w:cs="Times New Roman"/>
              </w:rPr>
            </w:pPr>
            <w:r>
              <w:rPr>
                <w:rFonts w:hint="eastAsia"/>
              </w:rPr>
              <w:t>附属单位上缴收入</w:t>
            </w:r>
          </w:p>
        </w:tc>
        <w:tc>
          <w:tcPr>
            <w:tcW w:w="1134" w:type="dxa"/>
            <w:vAlign w:val="center"/>
          </w:tcPr>
          <w:p>
            <w:pPr>
              <w:pStyle w:val="8"/>
              <w:rPr>
                <w:rFonts w:cs="Times New Roman"/>
              </w:rPr>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8"/>
              <w:rPr>
                <w:rFonts w:cs="Times New Roman"/>
              </w:rPr>
            </w:pPr>
            <w:r>
              <w:rPr>
                <w:rFonts w:hint="eastAsia"/>
              </w:rPr>
              <w:t>栏次</w:t>
            </w:r>
          </w:p>
        </w:tc>
        <w:tc>
          <w:tcPr>
            <w:tcW w:w="992" w:type="dxa"/>
            <w:vAlign w:val="center"/>
          </w:tcPr>
          <w:p>
            <w:pPr>
              <w:pStyle w:val="8"/>
            </w:pPr>
            <w:r>
              <w:t>1</w:t>
            </w:r>
          </w:p>
        </w:tc>
        <w:tc>
          <w:tcPr>
            <w:tcW w:w="1559" w:type="dxa"/>
            <w:vAlign w:val="center"/>
          </w:tcPr>
          <w:p>
            <w:pPr>
              <w:pStyle w:val="8"/>
            </w:pPr>
            <w:r>
              <w:t>2</w:t>
            </w:r>
          </w:p>
        </w:tc>
        <w:tc>
          <w:tcPr>
            <w:tcW w:w="1134" w:type="dxa"/>
            <w:vAlign w:val="center"/>
          </w:tcPr>
          <w:p>
            <w:pPr>
              <w:pStyle w:val="8"/>
            </w:pPr>
            <w:r>
              <w:t>3</w:t>
            </w:r>
          </w:p>
        </w:tc>
        <w:tc>
          <w:tcPr>
            <w:tcW w:w="1134" w:type="dxa"/>
            <w:vAlign w:val="center"/>
          </w:tcPr>
          <w:p>
            <w:pPr>
              <w:pStyle w:val="8"/>
            </w:pPr>
            <w:r>
              <w:t>4</w:t>
            </w:r>
          </w:p>
        </w:tc>
        <w:tc>
          <w:tcPr>
            <w:tcW w:w="1134" w:type="dxa"/>
            <w:vAlign w:val="center"/>
          </w:tcPr>
          <w:p>
            <w:pPr>
              <w:pStyle w:val="8"/>
            </w:pPr>
            <w:r>
              <w:t>5</w:t>
            </w:r>
          </w:p>
        </w:tc>
        <w:tc>
          <w:tcPr>
            <w:tcW w:w="1134" w:type="dxa"/>
            <w:vAlign w:val="center"/>
          </w:tcPr>
          <w:p>
            <w:pPr>
              <w:pStyle w:val="8"/>
            </w:pPr>
            <w:r>
              <w:t>6</w:t>
            </w:r>
          </w:p>
        </w:tc>
        <w:tc>
          <w:tcPr>
            <w:tcW w:w="1134" w:type="dxa"/>
            <w:vAlign w:val="center"/>
          </w:tcPr>
          <w:p>
            <w:pPr>
              <w:pStyle w:val="8"/>
            </w:pPr>
            <w:r>
              <w:t>7</w:t>
            </w:r>
          </w:p>
        </w:tc>
        <w:tc>
          <w:tcPr>
            <w:tcW w:w="1134" w:type="dxa"/>
            <w:vAlign w:val="center"/>
          </w:tcPr>
          <w:p>
            <w:pPr>
              <w:pStyle w:val="8"/>
            </w:pPr>
            <w:r>
              <w:t>8</w:t>
            </w:r>
          </w:p>
        </w:tc>
        <w:tc>
          <w:tcPr>
            <w:tcW w:w="1134" w:type="dxa"/>
            <w:vAlign w:val="center"/>
          </w:tcPr>
          <w:p>
            <w:pPr>
              <w:pStyle w:val="8"/>
            </w:pPr>
            <w:r>
              <w:t>9</w:t>
            </w:r>
          </w:p>
        </w:tc>
        <w:tc>
          <w:tcPr>
            <w:tcW w:w="1134" w:type="dxa"/>
            <w:vAlign w:val="center"/>
          </w:tcPr>
          <w:p>
            <w:pPr>
              <w:pStyle w:val="8"/>
            </w:pPr>
            <w:r>
              <w:t>10</w:t>
            </w:r>
          </w:p>
        </w:tc>
        <w:tc>
          <w:tcPr>
            <w:tcW w:w="1134" w:type="dxa"/>
            <w:vAlign w:val="center"/>
          </w:tcPr>
          <w:p>
            <w:pPr>
              <w:pStyle w:val="8"/>
            </w:pPr>
            <w:r>
              <w:t>11</w:t>
            </w:r>
          </w:p>
        </w:tc>
        <w:tc>
          <w:tcPr>
            <w:tcW w:w="1134" w:type="dxa"/>
            <w:vAlign w:val="center"/>
          </w:tcPr>
          <w:p>
            <w:pPr>
              <w:pStyle w:val="8"/>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w:t>
            </w:r>
          </w:p>
        </w:tc>
        <w:tc>
          <w:tcPr>
            <w:tcW w:w="992" w:type="dxa"/>
            <w:vAlign w:val="center"/>
          </w:tcPr>
          <w:p>
            <w:pPr>
              <w:pStyle w:val="14"/>
              <w:rPr>
                <w:rFonts w:cs="Times New Roman"/>
              </w:rPr>
            </w:pPr>
          </w:p>
        </w:tc>
        <w:tc>
          <w:tcPr>
            <w:tcW w:w="1559" w:type="dxa"/>
            <w:vAlign w:val="center"/>
          </w:tcPr>
          <w:p>
            <w:pPr>
              <w:pStyle w:val="12"/>
              <w:rPr>
                <w:rFonts w:cs="Times New Roman"/>
              </w:rPr>
            </w:pPr>
            <w:r>
              <w:rPr>
                <w:rFonts w:hint="eastAsia"/>
              </w:rPr>
              <w:t>合计</w:t>
            </w:r>
          </w:p>
        </w:tc>
        <w:tc>
          <w:tcPr>
            <w:tcW w:w="1134" w:type="dxa"/>
            <w:vAlign w:val="center"/>
          </w:tcPr>
          <w:p>
            <w:pPr>
              <w:pStyle w:val="13"/>
            </w:pPr>
            <w:r>
              <w:t>994.58</w:t>
            </w:r>
          </w:p>
        </w:tc>
        <w:tc>
          <w:tcPr>
            <w:tcW w:w="1134" w:type="dxa"/>
            <w:vAlign w:val="center"/>
          </w:tcPr>
          <w:p>
            <w:pPr>
              <w:pStyle w:val="13"/>
            </w:pPr>
            <w:r>
              <w:t>994.58</w:t>
            </w:r>
          </w:p>
        </w:tc>
        <w:tc>
          <w:tcPr>
            <w:tcW w:w="1134" w:type="dxa"/>
            <w:vAlign w:val="center"/>
          </w:tcPr>
          <w:p>
            <w:pPr>
              <w:pStyle w:val="13"/>
            </w:pPr>
            <w:r>
              <w:t>994.58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w:t>
            </w:r>
          </w:p>
        </w:tc>
        <w:tc>
          <w:tcPr>
            <w:tcW w:w="992" w:type="dxa"/>
            <w:vAlign w:val="center"/>
          </w:tcPr>
          <w:p>
            <w:pPr>
              <w:pStyle w:val="10"/>
            </w:pPr>
            <w:r>
              <w:t>201</w:t>
            </w:r>
          </w:p>
        </w:tc>
        <w:tc>
          <w:tcPr>
            <w:tcW w:w="1559" w:type="dxa"/>
            <w:vAlign w:val="center"/>
          </w:tcPr>
          <w:p>
            <w:pPr>
              <w:pStyle w:val="10"/>
              <w:rPr>
                <w:rFonts w:cs="Times New Roman"/>
              </w:rPr>
            </w:pPr>
            <w:r>
              <w:rPr>
                <w:rFonts w:hint="eastAsia"/>
              </w:rPr>
              <w:t>一般公共服务支出</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w:t>
            </w:r>
          </w:p>
        </w:tc>
        <w:tc>
          <w:tcPr>
            <w:tcW w:w="992" w:type="dxa"/>
            <w:vAlign w:val="center"/>
          </w:tcPr>
          <w:p>
            <w:pPr>
              <w:pStyle w:val="10"/>
            </w:pPr>
            <w:r>
              <w:t>20113</w:t>
            </w:r>
          </w:p>
        </w:tc>
        <w:tc>
          <w:tcPr>
            <w:tcW w:w="1559" w:type="dxa"/>
            <w:vAlign w:val="center"/>
          </w:tcPr>
          <w:p>
            <w:pPr>
              <w:pStyle w:val="10"/>
              <w:rPr>
                <w:rFonts w:cs="Times New Roman"/>
              </w:rPr>
            </w:pPr>
            <w:r>
              <w:rPr>
                <w:rFonts w:hint="eastAsia"/>
              </w:rPr>
              <w:t>商贸事务</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4</w:t>
            </w:r>
          </w:p>
        </w:tc>
        <w:tc>
          <w:tcPr>
            <w:tcW w:w="992" w:type="dxa"/>
            <w:vAlign w:val="center"/>
          </w:tcPr>
          <w:p>
            <w:pPr>
              <w:pStyle w:val="10"/>
            </w:pPr>
            <w:r>
              <w:t>2011399</w:t>
            </w:r>
          </w:p>
        </w:tc>
        <w:tc>
          <w:tcPr>
            <w:tcW w:w="1559" w:type="dxa"/>
            <w:vAlign w:val="center"/>
          </w:tcPr>
          <w:p>
            <w:pPr>
              <w:pStyle w:val="10"/>
              <w:rPr>
                <w:rFonts w:cs="Times New Roman"/>
              </w:rPr>
            </w:pPr>
            <w:r>
              <w:rPr>
                <w:rFonts w:hint="eastAsia"/>
              </w:rPr>
              <w:t>其他商贸事务支出</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r>
              <w:t>274.75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5</w:t>
            </w:r>
          </w:p>
        </w:tc>
        <w:tc>
          <w:tcPr>
            <w:tcW w:w="992" w:type="dxa"/>
            <w:vAlign w:val="center"/>
          </w:tcPr>
          <w:p>
            <w:pPr>
              <w:pStyle w:val="10"/>
            </w:pPr>
            <w:r>
              <w:t>208</w:t>
            </w:r>
          </w:p>
        </w:tc>
        <w:tc>
          <w:tcPr>
            <w:tcW w:w="1559" w:type="dxa"/>
            <w:vAlign w:val="center"/>
          </w:tcPr>
          <w:p>
            <w:pPr>
              <w:pStyle w:val="10"/>
              <w:rPr>
                <w:rFonts w:cs="Times New Roman"/>
              </w:rPr>
            </w:pPr>
            <w:r>
              <w:rPr>
                <w:rFonts w:hint="eastAsia"/>
              </w:rPr>
              <w:t>社会保障和就业支出</w:t>
            </w:r>
          </w:p>
        </w:tc>
        <w:tc>
          <w:tcPr>
            <w:tcW w:w="1134" w:type="dxa"/>
            <w:vAlign w:val="center"/>
          </w:tcPr>
          <w:p>
            <w:pPr>
              <w:pStyle w:val="11"/>
            </w:pPr>
            <w:r>
              <w:t>51.81</w:t>
            </w:r>
          </w:p>
        </w:tc>
        <w:tc>
          <w:tcPr>
            <w:tcW w:w="1134" w:type="dxa"/>
            <w:vAlign w:val="center"/>
          </w:tcPr>
          <w:p>
            <w:pPr>
              <w:pStyle w:val="11"/>
            </w:pPr>
            <w:r>
              <w:t>51.81</w:t>
            </w:r>
          </w:p>
        </w:tc>
        <w:tc>
          <w:tcPr>
            <w:tcW w:w="1134" w:type="dxa"/>
            <w:vAlign w:val="center"/>
          </w:tcPr>
          <w:p>
            <w:pPr>
              <w:pStyle w:val="11"/>
            </w:pPr>
            <w:r>
              <w:t>51.81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6</w:t>
            </w:r>
          </w:p>
        </w:tc>
        <w:tc>
          <w:tcPr>
            <w:tcW w:w="992" w:type="dxa"/>
            <w:vAlign w:val="center"/>
          </w:tcPr>
          <w:p>
            <w:pPr>
              <w:pStyle w:val="10"/>
            </w:pPr>
            <w:r>
              <w:t>20805</w:t>
            </w:r>
          </w:p>
        </w:tc>
        <w:tc>
          <w:tcPr>
            <w:tcW w:w="1559" w:type="dxa"/>
            <w:vAlign w:val="center"/>
          </w:tcPr>
          <w:p>
            <w:pPr>
              <w:pStyle w:val="10"/>
              <w:rPr>
                <w:rFonts w:cs="Times New Roman"/>
              </w:rPr>
            </w:pPr>
            <w:r>
              <w:rPr>
                <w:rFonts w:hint="eastAsia"/>
              </w:rPr>
              <w:t>行政事业单位养老支出</w:t>
            </w:r>
          </w:p>
        </w:tc>
        <w:tc>
          <w:tcPr>
            <w:tcW w:w="1134" w:type="dxa"/>
            <w:vAlign w:val="center"/>
          </w:tcPr>
          <w:p>
            <w:pPr>
              <w:pStyle w:val="11"/>
            </w:pPr>
            <w:r>
              <w:t>51.81</w:t>
            </w:r>
          </w:p>
        </w:tc>
        <w:tc>
          <w:tcPr>
            <w:tcW w:w="1134" w:type="dxa"/>
            <w:vAlign w:val="center"/>
          </w:tcPr>
          <w:p>
            <w:pPr>
              <w:pStyle w:val="11"/>
            </w:pPr>
            <w:r>
              <w:t>51.81</w:t>
            </w:r>
          </w:p>
        </w:tc>
        <w:tc>
          <w:tcPr>
            <w:tcW w:w="1134" w:type="dxa"/>
            <w:vAlign w:val="center"/>
          </w:tcPr>
          <w:p>
            <w:pPr>
              <w:pStyle w:val="11"/>
            </w:pPr>
            <w:r>
              <w:t>51.81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7</w:t>
            </w:r>
          </w:p>
        </w:tc>
        <w:tc>
          <w:tcPr>
            <w:tcW w:w="992" w:type="dxa"/>
            <w:vAlign w:val="center"/>
          </w:tcPr>
          <w:p>
            <w:pPr>
              <w:pStyle w:val="10"/>
            </w:pPr>
            <w:r>
              <w:t>2080501</w:t>
            </w:r>
          </w:p>
        </w:tc>
        <w:tc>
          <w:tcPr>
            <w:tcW w:w="1559" w:type="dxa"/>
            <w:vAlign w:val="center"/>
          </w:tcPr>
          <w:p>
            <w:pPr>
              <w:pStyle w:val="10"/>
              <w:rPr>
                <w:rFonts w:cs="Times New Roman"/>
              </w:rPr>
            </w:pPr>
            <w:r>
              <w:rPr>
                <w:rFonts w:hint="eastAsia"/>
              </w:rPr>
              <w:t>行政单位离退休</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8</w:t>
            </w:r>
          </w:p>
        </w:tc>
        <w:tc>
          <w:tcPr>
            <w:tcW w:w="992" w:type="dxa"/>
            <w:vAlign w:val="center"/>
          </w:tcPr>
          <w:p>
            <w:pPr>
              <w:pStyle w:val="10"/>
            </w:pPr>
            <w:r>
              <w:t>2080505</w:t>
            </w:r>
          </w:p>
        </w:tc>
        <w:tc>
          <w:tcPr>
            <w:tcW w:w="1559" w:type="dxa"/>
            <w:vAlign w:val="center"/>
          </w:tcPr>
          <w:p>
            <w:pPr>
              <w:pStyle w:val="10"/>
              <w:rPr>
                <w:rFonts w:cs="Times New Roman"/>
              </w:rPr>
            </w:pPr>
            <w:r>
              <w:rPr>
                <w:rFonts w:hint="eastAsia"/>
              </w:rPr>
              <w:t>机关事业单位基本养老保险缴费支出</w:t>
            </w:r>
          </w:p>
        </w:tc>
        <w:tc>
          <w:tcPr>
            <w:tcW w:w="1134" w:type="dxa"/>
            <w:vAlign w:val="center"/>
          </w:tcPr>
          <w:p>
            <w:pPr>
              <w:pStyle w:val="11"/>
            </w:pPr>
            <w:r>
              <w:t>33.93</w:t>
            </w:r>
          </w:p>
        </w:tc>
        <w:tc>
          <w:tcPr>
            <w:tcW w:w="1134" w:type="dxa"/>
            <w:vAlign w:val="center"/>
          </w:tcPr>
          <w:p>
            <w:pPr>
              <w:pStyle w:val="11"/>
            </w:pPr>
            <w:r>
              <w:t>33.93</w:t>
            </w:r>
          </w:p>
        </w:tc>
        <w:tc>
          <w:tcPr>
            <w:tcW w:w="1134" w:type="dxa"/>
            <w:vAlign w:val="center"/>
          </w:tcPr>
          <w:p>
            <w:pPr>
              <w:pStyle w:val="11"/>
            </w:pPr>
            <w:r>
              <w:t>33.93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9</w:t>
            </w:r>
          </w:p>
        </w:tc>
        <w:tc>
          <w:tcPr>
            <w:tcW w:w="992" w:type="dxa"/>
            <w:vAlign w:val="center"/>
          </w:tcPr>
          <w:p>
            <w:pPr>
              <w:pStyle w:val="10"/>
            </w:pPr>
            <w:r>
              <w:t>2080506</w:t>
            </w:r>
          </w:p>
        </w:tc>
        <w:tc>
          <w:tcPr>
            <w:tcW w:w="1559" w:type="dxa"/>
            <w:vAlign w:val="center"/>
          </w:tcPr>
          <w:p>
            <w:pPr>
              <w:pStyle w:val="10"/>
              <w:rPr>
                <w:rFonts w:cs="Times New Roman"/>
              </w:rPr>
            </w:pPr>
            <w:r>
              <w:rPr>
                <w:rFonts w:hint="eastAsia"/>
              </w:rPr>
              <w:t>机关事业单位职业年金缴费支出</w:t>
            </w:r>
          </w:p>
        </w:tc>
        <w:tc>
          <w:tcPr>
            <w:tcW w:w="1134" w:type="dxa"/>
            <w:vAlign w:val="center"/>
          </w:tcPr>
          <w:p>
            <w:pPr>
              <w:pStyle w:val="11"/>
            </w:pPr>
            <w:r>
              <w:t>16.97</w:t>
            </w:r>
          </w:p>
        </w:tc>
        <w:tc>
          <w:tcPr>
            <w:tcW w:w="1134" w:type="dxa"/>
            <w:vAlign w:val="center"/>
          </w:tcPr>
          <w:p>
            <w:pPr>
              <w:pStyle w:val="11"/>
            </w:pPr>
            <w:r>
              <w:t>16.97</w:t>
            </w:r>
          </w:p>
        </w:tc>
        <w:tc>
          <w:tcPr>
            <w:tcW w:w="1134" w:type="dxa"/>
            <w:vAlign w:val="center"/>
          </w:tcPr>
          <w:p>
            <w:pPr>
              <w:pStyle w:val="11"/>
            </w:pPr>
            <w:r>
              <w:t>16.97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10</w:t>
            </w:r>
          </w:p>
        </w:tc>
        <w:tc>
          <w:tcPr>
            <w:tcW w:w="992" w:type="dxa"/>
            <w:vAlign w:val="center"/>
          </w:tcPr>
          <w:p>
            <w:pPr>
              <w:pStyle w:val="10"/>
            </w:pPr>
            <w:r>
              <w:t>210</w:t>
            </w:r>
          </w:p>
        </w:tc>
        <w:tc>
          <w:tcPr>
            <w:tcW w:w="1559" w:type="dxa"/>
            <w:vAlign w:val="center"/>
          </w:tcPr>
          <w:p>
            <w:pPr>
              <w:pStyle w:val="10"/>
              <w:rPr>
                <w:rFonts w:cs="Times New Roman"/>
              </w:rPr>
            </w:pPr>
            <w:r>
              <w:rPr>
                <w:rFonts w:hint="eastAsia"/>
              </w:rPr>
              <w:t>卫生健康支出</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11</w:t>
            </w:r>
          </w:p>
        </w:tc>
        <w:tc>
          <w:tcPr>
            <w:tcW w:w="992" w:type="dxa"/>
            <w:vAlign w:val="center"/>
          </w:tcPr>
          <w:p>
            <w:pPr>
              <w:pStyle w:val="10"/>
            </w:pPr>
            <w:r>
              <w:t>21012</w:t>
            </w:r>
          </w:p>
        </w:tc>
        <w:tc>
          <w:tcPr>
            <w:tcW w:w="1559" w:type="dxa"/>
            <w:vAlign w:val="center"/>
          </w:tcPr>
          <w:p>
            <w:pPr>
              <w:pStyle w:val="10"/>
              <w:rPr>
                <w:rFonts w:cs="Times New Roman"/>
              </w:rPr>
            </w:pPr>
            <w:r>
              <w:rPr>
                <w:rFonts w:hint="eastAsia"/>
              </w:rPr>
              <w:t>财政对基本医疗保险基金的补助</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12</w:t>
            </w:r>
          </w:p>
        </w:tc>
        <w:tc>
          <w:tcPr>
            <w:tcW w:w="992" w:type="dxa"/>
            <w:vAlign w:val="center"/>
          </w:tcPr>
          <w:p>
            <w:pPr>
              <w:pStyle w:val="10"/>
            </w:pPr>
            <w:r>
              <w:t>2101201</w:t>
            </w:r>
          </w:p>
        </w:tc>
        <w:tc>
          <w:tcPr>
            <w:tcW w:w="1559" w:type="dxa"/>
            <w:vAlign w:val="center"/>
          </w:tcPr>
          <w:p>
            <w:pPr>
              <w:pStyle w:val="10"/>
              <w:rPr>
                <w:rFonts w:cs="Times New Roman"/>
              </w:rPr>
            </w:pPr>
            <w:r>
              <w:rPr>
                <w:rFonts w:hint="eastAsia"/>
              </w:rPr>
              <w:t>财政对职工基本医疗保险基金的补助</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r>
              <w:t>18.02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13</w:t>
            </w:r>
          </w:p>
        </w:tc>
        <w:tc>
          <w:tcPr>
            <w:tcW w:w="992" w:type="dxa"/>
            <w:vAlign w:val="center"/>
          </w:tcPr>
          <w:p>
            <w:pPr>
              <w:pStyle w:val="10"/>
            </w:pPr>
            <w:r>
              <w:t>215</w:t>
            </w:r>
          </w:p>
        </w:tc>
        <w:tc>
          <w:tcPr>
            <w:tcW w:w="1559" w:type="dxa"/>
            <w:vAlign w:val="center"/>
          </w:tcPr>
          <w:p>
            <w:pPr>
              <w:pStyle w:val="10"/>
              <w:rPr>
                <w:rFonts w:cs="Times New Roman"/>
              </w:rPr>
            </w:pPr>
            <w:r>
              <w:rPr>
                <w:rFonts w:hint="eastAsia"/>
              </w:rPr>
              <w:t>资源勘探工业信息等支出</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14</w:t>
            </w:r>
          </w:p>
        </w:tc>
        <w:tc>
          <w:tcPr>
            <w:tcW w:w="992" w:type="dxa"/>
            <w:vAlign w:val="center"/>
          </w:tcPr>
          <w:p>
            <w:pPr>
              <w:pStyle w:val="10"/>
            </w:pPr>
            <w:r>
              <w:t>21508</w:t>
            </w:r>
          </w:p>
        </w:tc>
        <w:tc>
          <w:tcPr>
            <w:tcW w:w="1559" w:type="dxa"/>
            <w:vAlign w:val="center"/>
          </w:tcPr>
          <w:p>
            <w:pPr>
              <w:pStyle w:val="10"/>
              <w:rPr>
                <w:rFonts w:cs="Times New Roman"/>
              </w:rPr>
            </w:pPr>
            <w:r>
              <w:rPr>
                <w:rFonts w:hint="eastAsia"/>
              </w:rPr>
              <w:t>支持中小企业发展和管理支出</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15</w:t>
            </w:r>
          </w:p>
        </w:tc>
        <w:tc>
          <w:tcPr>
            <w:tcW w:w="992" w:type="dxa"/>
            <w:vAlign w:val="center"/>
          </w:tcPr>
          <w:p>
            <w:pPr>
              <w:pStyle w:val="10"/>
            </w:pPr>
            <w:r>
              <w:t>2150899</w:t>
            </w:r>
          </w:p>
        </w:tc>
        <w:tc>
          <w:tcPr>
            <w:tcW w:w="1559" w:type="dxa"/>
            <w:vAlign w:val="center"/>
          </w:tcPr>
          <w:p>
            <w:pPr>
              <w:pStyle w:val="10"/>
              <w:rPr>
                <w:rFonts w:cs="Times New Roman"/>
              </w:rPr>
            </w:pPr>
            <w:r>
              <w:rPr>
                <w:rFonts w:hint="eastAsia"/>
              </w:rPr>
              <w:t>其他支持中小企业发展和管理支出</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r>
              <w:t>650.00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单位预算支出总表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721" w:type="dxa"/>
            <w:gridSpan w:val="2"/>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443" w:type="dxa"/>
            <w:gridSpan w:val="4"/>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5528" w:type="dxa"/>
            <w:gridSpan w:val="2"/>
            <w:vAlign w:val="center"/>
          </w:tcPr>
          <w:p>
            <w:pPr>
              <w:pStyle w:val="8"/>
              <w:rPr>
                <w:rFonts w:cs="Times New Roman"/>
              </w:rPr>
            </w:pPr>
            <w:r>
              <w:rPr>
                <w:rFonts w:hint="eastAsia"/>
              </w:rPr>
              <w:t>功能分类科目</w:t>
            </w:r>
          </w:p>
        </w:tc>
        <w:tc>
          <w:tcPr>
            <w:tcW w:w="1361" w:type="dxa"/>
            <w:vMerge w:val="restart"/>
            <w:vAlign w:val="center"/>
          </w:tcPr>
          <w:p>
            <w:pPr>
              <w:pStyle w:val="8"/>
              <w:rPr>
                <w:rFonts w:cs="Times New Roman"/>
              </w:rPr>
            </w:pPr>
            <w:r>
              <w:rPr>
                <w:rFonts w:hint="eastAsia"/>
              </w:rPr>
              <w:t>合计</w:t>
            </w:r>
          </w:p>
        </w:tc>
        <w:tc>
          <w:tcPr>
            <w:tcW w:w="1361" w:type="dxa"/>
            <w:vMerge w:val="restart"/>
            <w:vAlign w:val="center"/>
          </w:tcPr>
          <w:p>
            <w:pPr>
              <w:pStyle w:val="8"/>
              <w:rPr>
                <w:rFonts w:cs="Times New Roman"/>
              </w:rPr>
            </w:pPr>
            <w:r>
              <w:rPr>
                <w:rFonts w:hint="eastAsia"/>
              </w:rPr>
              <w:t>基本支出</w:t>
            </w:r>
          </w:p>
        </w:tc>
        <w:tc>
          <w:tcPr>
            <w:tcW w:w="1361" w:type="dxa"/>
            <w:vMerge w:val="restart"/>
            <w:vAlign w:val="center"/>
          </w:tcPr>
          <w:p>
            <w:pPr>
              <w:pStyle w:val="8"/>
              <w:rPr>
                <w:rFonts w:cs="Times New Roman"/>
              </w:rPr>
            </w:pPr>
            <w:r>
              <w:rPr>
                <w:rFonts w:hint="eastAsia"/>
              </w:rPr>
              <w:t>项目支出</w:t>
            </w:r>
          </w:p>
        </w:tc>
        <w:tc>
          <w:tcPr>
            <w:tcW w:w="1361" w:type="dxa"/>
            <w:vMerge w:val="restart"/>
            <w:vAlign w:val="center"/>
          </w:tcPr>
          <w:p>
            <w:pPr>
              <w:pStyle w:val="8"/>
              <w:rPr>
                <w:rFonts w:cs="Times New Roman"/>
              </w:rPr>
            </w:pPr>
            <w:r>
              <w:rPr>
                <w:rFonts w:hint="eastAsia"/>
              </w:rPr>
              <w:t>经营支出</w:t>
            </w:r>
          </w:p>
        </w:tc>
        <w:tc>
          <w:tcPr>
            <w:tcW w:w="1361" w:type="dxa"/>
            <w:vMerge w:val="restart"/>
            <w:vAlign w:val="center"/>
          </w:tcPr>
          <w:p>
            <w:pPr>
              <w:pStyle w:val="8"/>
              <w:rPr>
                <w:rFonts w:cs="Times New Roman"/>
              </w:rPr>
            </w:pPr>
            <w:r>
              <w:rPr>
                <w:rFonts w:hint="eastAsia"/>
              </w:rPr>
              <w:t>上解上级</w:t>
            </w:r>
            <w:r>
              <w:t xml:space="preserve">     </w:t>
            </w:r>
            <w:r>
              <w:rPr>
                <w:rFonts w:hint="eastAsia"/>
              </w:rPr>
              <w:t>支出</w:t>
            </w:r>
          </w:p>
        </w:tc>
        <w:tc>
          <w:tcPr>
            <w:tcW w:w="1361" w:type="dxa"/>
            <w:vMerge w:val="restart"/>
            <w:vAlign w:val="center"/>
          </w:tcPr>
          <w:p>
            <w:pPr>
              <w:pStyle w:val="8"/>
              <w:rPr>
                <w:rFonts w:cs="Times New Roman"/>
              </w:rPr>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8"/>
              <w:rPr>
                <w:rFonts w:cs="Times New Roman"/>
              </w:rPr>
            </w:pPr>
            <w:r>
              <w:rPr>
                <w:rFonts w:hint="eastAsia"/>
              </w:rPr>
              <w:t>科目</w:t>
            </w:r>
            <w:r>
              <w:t xml:space="preserve">    </w:t>
            </w:r>
            <w:r>
              <w:rPr>
                <w:rFonts w:hint="eastAsia"/>
              </w:rPr>
              <w:t>编码</w:t>
            </w:r>
          </w:p>
        </w:tc>
        <w:tc>
          <w:tcPr>
            <w:tcW w:w="4535" w:type="dxa"/>
            <w:vAlign w:val="center"/>
          </w:tcPr>
          <w:p>
            <w:pPr>
              <w:pStyle w:val="8"/>
              <w:rPr>
                <w:rFonts w:cs="Times New Roman"/>
              </w:rPr>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992" w:type="dxa"/>
            <w:vAlign w:val="center"/>
          </w:tcPr>
          <w:p>
            <w:pPr>
              <w:pStyle w:val="8"/>
            </w:pPr>
            <w:r>
              <w:t>1</w:t>
            </w:r>
          </w:p>
        </w:tc>
        <w:tc>
          <w:tcPr>
            <w:tcW w:w="4535" w:type="dxa"/>
            <w:vAlign w:val="center"/>
          </w:tcPr>
          <w:p>
            <w:pPr>
              <w:pStyle w:val="8"/>
            </w:pPr>
            <w:r>
              <w:t>2</w:t>
            </w:r>
          </w:p>
        </w:tc>
        <w:tc>
          <w:tcPr>
            <w:tcW w:w="1361" w:type="dxa"/>
            <w:vAlign w:val="center"/>
          </w:tcPr>
          <w:p>
            <w:pPr>
              <w:pStyle w:val="8"/>
            </w:pPr>
            <w:r>
              <w:t>3</w:t>
            </w:r>
          </w:p>
        </w:tc>
        <w:tc>
          <w:tcPr>
            <w:tcW w:w="1361" w:type="dxa"/>
            <w:vAlign w:val="center"/>
          </w:tcPr>
          <w:p>
            <w:pPr>
              <w:pStyle w:val="8"/>
            </w:pPr>
            <w:r>
              <w:t>4</w:t>
            </w:r>
          </w:p>
        </w:tc>
        <w:tc>
          <w:tcPr>
            <w:tcW w:w="1361" w:type="dxa"/>
            <w:vAlign w:val="center"/>
          </w:tcPr>
          <w:p>
            <w:pPr>
              <w:pStyle w:val="8"/>
            </w:pPr>
            <w:r>
              <w:t>5</w:t>
            </w:r>
          </w:p>
        </w:tc>
        <w:tc>
          <w:tcPr>
            <w:tcW w:w="1361" w:type="dxa"/>
            <w:vAlign w:val="center"/>
          </w:tcPr>
          <w:p>
            <w:pPr>
              <w:pStyle w:val="8"/>
            </w:pPr>
            <w:r>
              <w:t>6</w:t>
            </w:r>
          </w:p>
        </w:tc>
        <w:tc>
          <w:tcPr>
            <w:tcW w:w="1361" w:type="dxa"/>
            <w:vAlign w:val="center"/>
          </w:tcPr>
          <w:p>
            <w:pPr>
              <w:pStyle w:val="8"/>
            </w:pPr>
            <w:r>
              <w:t>7</w:t>
            </w:r>
          </w:p>
        </w:tc>
        <w:tc>
          <w:tcPr>
            <w:tcW w:w="1361" w:type="dxa"/>
            <w:vAlign w:val="center"/>
          </w:tcPr>
          <w:p>
            <w:pPr>
              <w:pStyle w:val="8"/>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992" w:type="dxa"/>
            <w:vAlign w:val="center"/>
          </w:tcPr>
          <w:p>
            <w:pPr>
              <w:pStyle w:val="14"/>
              <w:rPr>
                <w:rFonts w:cs="Times New Roman"/>
              </w:rPr>
            </w:pPr>
          </w:p>
        </w:tc>
        <w:tc>
          <w:tcPr>
            <w:tcW w:w="4535" w:type="dxa"/>
            <w:vAlign w:val="center"/>
          </w:tcPr>
          <w:p>
            <w:pPr>
              <w:pStyle w:val="12"/>
              <w:rPr>
                <w:rFonts w:cs="Times New Roman"/>
              </w:rPr>
            </w:pPr>
            <w:r>
              <w:rPr>
                <w:rFonts w:hint="eastAsia"/>
              </w:rPr>
              <w:t>合计</w:t>
            </w:r>
          </w:p>
        </w:tc>
        <w:tc>
          <w:tcPr>
            <w:tcW w:w="1361" w:type="dxa"/>
            <w:vAlign w:val="center"/>
          </w:tcPr>
          <w:p>
            <w:pPr>
              <w:pStyle w:val="13"/>
            </w:pPr>
            <w:r>
              <w:t>994.58</w:t>
            </w:r>
          </w:p>
        </w:tc>
        <w:tc>
          <w:tcPr>
            <w:tcW w:w="1361" w:type="dxa"/>
            <w:vAlign w:val="center"/>
          </w:tcPr>
          <w:p>
            <w:pPr>
              <w:pStyle w:val="13"/>
            </w:pPr>
            <w:r>
              <w:t>344.58</w:t>
            </w: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992" w:type="dxa"/>
            <w:vAlign w:val="center"/>
          </w:tcPr>
          <w:p>
            <w:pPr>
              <w:pStyle w:val="10"/>
            </w:pPr>
            <w:r>
              <w:t>201</w:t>
            </w:r>
          </w:p>
        </w:tc>
        <w:tc>
          <w:tcPr>
            <w:tcW w:w="4535" w:type="dxa"/>
            <w:vAlign w:val="center"/>
          </w:tcPr>
          <w:p>
            <w:pPr>
              <w:pStyle w:val="10"/>
              <w:rPr>
                <w:rFonts w:cs="Times New Roman"/>
              </w:rPr>
            </w:pPr>
            <w:r>
              <w:rPr>
                <w:rFonts w:hint="eastAsia"/>
              </w:rPr>
              <w:t>一般公共服务支出</w:t>
            </w:r>
          </w:p>
        </w:tc>
        <w:tc>
          <w:tcPr>
            <w:tcW w:w="1361" w:type="dxa"/>
            <w:vAlign w:val="center"/>
          </w:tcPr>
          <w:p>
            <w:pPr>
              <w:pStyle w:val="11"/>
            </w:pPr>
            <w:r>
              <w:t>274.75</w:t>
            </w:r>
          </w:p>
        </w:tc>
        <w:tc>
          <w:tcPr>
            <w:tcW w:w="1361" w:type="dxa"/>
            <w:vAlign w:val="center"/>
          </w:tcPr>
          <w:p>
            <w:pPr>
              <w:pStyle w:val="11"/>
            </w:pPr>
            <w:r>
              <w:t>274.75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992" w:type="dxa"/>
            <w:vAlign w:val="center"/>
          </w:tcPr>
          <w:p>
            <w:pPr>
              <w:pStyle w:val="10"/>
            </w:pPr>
            <w:r>
              <w:t>20113</w:t>
            </w:r>
          </w:p>
        </w:tc>
        <w:tc>
          <w:tcPr>
            <w:tcW w:w="4535" w:type="dxa"/>
            <w:vAlign w:val="center"/>
          </w:tcPr>
          <w:p>
            <w:pPr>
              <w:pStyle w:val="10"/>
              <w:rPr>
                <w:rFonts w:cs="Times New Roman"/>
              </w:rPr>
            </w:pPr>
            <w:r>
              <w:rPr>
                <w:rFonts w:hint="eastAsia"/>
              </w:rPr>
              <w:t>商贸事务</w:t>
            </w:r>
          </w:p>
        </w:tc>
        <w:tc>
          <w:tcPr>
            <w:tcW w:w="1361" w:type="dxa"/>
            <w:vAlign w:val="center"/>
          </w:tcPr>
          <w:p>
            <w:pPr>
              <w:pStyle w:val="11"/>
            </w:pPr>
            <w:r>
              <w:t>274.75</w:t>
            </w:r>
          </w:p>
        </w:tc>
        <w:tc>
          <w:tcPr>
            <w:tcW w:w="1361" w:type="dxa"/>
            <w:vAlign w:val="center"/>
          </w:tcPr>
          <w:p>
            <w:pPr>
              <w:pStyle w:val="11"/>
            </w:pPr>
            <w:r>
              <w:t>274.75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992" w:type="dxa"/>
            <w:vAlign w:val="center"/>
          </w:tcPr>
          <w:p>
            <w:pPr>
              <w:pStyle w:val="10"/>
            </w:pPr>
            <w:r>
              <w:t>2011399</w:t>
            </w:r>
          </w:p>
        </w:tc>
        <w:tc>
          <w:tcPr>
            <w:tcW w:w="4535" w:type="dxa"/>
            <w:vAlign w:val="center"/>
          </w:tcPr>
          <w:p>
            <w:pPr>
              <w:pStyle w:val="10"/>
              <w:rPr>
                <w:rFonts w:cs="Times New Roman"/>
              </w:rPr>
            </w:pPr>
            <w:r>
              <w:rPr>
                <w:rFonts w:hint="eastAsia"/>
              </w:rPr>
              <w:t>其他商贸事务支出</w:t>
            </w:r>
          </w:p>
        </w:tc>
        <w:tc>
          <w:tcPr>
            <w:tcW w:w="1361" w:type="dxa"/>
            <w:vAlign w:val="center"/>
          </w:tcPr>
          <w:p>
            <w:pPr>
              <w:pStyle w:val="11"/>
            </w:pPr>
            <w:r>
              <w:t>274.75</w:t>
            </w:r>
          </w:p>
        </w:tc>
        <w:tc>
          <w:tcPr>
            <w:tcW w:w="1361" w:type="dxa"/>
            <w:vAlign w:val="center"/>
          </w:tcPr>
          <w:p>
            <w:pPr>
              <w:pStyle w:val="11"/>
            </w:pPr>
            <w:r>
              <w:t>274.75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992" w:type="dxa"/>
            <w:vAlign w:val="center"/>
          </w:tcPr>
          <w:p>
            <w:pPr>
              <w:pStyle w:val="10"/>
            </w:pPr>
            <w:r>
              <w:t>208</w:t>
            </w:r>
          </w:p>
        </w:tc>
        <w:tc>
          <w:tcPr>
            <w:tcW w:w="4535" w:type="dxa"/>
            <w:vAlign w:val="center"/>
          </w:tcPr>
          <w:p>
            <w:pPr>
              <w:pStyle w:val="10"/>
              <w:rPr>
                <w:rFonts w:cs="Times New Roman"/>
              </w:rPr>
            </w:pPr>
            <w:r>
              <w:rPr>
                <w:rFonts w:hint="eastAsia"/>
              </w:rPr>
              <w:t>社会保障和就业支出</w:t>
            </w:r>
          </w:p>
        </w:tc>
        <w:tc>
          <w:tcPr>
            <w:tcW w:w="1361" w:type="dxa"/>
            <w:vAlign w:val="center"/>
          </w:tcPr>
          <w:p>
            <w:pPr>
              <w:pStyle w:val="11"/>
            </w:pPr>
            <w:r>
              <w:t>51.81</w:t>
            </w:r>
          </w:p>
        </w:tc>
        <w:tc>
          <w:tcPr>
            <w:tcW w:w="1361" w:type="dxa"/>
            <w:vAlign w:val="center"/>
          </w:tcPr>
          <w:p>
            <w:pPr>
              <w:pStyle w:val="11"/>
            </w:pPr>
            <w:r>
              <w:t>51.81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992" w:type="dxa"/>
            <w:vAlign w:val="center"/>
          </w:tcPr>
          <w:p>
            <w:pPr>
              <w:pStyle w:val="10"/>
            </w:pPr>
            <w:r>
              <w:t>20805</w:t>
            </w:r>
          </w:p>
        </w:tc>
        <w:tc>
          <w:tcPr>
            <w:tcW w:w="4535" w:type="dxa"/>
            <w:vAlign w:val="center"/>
          </w:tcPr>
          <w:p>
            <w:pPr>
              <w:pStyle w:val="10"/>
              <w:rPr>
                <w:rFonts w:cs="Times New Roman"/>
              </w:rPr>
            </w:pPr>
            <w:r>
              <w:rPr>
                <w:rFonts w:hint="eastAsia"/>
              </w:rPr>
              <w:t>行政事业单位养老支出</w:t>
            </w:r>
          </w:p>
        </w:tc>
        <w:tc>
          <w:tcPr>
            <w:tcW w:w="1361" w:type="dxa"/>
            <w:vAlign w:val="center"/>
          </w:tcPr>
          <w:p>
            <w:pPr>
              <w:pStyle w:val="11"/>
            </w:pPr>
            <w:r>
              <w:t>51.81</w:t>
            </w:r>
          </w:p>
        </w:tc>
        <w:tc>
          <w:tcPr>
            <w:tcW w:w="1361" w:type="dxa"/>
            <w:vAlign w:val="center"/>
          </w:tcPr>
          <w:p>
            <w:pPr>
              <w:pStyle w:val="11"/>
            </w:pPr>
            <w:r>
              <w:t>51.81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992" w:type="dxa"/>
            <w:vAlign w:val="center"/>
          </w:tcPr>
          <w:p>
            <w:pPr>
              <w:pStyle w:val="10"/>
            </w:pPr>
            <w:r>
              <w:t>2080501</w:t>
            </w:r>
          </w:p>
        </w:tc>
        <w:tc>
          <w:tcPr>
            <w:tcW w:w="4535" w:type="dxa"/>
            <w:vAlign w:val="center"/>
          </w:tcPr>
          <w:p>
            <w:pPr>
              <w:pStyle w:val="10"/>
              <w:rPr>
                <w:rFonts w:cs="Times New Roman"/>
              </w:rPr>
            </w:pPr>
            <w:r>
              <w:rPr>
                <w:rFonts w:hint="eastAsia"/>
              </w:rPr>
              <w:t>行政单位离退休</w:t>
            </w:r>
          </w:p>
        </w:tc>
        <w:tc>
          <w:tcPr>
            <w:tcW w:w="1361" w:type="dxa"/>
            <w:vAlign w:val="center"/>
          </w:tcPr>
          <w:p>
            <w:pPr>
              <w:pStyle w:val="11"/>
            </w:pPr>
            <w:r>
              <w:t>0.91</w:t>
            </w:r>
          </w:p>
        </w:tc>
        <w:tc>
          <w:tcPr>
            <w:tcW w:w="1361" w:type="dxa"/>
            <w:vAlign w:val="center"/>
          </w:tcPr>
          <w:p>
            <w:pPr>
              <w:pStyle w:val="11"/>
            </w:pPr>
            <w:r>
              <w:t>0.91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992" w:type="dxa"/>
            <w:vAlign w:val="center"/>
          </w:tcPr>
          <w:p>
            <w:pPr>
              <w:pStyle w:val="10"/>
            </w:pPr>
            <w:r>
              <w:t>2080505</w:t>
            </w:r>
          </w:p>
        </w:tc>
        <w:tc>
          <w:tcPr>
            <w:tcW w:w="4535" w:type="dxa"/>
            <w:vAlign w:val="center"/>
          </w:tcPr>
          <w:p>
            <w:pPr>
              <w:pStyle w:val="10"/>
              <w:rPr>
                <w:rFonts w:cs="Times New Roman"/>
              </w:rPr>
            </w:pPr>
            <w:r>
              <w:rPr>
                <w:rFonts w:hint="eastAsia"/>
              </w:rPr>
              <w:t>机关事业单位基本养老保险缴费支出</w:t>
            </w:r>
          </w:p>
        </w:tc>
        <w:tc>
          <w:tcPr>
            <w:tcW w:w="1361" w:type="dxa"/>
            <w:vAlign w:val="center"/>
          </w:tcPr>
          <w:p>
            <w:pPr>
              <w:pStyle w:val="11"/>
            </w:pPr>
            <w:r>
              <w:t>33.93</w:t>
            </w:r>
          </w:p>
        </w:tc>
        <w:tc>
          <w:tcPr>
            <w:tcW w:w="1361" w:type="dxa"/>
            <w:vAlign w:val="center"/>
          </w:tcPr>
          <w:p>
            <w:pPr>
              <w:pStyle w:val="11"/>
            </w:pPr>
            <w:r>
              <w:t>33.93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992" w:type="dxa"/>
            <w:vAlign w:val="center"/>
          </w:tcPr>
          <w:p>
            <w:pPr>
              <w:pStyle w:val="10"/>
            </w:pPr>
            <w:r>
              <w:t>2080506</w:t>
            </w:r>
          </w:p>
        </w:tc>
        <w:tc>
          <w:tcPr>
            <w:tcW w:w="4535" w:type="dxa"/>
            <w:vAlign w:val="center"/>
          </w:tcPr>
          <w:p>
            <w:pPr>
              <w:pStyle w:val="10"/>
              <w:rPr>
                <w:rFonts w:cs="Times New Roman"/>
              </w:rPr>
            </w:pPr>
            <w:r>
              <w:rPr>
                <w:rFonts w:hint="eastAsia"/>
              </w:rPr>
              <w:t>机关事业单位职业年金缴费支出</w:t>
            </w:r>
          </w:p>
        </w:tc>
        <w:tc>
          <w:tcPr>
            <w:tcW w:w="1361" w:type="dxa"/>
            <w:vAlign w:val="center"/>
          </w:tcPr>
          <w:p>
            <w:pPr>
              <w:pStyle w:val="11"/>
            </w:pPr>
            <w:r>
              <w:t>16.97</w:t>
            </w:r>
          </w:p>
        </w:tc>
        <w:tc>
          <w:tcPr>
            <w:tcW w:w="1361" w:type="dxa"/>
            <w:vAlign w:val="center"/>
          </w:tcPr>
          <w:p>
            <w:pPr>
              <w:pStyle w:val="11"/>
            </w:pPr>
            <w:r>
              <w:t>16.97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992" w:type="dxa"/>
            <w:vAlign w:val="center"/>
          </w:tcPr>
          <w:p>
            <w:pPr>
              <w:pStyle w:val="10"/>
            </w:pPr>
            <w:r>
              <w:t>210</w:t>
            </w:r>
          </w:p>
        </w:tc>
        <w:tc>
          <w:tcPr>
            <w:tcW w:w="4535" w:type="dxa"/>
            <w:vAlign w:val="center"/>
          </w:tcPr>
          <w:p>
            <w:pPr>
              <w:pStyle w:val="10"/>
              <w:rPr>
                <w:rFonts w:cs="Times New Roman"/>
              </w:rPr>
            </w:pPr>
            <w:r>
              <w:rPr>
                <w:rFonts w:hint="eastAsia"/>
              </w:rPr>
              <w:t>卫生健康支出</w:t>
            </w:r>
          </w:p>
        </w:tc>
        <w:tc>
          <w:tcPr>
            <w:tcW w:w="1361" w:type="dxa"/>
            <w:vAlign w:val="center"/>
          </w:tcPr>
          <w:p>
            <w:pPr>
              <w:pStyle w:val="11"/>
            </w:pPr>
            <w:r>
              <w:t>18.02</w:t>
            </w:r>
          </w:p>
        </w:tc>
        <w:tc>
          <w:tcPr>
            <w:tcW w:w="1361" w:type="dxa"/>
            <w:vAlign w:val="center"/>
          </w:tcPr>
          <w:p>
            <w:pPr>
              <w:pStyle w:val="11"/>
            </w:pPr>
            <w:r>
              <w:t>18.02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992" w:type="dxa"/>
            <w:vAlign w:val="center"/>
          </w:tcPr>
          <w:p>
            <w:pPr>
              <w:pStyle w:val="10"/>
            </w:pPr>
            <w:r>
              <w:t>21012</w:t>
            </w:r>
          </w:p>
        </w:tc>
        <w:tc>
          <w:tcPr>
            <w:tcW w:w="4535" w:type="dxa"/>
            <w:vAlign w:val="center"/>
          </w:tcPr>
          <w:p>
            <w:pPr>
              <w:pStyle w:val="10"/>
              <w:rPr>
                <w:rFonts w:cs="Times New Roman"/>
              </w:rPr>
            </w:pPr>
            <w:r>
              <w:rPr>
                <w:rFonts w:hint="eastAsia"/>
              </w:rPr>
              <w:t>财政对基本医疗保险基金的补助</w:t>
            </w:r>
          </w:p>
        </w:tc>
        <w:tc>
          <w:tcPr>
            <w:tcW w:w="1361" w:type="dxa"/>
            <w:vAlign w:val="center"/>
          </w:tcPr>
          <w:p>
            <w:pPr>
              <w:pStyle w:val="11"/>
            </w:pPr>
            <w:r>
              <w:t>18.02</w:t>
            </w:r>
          </w:p>
        </w:tc>
        <w:tc>
          <w:tcPr>
            <w:tcW w:w="1361" w:type="dxa"/>
            <w:vAlign w:val="center"/>
          </w:tcPr>
          <w:p>
            <w:pPr>
              <w:pStyle w:val="11"/>
            </w:pPr>
            <w:r>
              <w:t>18.02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992" w:type="dxa"/>
            <w:vAlign w:val="center"/>
          </w:tcPr>
          <w:p>
            <w:pPr>
              <w:pStyle w:val="10"/>
            </w:pPr>
            <w:r>
              <w:t>2101201</w:t>
            </w:r>
          </w:p>
        </w:tc>
        <w:tc>
          <w:tcPr>
            <w:tcW w:w="4535" w:type="dxa"/>
            <w:vAlign w:val="center"/>
          </w:tcPr>
          <w:p>
            <w:pPr>
              <w:pStyle w:val="10"/>
              <w:rPr>
                <w:rFonts w:cs="Times New Roman"/>
              </w:rPr>
            </w:pPr>
            <w:r>
              <w:rPr>
                <w:rFonts w:hint="eastAsia"/>
              </w:rPr>
              <w:t>财政对职工基本医疗保险基金的补助</w:t>
            </w:r>
          </w:p>
        </w:tc>
        <w:tc>
          <w:tcPr>
            <w:tcW w:w="1361" w:type="dxa"/>
            <w:vAlign w:val="center"/>
          </w:tcPr>
          <w:p>
            <w:pPr>
              <w:pStyle w:val="11"/>
            </w:pPr>
            <w:r>
              <w:t>18.02</w:t>
            </w:r>
          </w:p>
        </w:tc>
        <w:tc>
          <w:tcPr>
            <w:tcW w:w="1361" w:type="dxa"/>
            <w:vAlign w:val="center"/>
          </w:tcPr>
          <w:p>
            <w:pPr>
              <w:pStyle w:val="11"/>
            </w:pPr>
            <w:r>
              <w:t>18.02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992" w:type="dxa"/>
            <w:vAlign w:val="center"/>
          </w:tcPr>
          <w:p>
            <w:pPr>
              <w:pStyle w:val="10"/>
            </w:pPr>
            <w:r>
              <w:t>215</w:t>
            </w:r>
          </w:p>
        </w:tc>
        <w:tc>
          <w:tcPr>
            <w:tcW w:w="4535" w:type="dxa"/>
            <w:vAlign w:val="center"/>
          </w:tcPr>
          <w:p>
            <w:pPr>
              <w:pStyle w:val="10"/>
              <w:rPr>
                <w:rFonts w:cs="Times New Roman"/>
              </w:rPr>
            </w:pPr>
            <w:r>
              <w:rPr>
                <w:rFonts w:hint="eastAsia"/>
              </w:rPr>
              <w:t>资源勘探工业信息等支出</w:t>
            </w: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992" w:type="dxa"/>
            <w:vAlign w:val="center"/>
          </w:tcPr>
          <w:p>
            <w:pPr>
              <w:pStyle w:val="10"/>
            </w:pPr>
            <w:r>
              <w:t>21508</w:t>
            </w:r>
          </w:p>
        </w:tc>
        <w:tc>
          <w:tcPr>
            <w:tcW w:w="4535" w:type="dxa"/>
            <w:vAlign w:val="center"/>
          </w:tcPr>
          <w:p>
            <w:pPr>
              <w:pStyle w:val="10"/>
              <w:rPr>
                <w:rFonts w:cs="Times New Roman"/>
              </w:rPr>
            </w:pPr>
            <w:r>
              <w:rPr>
                <w:rFonts w:hint="eastAsia"/>
              </w:rPr>
              <w:t>支持中小企业发展和管理支出</w:t>
            </w: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992" w:type="dxa"/>
            <w:vAlign w:val="center"/>
          </w:tcPr>
          <w:p>
            <w:pPr>
              <w:pStyle w:val="10"/>
            </w:pPr>
            <w:r>
              <w:t>2150899</w:t>
            </w:r>
          </w:p>
        </w:tc>
        <w:tc>
          <w:tcPr>
            <w:tcW w:w="4535" w:type="dxa"/>
            <w:vAlign w:val="center"/>
          </w:tcPr>
          <w:p>
            <w:pPr>
              <w:pStyle w:val="10"/>
              <w:rPr>
                <w:rFonts w:cs="Times New Roman"/>
              </w:rPr>
            </w:pPr>
            <w:r>
              <w:rPr>
                <w:rFonts w:hint="eastAsia"/>
              </w:rPr>
              <w:t>其他支持中小企业发展和管理支出</w:t>
            </w: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r>
              <w:t>650.00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单位预算财政拨款收支总表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3402"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896" w:type="dxa"/>
            <w:gridSpan w:val="4"/>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4876" w:type="dxa"/>
            <w:gridSpan w:val="2"/>
            <w:vAlign w:val="center"/>
          </w:tcPr>
          <w:p>
            <w:pPr>
              <w:pStyle w:val="8"/>
              <w:rPr>
                <w:rFonts w:cs="Times New Roman"/>
              </w:rPr>
            </w:pPr>
            <w:r>
              <w:rPr>
                <w:rFonts w:hint="eastAsia"/>
              </w:rPr>
              <w:t>收入</w:t>
            </w:r>
          </w:p>
        </w:tc>
        <w:tc>
          <w:tcPr>
            <w:tcW w:w="9298" w:type="dxa"/>
            <w:gridSpan w:val="5"/>
            <w:vAlign w:val="center"/>
          </w:tcPr>
          <w:p>
            <w:pPr>
              <w:pStyle w:val="8"/>
              <w:rPr>
                <w:rFonts w:cs="Times New Roman"/>
              </w:rPr>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8"/>
              <w:rPr>
                <w:rFonts w:cs="Times New Roman"/>
              </w:rPr>
            </w:pPr>
            <w:r>
              <w:rPr>
                <w:rFonts w:hint="eastAsia"/>
              </w:rPr>
              <w:t>项</w:t>
            </w:r>
            <w:r>
              <w:t xml:space="preserve">  </w:t>
            </w:r>
            <w:r>
              <w:rPr>
                <w:rFonts w:hint="eastAsia"/>
              </w:rPr>
              <w:t>目</w:t>
            </w:r>
          </w:p>
        </w:tc>
        <w:tc>
          <w:tcPr>
            <w:tcW w:w="1474" w:type="dxa"/>
            <w:vAlign w:val="center"/>
          </w:tcPr>
          <w:p>
            <w:pPr>
              <w:pStyle w:val="8"/>
              <w:rPr>
                <w:rFonts w:cs="Times New Roman"/>
              </w:rPr>
            </w:pPr>
            <w:r>
              <w:rPr>
                <w:rFonts w:hint="eastAsia"/>
              </w:rPr>
              <w:t>金额</w:t>
            </w:r>
          </w:p>
        </w:tc>
        <w:tc>
          <w:tcPr>
            <w:tcW w:w="3402" w:type="dxa"/>
            <w:vAlign w:val="center"/>
          </w:tcPr>
          <w:p>
            <w:pPr>
              <w:pStyle w:val="8"/>
              <w:rPr>
                <w:rFonts w:cs="Times New Roman"/>
              </w:rPr>
            </w:pPr>
            <w:r>
              <w:rPr>
                <w:rFonts w:hint="eastAsia"/>
              </w:rPr>
              <w:t>项</w:t>
            </w:r>
            <w:r>
              <w:t xml:space="preserve">  </w:t>
            </w:r>
            <w:r>
              <w:rPr>
                <w:rFonts w:hint="eastAsia"/>
              </w:rPr>
              <w:t>目</w:t>
            </w:r>
          </w:p>
        </w:tc>
        <w:tc>
          <w:tcPr>
            <w:tcW w:w="1474" w:type="dxa"/>
            <w:vAlign w:val="center"/>
          </w:tcPr>
          <w:p>
            <w:pPr>
              <w:pStyle w:val="8"/>
              <w:rPr>
                <w:rFonts w:cs="Times New Roman"/>
              </w:rPr>
            </w:pPr>
            <w:r>
              <w:rPr>
                <w:rFonts w:hint="eastAsia"/>
              </w:rPr>
              <w:t>合计</w:t>
            </w:r>
          </w:p>
        </w:tc>
        <w:tc>
          <w:tcPr>
            <w:tcW w:w="1474" w:type="dxa"/>
            <w:vAlign w:val="center"/>
          </w:tcPr>
          <w:p>
            <w:pPr>
              <w:pStyle w:val="8"/>
              <w:rPr>
                <w:rFonts w:cs="Times New Roman"/>
              </w:rPr>
            </w:pPr>
            <w:r>
              <w:rPr>
                <w:rFonts w:hint="eastAsia"/>
              </w:rPr>
              <w:t>一般公共预算财政拨款</w:t>
            </w:r>
          </w:p>
        </w:tc>
        <w:tc>
          <w:tcPr>
            <w:tcW w:w="1474" w:type="dxa"/>
            <w:vAlign w:val="center"/>
          </w:tcPr>
          <w:p>
            <w:pPr>
              <w:pStyle w:val="8"/>
              <w:rPr>
                <w:rFonts w:cs="Times New Roman"/>
              </w:rPr>
            </w:pPr>
            <w:r>
              <w:rPr>
                <w:rFonts w:hint="eastAsia"/>
              </w:rPr>
              <w:t>政府性基金预算财政</w:t>
            </w:r>
            <w:r>
              <w:t xml:space="preserve">    </w:t>
            </w:r>
            <w:r>
              <w:rPr>
                <w:rFonts w:hint="eastAsia"/>
              </w:rPr>
              <w:t>拨款</w:t>
            </w:r>
          </w:p>
        </w:tc>
        <w:tc>
          <w:tcPr>
            <w:tcW w:w="1474" w:type="dxa"/>
            <w:vAlign w:val="center"/>
          </w:tcPr>
          <w:p>
            <w:pPr>
              <w:pStyle w:val="8"/>
              <w:rPr>
                <w:rFonts w:cs="Times New Roman"/>
              </w:rPr>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3402" w:type="dxa"/>
            <w:vAlign w:val="center"/>
          </w:tcPr>
          <w:p>
            <w:pPr>
              <w:pStyle w:val="8"/>
            </w:pPr>
            <w:r>
              <w:t>1</w:t>
            </w:r>
          </w:p>
        </w:tc>
        <w:tc>
          <w:tcPr>
            <w:tcW w:w="1474" w:type="dxa"/>
            <w:vAlign w:val="center"/>
          </w:tcPr>
          <w:p>
            <w:pPr>
              <w:pStyle w:val="8"/>
            </w:pPr>
            <w:r>
              <w:t>2</w:t>
            </w:r>
          </w:p>
        </w:tc>
        <w:tc>
          <w:tcPr>
            <w:tcW w:w="3402" w:type="dxa"/>
            <w:vAlign w:val="center"/>
          </w:tcPr>
          <w:p>
            <w:pPr>
              <w:pStyle w:val="8"/>
            </w:pPr>
            <w:r>
              <w:t>3</w:t>
            </w:r>
          </w:p>
        </w:tc>
        <w:tc>
          <w:tcPr>
            <w:tcW w:w="1474" w:type="dxa"/>
            <w:vAlign w:val="center"/>
          </w:tcPr>
          <w:p>
            <w:pPr>
              <w:pStyle w:val="8"/>
            </w:pPr>
            <w:r>
              <w:t>4</w:t>
            </w:r>
          </w:p>
        </w:tc>
        <w:tc>
          <w:tcPr>
            <w:tcW w:w="1474" w:type="dxa"/>
            <w:vAlign w:val="center"/>
          </w:tcPr>
          <w:p>
            <w:pPr>
              <w:pStyle w:val="8"/>
            </w:pPr>
            <w:r>
              <w:t>5</w:t>
            </w:r>
          </w:p>
        </w:tc>
        <w:tc>
          <w:tcPr>
            <w:tcW w:w="1474" w:type="dxa"/>
            <w:vAlign w:val="center"/>
          </w:tcPr>
          <w:p>
            <w:pPr>
              <w:pStyle w:val="8"/>
            </w:pPr>
            <w:r>
              <w:t>6</w:t>
            </w:r>
          </w:p>
        </w:tc>
        <w:tc>
          <w:tcPr>
            <w:tcW w:w="1474" w:type="dxa"/>
            <w:vAlign w:val="center"/>
          </w:tcPr>
          <w:p>
            <w:pPr>
              <w:pStyle w:val="8"/>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3402" w:type="dxa"/>
            <w:vAlign w:val="center"/>
          </w:tcPr>
          <w:p>
            <w:pPr>
              <w:pStyle w:val="10"/>
              <w:rPr>
                <w:rFonts w:cs="Times New Roman"/>
              </w:rPr>
            </w:pPr>
            <w:r>
              <w:rPr>
                <w:rFonts w:hint="eastAsia"/>
              </w:rPr>
              <w:t>一、一般公共预算拨款</w:t>
            </w:r>
          </w:p>
        </w:tc>
        <w:tc>
          <w:tcPr>
            <w:tcW w:w="1474" w:type="dxa"/>
            <w:vAlign w:val="center"/>
          </w:tcPr>
          <w:p>
            <w:pPr>
              <w:pStyle w:val="11"/>
            </w:pPr>
            <w:r>
              <w:t>994.58</w:t>
            </w:r>
          </w:p>
        </w:tc>
        <w:tc>
          <w:tcPr>
            <w:tcW w:w="3402" w:type="dxa"/>
            <w:vAlign w:val="center"/>
          </w:tcPr>
          <w:p>
            <w:pPr>
              <w:pStyle w:val="10"/>
              <w:rPr>
                <w:rFonts w:cs="Times New Roman"/>
              </w:rPr>
            </w:pPr>
            <w:r>
              <w:rPr>
                <w:rFonts w:hint="eastAsia"/>
              </w:rPr>
              <w:t>一、一般公共服务支出</w:t>
            </w:r>
          </w:p>
        </w:tc>
        <w:tc>
          <w:tcPr>
            <w:tcW w:w="1474" w:type="dxa"/>
            <w:vAlign w:val="center"/>
          </w:tcPr>
          <w:p>
            <w:pPr>
              <w:pStyle w:val="11"/>
            </w:pPr>
            <w:r>
              <w:t>274.75</w:t>
            </w:r>
          </w:p>
        </w:tc>
        <w:tc>
          <w:tcPr>
            <w:tcW w:w="1474" w:type="dxa"/>
            <w:vAlign w:val="center"/>
          </w:tcPr>
          <w:p>
            <w:pPr>
              <w:pStyle w:val="11"/>
            </w:pPr>
            <w:r>
              <w:t>274.75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3402" w:type="dxa"/>
            <w:vAlign w:val="center"/>
          </w:tcPr>
          <w:p>
            <w:pPr>
              <w:pStyle w:val="10"/>
              <w:rPr>
                <w:rFonts w:cs="Times New Roman"/>
              </w:rPr>
            </w:pPr>
            <w:r>
              <w:rPr>
                <w:rFonts w:hint="eastAsia"/>
              </w:rPr>
              <w:t>二、政府性基金预算拨款</w:t>
            </w: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二、外交支出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3402" w:type="dxa"/>
            <w:vAlign w:val="center"/>
          </w:tcPr>
          <w:p>
            <w:pPr>
              <w:pStyle w:val="10"/>
              <w:rPr>
                <w:rFonts w:cs="Times New Roman"/>
              </w:rPr>
            </w:pPr>
            <w:r>
              <w:rPr>
                <w:rFonts w:hint="eastAsia"/>
              </w:rPr>
              <w:t>三、国有资本经营预算拨款</w:t>
            </w: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三、国防支出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四、公共安全支出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五、教育支出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六、科学技术支出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七、文化旅游体育与传媒支出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八、社会保障和就业支出</w:t>
            </w:r>
          </w:p>
        </w:tc>
        <w:tc>
          <w:tcPr>
            <w:tcW w:w="1474" w:type="dxa"/>
            <w:vAlign w:val="center"/>
          </w:tcPr>
          <w:p>
            <w:pPr>
              <w:pStyle w:val="11"/>
            </w:pPr>
            <w:r>
              <w:t>51.81</w:t>
            </w:r>
          </w:p>
        </w:tc>
        <w:tc>
          <w:tcPr>
            <w:tcW w:w="1474" w:type="dxa"/>
            <w:vAlign w:val="center"/>
          </w:tcPr>
          <w:p>
            <w:pPr>
              <w:pStyle w:val="11"/>
            </w:pPr>
            <w:r>
              <w:t>51.81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九、社会保险基金支出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十、卫生健康支出</w:t>
            </w:r>
          </w:p>
        </w:tc>
        <w:tc>
          <w:tcPr>
            <w:tcW w:w="1474" w:type="dxa"/>
            <w:vAlign w:val="center"/>
          </w:tcPr>
          <w:p>
            <w:pPr>
              <w:pStyle w:val="11"/>
            </w:pPr>
            <w:r>
              <w:t>18.02</w:t>
            </w:r>
          </w:p>
        </w:tc>
        <w:tc>
          <w:tcPr>
            <w:tcW w:w="1474" w:type="dxa"/>
            <w:vAlign w:val="center"/>
          </w:tcPr>
          <w:p>
            <w:pPr>
              <w:pStyle w:val="11"/>
            </w:pPr>
            <w:r>
              <w:t>18.02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十一、节能环保支出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十二、城乡社区支出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十三、农林水支出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十四、交通运输支出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十五、资源勘探工业信息等支出</w:t>
            </w:r>
          </w:p>
        </w:tc>
        <w:tc>
          <w:tcPr>
            <w:tcW w:w="1474" w:type="dxa"/>
            <w:vAlign w:val="center"/>
          </w:tcPr>
          <w:p>
            <w:pPr>
              <w:pStyle w:val="11"/>
            </w:pPr>
            <w:r>
              <w:t>650.00</w:t>
            </w:r>
          </w:p>
        </w:tc>
        <w:tc>
          <w:tcPr>
            <w:tcW w:w="1474" w:type="dxa"/>
            <w:vAlign w:val="center"/>
          </w:tcPr>
          <w:p>
            <w:pPr>
              <w:pStyle w:val="11"/>
            </w:pPr>
            <w:r>
              <w:t>650.00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十六、商业服务业等支出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十七、金融支出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十八、援助其他地区支出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十九、自然资源海洋气象等支出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二十、住房保障支出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二十一、粮油物资储备支出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二十二、国有资本经营预算支出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二十三、灾害防治及应急管理支出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二十四、预备费</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二十五、其他支出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二十六、转移性支出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二十七、债务还本支出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二十八、债务付息支出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二十九、债务发行费用支出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三十、抗疫特别国债安排的支出</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三十一、人行科目</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3402" w:type="dxa"/>
            <w:vAlign w:val="center"/>
          </w:tcPr>
          <w:p>
            <w:pPr>
              <w:pStyle w:val="12"/>
              <w:rPr>
                <w:rFonts w:cs="Times New Roman"/>
              </w:rPr>
            </w:pPr>
            <w:r>
              <w:rPr>
                <w:rFonts w:hint="eastAsia"/>
              </w:rPr>
              <w:t>本年收入合计</w:t>
            </w:r>
          </w:p>
        </w:tc>
        <w:tc>
          <w:tcPr>
            <w:tcW w:w="1474" w:type="dxa"/>
            <w:vAlign w:val="center"/>
          </w:tcPr>
          <w:p>
            <w:pPr>
              <w:pStyle w:val="13"/>
            </w:pPr>
            <w:r>
              <w:t>994.58</w:t>
            </w:r>
          </w:p>
        </w:tc>
        <w:tc>
          <w:tcPr>
            <w:tcW w:w="3402" w:type="dxa"/>
            <w:vAlign w:val="center"/>
          </w:tcPr>
          <w:p>
            <w:pPr>
              <w:pStyle w:val="12"/>
              <w:rPr>
                <w:rFonts w:cs="Times New Roman"/>
              </w:rPr>
            </w:pPr>
            <w:r>
              <w:rPr>
                <w:rFonts w:hint="eastAsia"/>
              </w:rPr>
              <w:t>本年支出合计</w:t>
            </w:r>
          </w:p>
        </w:tc>
        <w:tc>
          <w:tcPr>
            <w:tcW w:w="1474" w:type="dxa"/>
            <w:vAlign w:val="center"/>
          </w:tcPr>
          <w:p>
            <w:pPr>
              <w:pStyle w:val="13"/>
            </w:pPr>
            <w:r>
              <w:t>994.58</w:t>
            </w:r>
          </w:p>
        </w:tc>
        <w:tc>
          <w:tcPr>
            <w:tcW w:w="1474" w:type="dxa"/>
            <w:vAlign w:val="center"/>
          </w:tcPr>
          <w:p>
            <w:pPr>
              <w:pStyle w:val="13"/>
            </w:pPr>
            <w:r>
              <w:t>994.58</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33</w:t>
            </w:r>
          </w:p>
        </w:tc>
        <w:tc>
          <w:tcPr>
            <w:tcW w:w="3402" w:type="dxa"/>
            <w:vAlign w:val="center"/>
          </w:tcPr>
          <w:p>
            <w:pPr>
              <w:pStyle w:val="10"/>
              <w:rPr>
                <w:rFonts w:cs="Times New Roman"/>
              </w:rPr>
            </w:pPr>
            <w:r>
              <w:rPr>
                <w:rFonts w:hint="eastAsia"/>
              </w:rPr>
              <w:t>年初财政拨款结转和结余</w:t>
            </w:r>
          </w:p>
        </w:tc>
        <w:tc>
          <w:tcPr>
            <w:tcW w:w="1474" w:type="dxa"/>
            <w:vAlign w:val="center"/>
          </w:tcPr>
          <w:p>
            <w:pPr>
              <w:pStyle w:val="11"/>
              <w:rPr>
                <w:rFonts w:cs="Times New Roman"/>
              </w:rPr>
            </w:pPr>
          </w:p>
        </w:tc>
        <w:tc>
          <w:tcPr>
            <w:tcW w:w="3402" w:type="dxa"/>
            <w:vAlign w:val="center"/>
          </w:tcPr>
          <w:p>
            <w:pPr>
              <w:pStyle w:val="10"/>
              <w:rPr>
                <w:rFonts w:cs="Times New Roman"/>
              </w:rPr>
            </w:pPr>
            <w:r>
              <w:rPr>
                <w:rFonts w:hint="eastAsia"/>
              </w:rPr>
              <w:t>年末财政拨款结转和结余</w:t>
            </w: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34</w:t>
            </w:r>
          </w:p>
        </w:tc>
        <w:tc>
          <w:tcPr>
            <w:tcW w:w="3402" w:type="dxa"/>
            <w:vAlign w:val="center"/>
          </w:tcPr>
          <w:p>
            <w:pPr>
              <w:pStyle w:val="10"/>
              <w:rPr>
                <w:rFonts w:cs="Times New Roman"/>
              </w:rPr>
            </w:pPr>
            <w:r>
              <w:rPr>
                <w:rFonts w:hint="eastAsia"/>
              </w:rPr>
              <w:t>一、一般公共预算拨款</w:t>
            </w:r>
          </w:p>
        </w:tc>
        <w:tc>
          <w:tcPr>
            <w:tcW w:w="1474" w:type="dxa"/>
            <w:vAlign w:val="center"/>
          </w:tcPr>
          <w:p>
            <w:pPr>
              <w:pStyle w:val="11"/>
              <w:rPr>
                <w:rFonts w:cs="Times New Roman"/>
              </w:rPr>
            </w:pP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35</w:t>
            </w:r>
          </w:p>
        </w:tc>
        <w:tc>
          <w:tcPr>
            <w:tcW w:w="3402" w:type="dxa"/>
            <w:vAlign w:val="center"/>
          </w:tcPr>
          <w:p>
            <w:pPr>
              <w:pStyle w:val="10"/>
              <w:rPr>
                <w:rFonts w:cs="Times New Roman"/>
              </w:rPr>
            </w:pPr>
            <w:r>
              <w:rPr>
                <w:rFonts w:hint="eastAsia"/>
              </w:rPr>
              <w:t>二、政府性基金预算拨款</w:t>
            </w:r>
          </w:p>
        </w:tc>
        <w:tc>
          <w:tcPr>
            <w:tcW w:w="1474" w:type="dxa"/>
            <w:vAlign w:val="center"/>
          </w:tcPr>
          <w:p>
            <w:pPr>
              <w:pStyle w:val="11"/>
              <w:rPr>
                <w:rFonts w:cs="Times New Roman"/>
              </w:rPr>
            </w:pP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36</w:t>
            </w:r>
          </w:p>
        </w:tc>
        <w:tc>
          <w:tcPr>
            <w:tcW w:w="3402" w:type="dxa"/>
            <w:vAlign w:val="center"/>
          </w:tcPr>
          <w:p>
            <w:pPr>
              <w:pStyle w:val="10"/>
              <w:rPr>
                <w:rFonts w:cs="Times New Roman"/>
              </w:rPr>
            </w:pPr>
            <w:r>
              <w:rPr>
                <w:rFonts w:hint="eastAsia"/>
              </w:rPr>
              <w:t>三、国有资本经营预算拨款</w:t>
            </w:r>
          </w:p>
        </w:tc>
        <w:tc>
          <w:tcPr>
            <w:tcW w:w="1474" w:type="dxa"/>
            <w:vAlign w:val="center"/>
          </w:tcPr>
          <w:p>
            <w:pPr>
              <w:pStyle w:val="11"/>
              <w:rPr>
                <w:rFonts w:cs="Times New Roman"/>
              </w:rPr>
            </w:pPr>
          </w:p>
        </w:tc>
        <w:tc>
          <w:tcPr>
            <w:tcW w:w="3402" w:type="dxa"/>
            <w:vAlign w:val="center"/>
          </w:tcPr>
          <w:p>
            <w:pPr>
              <w:pStyle w:val="10"/>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c>
          <w:tcPr>
            <w:tcW w:w="1474" w:type="dxa"/>
            <w:vAlign w:val="center"/>
          </w:tcPr>
          <w:p>
            <w:pPr>
              <w:pStyle w:val="11"/>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37</w:t>
            </w:r>
          </w:p>
        </w:tc>
        <w:tc>
          <w:tcPr>
            <w:tcW w:w="3402" w:type="dxa"/>
            <w:vAlign w:val="center"/>
          </w:tcPr>
          <w:p>
            <w:pPr>
              <w:pStyle w:val="12"/>
              <w:rPr>
                <w:rFonts w:cs="Times New Roman"/>
              </w:rPr>
            </w:pPr>
            <w:r>
              <w:rPr>
                <w:rFonts w:hint="eastAsia"/>
              </w:rPr>
              <w:t>收入总计</w:t>
            </w:r>
          </w:p>
        </w:tc>
        <w:tc>
          <w:tcPr>
            <w:tcW w:w="1474" w:type="dxa"/>
            <w:vAlign w:val="center"/>
          </w:tcPr>
          <w:p>
            <w:pPr>
              <w:pStyle w:val="13"/>
            </w:pPr>
            <w:r>
              <w:t>994.58</w:t>
            </w:r>
          </w:p>
        </w:tc>
        <w:tc>
          <w:tcPr>
            <w:tcW w:w="3402" w:type="dxa"/>
            <w:vAlign w:val="center"/>
          </w:tcPr>
          <w:p>
            <w:pPr>
              <w:pStyle w:val="12"/>
              <w:rPr>
                <w:rFonts w:cs="Times New Roman"/>
              </w:rPr>
            </w:pPr>
            <w:r>
              <w:rPr>
                <w:rFonts w:hint="eastAsia"/>
              </w:rPr>
              <w:t>支出总计</w:t>
            </w:r>
          </w:p>
        </w:tc>
        <w:tc>
          <w:tcPr>
            <w:tcW w:w="1474" w:type="dxa"/>
            <w:vAlign w:val="center"/>
          </w:tcPr>
          <w:p>
            <w:pPr>
              <w:pStyle w:val="13"/>
            </w:pPr>
            <w:r>
              <w:t>994.58</w:t>
            </w:r>
          </w:p>
        </w:tc>
        <w:tc>
          <w:tcPr>
            <w:tcW w:w="1474" w:type="dxa"/>
            <w:vAlign w:val="center"/>
          </w:tcPr>
          <w:p>
            <w:pPr>
              <w:pStyle w:val="13"/>
            </w:pPr>
            <w:r>
              <w:t>994.58</w:t>
            </w:r>
          </w:p>
        </w:tc>
        <w:tc>
          <w:tcPr>
            <w:tcW w:w="1474" w:type="dxa"/>
            <w:vAlign w:val="center"/>
          </w:tcPr>
          <w:p>
            <w:pPr>
              <w:pStyle w:val="13"/>
            </w:pPr>
          </w:p>
        </w:tc>
        <w:tc>
          <w:tcPr>
            <w:tcW w:w="147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单位预算一般公共预算财政拨款支出表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551"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5726" w:type="dxa"/>
            <w:gridSpan w:val="2"/>
            <w:vAlign w:val="center"/>
          </w:tcPr>
          <w:p>
            <w:pPr>
              <w:pStyle w:val="8"/>
              <w:rPr>
                <w:rFonts w:cs="Times New Roman"/>
              </w:rPr>
            </w:pPr>
            <w:r>
              <w:rPr>
                <w:rFonts w:hint="eastAsia"/>
              </w:rPr>
              <w:t>功能分类科目</w:t>
            </w:r>
          </w:p>
        </w:tc>
        <w:tc>
          <w:tcPr>
            <w:tcW w:w="2551" w:type="dxa"/>
            <w:vMerge w:val="restart"/>
            <w:vAlign w:val="center"/>
          </w:tcPr>
          <w:p>
            <w:pPr>
              <w:pStyle w:val="8"/>
              <w:rPr>
                <w:rFonts w:cs="Times New Roman"/>
              </w:rPr>
            </w:pPr>
            <w:r>
              <w:rPr>
                <w:rFonts w:hint="eastAsia"/>
              </w:rPr>
              <w:t>合计</w:t>
            </w:r>
          </w:p>
        </w:tc>
        <w:tc>
          <w:tcPr>
            <w:tcW w:w="2551" w:type="dxa"/>
            <w:vMerge w:val="restart"/>
            <w:vAlign w:val="center"/>
          </w:tcPr>
          <w:p>
            <w:pPr>
              <w:pStyle w:val="8"/>
              <w:rPr>
                <w:rFonts w:cs="Times New Roman"/>
              </w:rPr>
            </w:pPr>
            <w:r>
              <w:rPr>
                <w:rFonts w:hint="eastAsia"/>
              </w:rPr>
              <w:t>基本支出</w:t>
            </w:r>
          </w:p>
        </w:tc>
        <w:tc>
          <w:tcPr>
            <w:tcW w:w="2551" w:type="dxa"/>
            <w:vMerge w:val="restart"/>
            <w:vAlign w:val="center"/>
          </w:tcPr>
          <w:p>
            <w:pPr>
              <w:pStyle w:val="8"/>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rPr>
                <w:rFonts w:cs="Times New Roman"/>
              </w:rPr>
            </w:pPr>
            <w:r>
              <w:rPr>
                <w:rFonts w:hint="eastAsia"/>
              </w:rPr>
              <w:t>科目编码</w:t>
            </w:r>
          </w:p>
        </w:tc>
        <w:tc>
          <w:tcPr>
            <w:tcW w:w="4535" w:type="dxa"/>
            <w:vAlign w:val="center"/>
          </w:tcPr>
          <w:p>
            <w:pPr>
              <w:pStyle w:val="8"/>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rPr>
                <w:rFonts w:cs="Times New Roman"/>
              </w:rPr>
            </w:pPr>
          </w:p>
        </w:tc>
        <w:tc>
          <w:tcPr>
            <w:tcW w:w="4535" w:type="dxa"/>
            <w:vAlign w:val="center"/>
          </w:tcPr>
          <w:p>
            <w:pPr>
              <w:pStyle w:val="12"/>
              <w:rPr>
                <w:rFonts w:cs="Times New Roman"/>
              </w:rPr>
            </w:pPr>
            <w:r>
              <w:rPr>
                <w:rFonts w:hint="eastAsia"/>
              </w:rPr>
              <w:t>合计</w:t>
            </w:r>
          </w:p>
        </w:tc>
        <w:tc>
          <w:tcPr>
            <w:tcW w:w="2551" w:type="dxa"/>
            <w:vAlign w:val="center"/>
          </w:tcPr>
          <w:p>
            <w:pPr>
              <w:pStyle w:val="13"/>
            </w:pPr>
            <w:r>
              <w:t>994.58</w:t>
            </w:r>
          </w:p>
        </w:tc>
        <w:tc>
          <w:tcPr>
            <w:tcW w:w="2551" w:type="dxa"/>
            <w:vAlign w:val="center"/>
          </w:tcPr>
          <w:p>
            <w:pPr>
              <w:pStyle w:val="13"/>
            </w:pPr>
            <w:r>
              <w:t>344.58</w:t>
            </w:r>
          </w:p>
        </w:tc>
        <w:tc>
          <w:tcPr>
            <w:tcW w:w="2551" w:type="dxa"/>
            <w:vAlign w:val="center"/>
          </w:tcPr>
          <w:p>
            <w:pPr>
              <w:pStyle w:val="13"/>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201</w:t>
            </w:r>
          </w:p>
        </w:tc>
        <w:tc>
          <w:tcPr>
            <w:tcW w:w="4535" w:type="dxa"/>
            <w:vAlign w:val="center"/>
          </w:tcPr>
          <w:p>
            <w:pPr>
              <w:pStyle w:val="10"/>
              <w:rPr>
                <w:rFonts w:cs="Times New Roman"/>
              </w:rPr>
            </w:pPr>
            <w:r>
              <w:rPr>
                <w:rFonts w:hint="eastAsia"/>
              </w:rPr>
              <w:t>一般公共服务支出</w:t>
            </w:r>
          </w:p>
        </w:tc>
        <w:tc>
          <w:tcPr>
            <w:tcW w:w="2551" w:type="dxa"/>
            <w:vAlign w:val="center"/>
          </w:tcPr>
          <w:p>
            <w:pPr>
              <w:pStyle w:val="11"/>
            </w:pPr>
            <w:r>
              <w:t>274.75</w:t>
            </w:r>
          </w:p>
        </w:tc>
        <w:tc>
          <w:tcPr>
            <w:tcW w:w="2551" w:type="dxa"/>
            <w:vAlign w:val="center"/>
          </w:tcPr>
          <w:p>
            <w:pPr>
              <w:pStyle w:val="11"/>
            </w:pPr>
            <w:r>
              <w:t>274.75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20113</w:t>
            </w:r>
          </w:p>
        </w:tc>
        <w:tc>
          <w:tcPr>
            <w:tcW w:w="4535" w:type="dxa"/>
            <w:vAlign w:val="center"/>
          </w:tcPr>
          <w:p>
            <w:pPr>
              <w:pStyle w:val="10"/>
              <w:rPr>
                <w:rFonts w:cs="Times New Roman"/>
              </w:rPr>
            </w:pPr>
            <w:r>
              <w:rPr>
                <w:rFonts w:hint="eastAsia"/>
              </w:rPr>
              <w:t>商贸事务</w:t>
            </w:r>
          </w:p>
        </w:tc>
        <w:tc>
          <w:tcPr>
            <w:tcW w:w="2551" w:type="dxa"/>
            <w:vAlign w:val="center"/>
          </w:tcPr>
          <w:p>
            <w:pPr>
              <w:pStyle w:val="11"/>
            </w:pPr>
            <w:r>
              <w:t>274.75</w:t>
            </w:r>
          </w:p>
        </w:tc>
        <w:tc>
          <w:tcPr>
            <w:tcW w:w="2551" w:type="dxa"/>
            <w:vAlign w:val="center"/>
          </w:tcPr>
          <w:p>
            <w:pPr>
              <w:pStyle w:val="11"/>
            </w:pPr>
            <w:r>
              <w:t>274.75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2011399</w:t>
            </w:r>
          </w:p>
        </w:tc>
        <w:tc>
          <w:tcPr>
            <w:tcW w:w="4535" w:type="dxa"/>
            <w:vAlign w:val="center"/>
          </w:tcPr>
          <w:p>
            <w:pPr>
              <w:pStyle w:val="10"/>
              <w:rPr>
                <w:rFonts w:cs="Times New Roman"/>
              </w:rPr>
            </w:pPr>
            <w:r>
              <w:rPr>
                <w:rFonts w:hint="eastAsia"/>
              </w:rPr>
              <w:t>其他商贸事务支出</w:t>
            </w:r>
          </w:p>
        </w:tc>
        <w:tc>
          <w:tcPr>
            <w:tcW w:w="2551" w:type="dxa"/>
            <w:vAlign w:val="center"/>
          </w:tcPr>
          <w:p>
            <w:pPr>
              <w:pStyle w:val="11"/>
            </w:pPr>
            <w:r>
              <w:t>274.75</w:t>
            </w:r>
          </w:p>
        </w:tc>
        <w:tc>
          <w:tcPr>
            <w:tcW w:w="2551" w:type="dxa"/>
            <w:vAlign w:val="center"/>
          </w:tcPr>
          <w:p>
            <w:pPr>
              <w:pStyle w:val="11"/>
            </w:pPr>
            <w:r>
              <w:t>274.75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1191" w:type="dxa"/>
            <w:vAlign w:val="center"/>
          </w:tcPr>
          <w:p>
            <w:pPr>
              <w:pStyle w:val="10"/>
            </w:pPr>
            <w:r>
              <w:t>208</w:t>
            </w:r>
          </w:p>
        </w:tc>
        <w:tc>
          <w:tcPr>
            <w:tcW w:w="4535" w:type="dxa"/>
            <w:vAlign w:val="center"/>
          </w:tcPr>
          <w:p>
            <w:pPr>
              <w:pStyle w:val="10"/>
              <w:rPr>
                <w:rFonts w:cs="Times New Roman"/>
              </w:rPr>
            </w:pPr>
            <w:r>
              <w:rPr>
                <w:rFonts w:hint="eastAsia"/>
              </w:rPr>
              <w:t>社会保障和就业支出</w:t>
            </w:r>
          </w:p>
        </w:tc>
        <w:tc>
          <w:tcPr>
            <w:tcW w:w="2551" w:type="dxa"/>
            <w:vAlign w:val="center"/>
          </w:tcPr>
          <w:p>
            <w:pPr>
              <w:pStyle w:val="11"/>
            </w:pPr>
            <w:r>
              <w:t>51.81</w:t>
            </w:r>
          </w:p>
        </w:tc>
        <w:tc>
          <w:tcPr>
            <w:tcW w:w="2551" w:type="dxa"/>
            <w:vAlign w:val="center"/>
          </w:tcPr>
          <w:p>
            <w:pPr>
              <w:pStyle w:val="11"/>
            </w:pPr>
            <w:r>
              <w:t>51.81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1191" w:type="dxa"/>
            <w:vAlign w:val="center"/>
          </w:tcPr>
          <w:p>
            <w:pPr>
              <w:pStyle w:val="10"/>
            </w:pPr>
            <w:r>
              <w:t>20805</w:t>
            </w:r>
          </w:p>
        </w:tc>
        <w:tc>
          <w:tcPr>
            <w:tcW w:w="4535" w:type="dxa"/>
            <w:vAlign w:val="center"/>
          </w:tcPr>
          <w:p>
            <w:pPr>
              <w:pStyle w:val="10"/>
              <w:rPr>
                <w:rFonts w:cs="Times New Roman"/>
              </w:rPr>
            </w:pPr>
            <w:r>
              <w:rPr>
                <w:rFonts w:hint="eastAsia"/>
              </w:rPr>
              <w:t>行政事业单位养老支出</w:t>
            </w:r>
          </w:p>
        </w:tc>
        <w:tc>
          <w:tcPr>
            <w:tcW w:w="2551" w:type="dxa"/>
            <w:vAlign w:val="center"/>
          </w:tcPr>
          <w:p>
            <w:pPr>
              <w:pStyle w:val="11"/>
            </w:pPr>
            <w:r>
              <w:t>51.81</w:t>
            </w:r>
          </w:p>
        </w:tc>
        <w:tc>
          <w:tcPr>
            <w:tcW w:w="2551" w:type="dxa"/>
            <w:vAlign w:val="center"/>
          </w:tcPr>
          <w:p>
            <w:pPr>
              <w:pStyle w:val="11"/>
            </w:pPr>
            <w:r>
              <w:t>51.81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1191" w:type="dxa"/>
            <w:vAlign w:val="center"/>
          </w:tcPr>
          <w:p>
            <w:pPr>
              <w:pStyle w:val="10"/>
            </w:pPr>
            <w:r>
              <w:t>2080501</w:t>
            </w:r>
          </w:p>
        </w:tc>
        <w:tc>
          <w:tcPr>
            <w:tcW w:w="4535" w:type="dxa"/>
            <w:vAlign w:val="center"/>
          </w:tcPr>
          <w:p>
            <w:pPr>
              <w:pStyle w:val="10"/>
              <w:rPr>
                <w:rFonts w:cs="Times New Roman"/>
              </w:rPr>
            </w:pPr>
            <w:r>
              <w:rPr>
                <w:rFonts w:hint="eastAsia"/>
              </w:rPr>
              <w:t>行政单位离退休</w:t>
            </w:r>
          </w:p>
        </w:tc>
        <w:tc>
          <w:tcPr>
            <w:tcW w:w="2551" w:type="dxa"/>
            <w:vAlign w:val="center"/>
          </w:tcPr>
          <w:p>
            <w:pPr>
              <w:pStyle w:val="11"/>
            </w:pPr>
            <w:r>
              <w:t>0.91</w:t>
            </w:r>
          </w:p>
        </w:tc>
        <w:tc>
          <w:tcPr>
            <w:tcW w:w="2551" w:type="dxa"/>
            <w:vAlign w:val="center"/>
          </w:tcPr>
          <w:p>
            <w:pPr>
              <w:pStyle w:val="11"/>
            </w:pPr>
            <w:r>
              <w:t>0.91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1191" w:type="dxa"/>
            <w:vAlign w:val="center"/>
          </w:tcPr>
          <w:p>
            <w:pPr>
              <w:pStyle w:val="10"/>
            </w:pPr>
            <w:r>
              <w:t>2080505</w:t>
            </w:r>
          </w:p>
        </w:tc>
        <w:tc>
          <w:tcPr>
            <w:tcW w:w="4535" w:type="dxa"/>
            <w:vAlign w:val="center"/>
          </w:tcPr>
          <w:p>
            <w:pPr>
              <w:pStyle w:val="10"/>
              <w:rPr>
                <w:rFonts w:cs="Times New Roman"/>
              </w:rPr>
            </w:pPr>
            <w:r>
              <w:rPr>
                <w:rFonts w:hint="eastAsia"/>
              </w:rPr>
              <w:t>机关事业单位基本养老保险缴费支出</w:t>
            </w:r>
          </w:p>
        </w:tc>
        <w:tc>
          <w:tcPr>
            <w:tcW w:w="2551" w:type="dxa"/>
            <w:vAlign w:val="center"/>
          </w:tcPr>
          <w:p>
            <w:pPr>
              <w:pStyle w:val="11"/>
            </w:pPr>
            <w:r>
              <w:t>33.93</w:t>
            </w:r>
          </w:p>
        </w:tc>
        <w:tc>
          <w:tcPr>
            <w:tcW w:w="2551" w:type="dxa"/>
            <w:vAlign w:val="center"/>
          </w:tcPr>
          <w:p>
            <w:pPr>
              <w:pStyle w:val="11"/>
            </w:pPr>
            <w:r>
              <w:t>33.93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1191" w:type="dxa"/>
            <w:vAlign w:val="center"/>
          </w:tcPr>
          <w:p>
            <w:pPr>
              <w:pStyle w:val="10"/>
            </w:pPr>
            <w:r>
              <w:t>2080506</w:t>
            </w:r>
          </w:p>
        </w:tc>
        <w:tc>
          <w:tcPr>
            <w:tcW w:w="4535" w:type="dxa"/>
            <w:vAlign w:val="center"/>
          </w:tcPr>
          <w:p>
            <w:pPr>
              <w:pStyle w:val="10"/>
              <w:rPr>
                <w:rFonts w:cs="Times New Roman"/>
              </w:rPr>
            </w:pPr>
            <w:r>
              <w:rPr>
                <w:rFonts w:hint="eastAsia"/>
              </w:rPr>
              <w:t>机关事业单位职业年金缴费支出</w:t>
            </w:r>
          </w:p>
        </w:tc>
        <w:tc>
          <w:tcPr>
            <w:tcW w:w="2551" w:type="dxa"/>
            <w:vAlign w:val="center"/>
          </w:tcPr>
          <w:p>
            <w:pPr>
              <w:pStyle w:val="11"/>
            </w:pPr>
            <w:r>
              <w:t>16.97</w:t>
            </w:r>
          </w:p>
        </w:tc>
        <w:tc>
          <w:tcPr>
            <w:tcW w:w="2551" w:type="dxa"/>
            <w:vAlign w:val="center"/>
          </w:tcPr>
          <w:p>
            <w:pPr>
              <w:pStyle w:val="11"/>
            </w:pPr>
            <w:r>
              <w:t>16.97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1191" w:type="dxa"/>
            <w:vAlign w:val="center"/>
          </w:tcPr>
          <w:p>
            <w:pPr>
              <w:pStyle w:val="10"/>
            </w:pPr>
            <w:r>
              <w:t>210</w:t>
            </w:r>
          </w:p>
        </w:tc>
        <w:tc>
          <w:tcPr>
            <w:tcW w:w="4535" w:type="dxa"/>
            <w:vAlign w:val="center"/>
          </w:tcPr>
          <w:p>
            <w:pPr>
              <w:pStyle w:val="10"/>
              <w:rPr>
                <w:rFonts w:cs="Times New Roman"/>
              </w:rPr>
            </w:pPr>
            <w:r>
              <w:rPr>
                <w:rFonts w:hint="eastAsia"/>
              </w:rPr>
              <w:t>卫生健康支出</w:t>
            </w:r>
          </w:p>
        </w:tc>
        <w:tc>
          <w:tcPr>
            <w:tcW w:w="2551" w:type="dxa"/>
            <w:vAlign w:val="center"/>
          </w:tcPr>
          <w:p>
            <w:pPr>
              <w:pStyle w:val="11"/>
            </w:pPr>
            <w:r>
              <w:t>18.02</w:t>
            </w:r>
          </w:p>
        </w:tc>
        <w:tc>
          <w:tcPr>
            <w:tcW w:w="2551" w:type="dxa"/>
            <w:vAlign w:val="center"/>
          </w:tcPr>
          <w:p>
            <w:pPr>
              <w:pStyle w:val="11"/>
            </w:pPr>
            <w:r>
              <w:t>18.02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1191" w:type="dxa"/>
            <w:vAlign w:val="center"/>
          </w:tcPr>
          <w:p>
            <w:pPr>
              <w:pStyle w:val="10"/>
            </w:pPr>
            <w:r>
              <w:t>21012</w:t>
            </w:r>
          </w:p>
        </w:tc>
        <w:tc>
          <w:tcPr>
            <w:tcW w:w="4535" w:type="dxa"/>
            <w:vAlign w:val="center"/>
          </w:tcPr>
          <w:p>
            <w:pPr>
              <w:pStyle w:val="10"/>
              <w:rPr>
                <w:rFonts w:cs="Times New Roman"/>
              </w:rPr>
            </w:pPr>
            <w:r>
              <w:rPr>
                <w:rFonts w:hint="eastAsia"/>
              </w:rPr>
              <w:t>财政对基本医疗保险基金的补助</w:t>
            </w:r>
          </w:p>
        </w:tc>
        <w:tc>
          <w:tcPr>
            <w:tcW w:w="2551" w:type="dxa"/>
            <w:vAlign w:val="center"/>
          </w:tcPr>
          <w:p>
            <w:pPr>
              <w:pStyle w:val="11"/>
            </w:pPr>
            <w:r>
              <w:t>18.02</w:t>
            </w:r>
          </w:p>
        </w:tc>
        <w:tc>
          <w:tcPr>
            <w:tcW w:w="2551" w:type="dxa"/>
            <w:vAlign w:val="center"/>
          </w:tcPr>
          <w:p>
            <w:pPr>
              <w:pStyle w:val="11"/>
            </w:pPr>
            <w:r>
              <w:t>18.02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1191" w:type="dxa"/>
            <w:vAlign w:val="center"/>
          </w:tcPr>
          <w:p>
            <w:pPr>
              <w:pStyle w:val="10"/>
            </w:pPr>
            <w:r>
              <w:t>2101201</w:t>
            </w:r>
          </w:p>
        </w:tc>
        <w:tc>
          <w:tcPr>
            <w:tcW w:w="4535" w:type="dxa"/>
            <w:vAlign w:val="center"/>
          </w:tcPr>
          <w:p>
            <w:pPr>
              <w:pStyle w:val="10"/>
              <w:rPr>
                <w:rFonts w:cs="Times New Roman"/>
              </w:rPr>
            </w:pPr>
            <w:r>
              <w:rPr>
                <w:rFonts w:hint="eastAsia"/>
              </w:rPr>
              <w:t>财政对职工基本医疗保险基金的补助</w:t>
            </w:r>
          </w:p>
        </w:tc>
        <w:tc>
          <w:tcPr>
            <w:tcW w:w="2551" w:type="dxa"/>
            <w:vAlign w:val="center"/>
          </w:tcPr>
          <w:p>
            <w:pPr>
              <w:pStyle w:val="11"/>
            </w:pPr>
            <w:r>
              <w:t>18.02</w:t>
            </w:r>
          </w:p>
        </w:tc>
        <w:tc>
          <w:tcPr>
            <w:tcW w:w="2551" w:type="dxa"/>
            <w:vAlign w:val="center"/>
          </w:tcPr>
          <w:p>
            <w:pPr>
              <w:pStyle w:val="11"/>
            </w:pPr>
            <w:r>
              <w:t>18.02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1191" w:type="dxa"/>
            <w:vAlign w:val="center"/>
          </w:tcPr>
          <w:p>
            <w:pPr>
              <w:pStyle w:val="10"/>
            </w:pPr>
            <w:r>
              <w:t>215</w:t>
            </w:r>
          </w:p>
        </w:tc>
        <w:tc>
          <w:tcPr>
            <w:tcW w:w="4535" w:type="dxa"/>
            <w:vAlign w:val="center"/>
          </w:tcPr>
          <w:p>
            <w:pPr>
              <w:pStyle w:val="10"/>
              <w:rPr>
                <w:rFonts w:cs="Times New Roman"/>
              </w:rPr>
            </w:pPr>
            <w:r>
              <w:rPr>
                <w:rFonts w:hint="eastAsia"/>
              </w:rPr>
              <w:t>资源勘探工业信息等支出</w:t>
            </w:r>
          </w:p>
        </w:tc>
        <w:tc>
          <w:tcPr>
            <w:tcW w:w="2551" w:type="dxa"/>
            <w:vAlign w:val="center"/>
          </w:tcPr>
          <w:p>
            <w:pPr>
              <w:pStyle w:val="11"/>
            </w:pPr>
            <w:r>
              <w:t>650.00</w:t>
            </w:r>
          </w:p>
        </w:tc>
        <w:tc>
          <w:tcPr>
            <w:tcW w:w="2551" w:type="dxa"/>
            <w:vAlign w:val="center"/>
          </w:tcPr>
          <w:p>
            <w:pPr>
              <w:pStyle w:val="11"/>
            </w:pPr>
          </w:p>
        </w:tc>
        <w:tc>
          <w:tcPr>
            <w:tcW w:w="2551" w:type="dxa"/>
            <w:vAlign w:val="center"/>
          </w:tcPr>
          <w:p>
            <w:pPr>
              <w:pStyle w:val="11"/>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1191" w:type="dxa"/>
            <w:vAlign w:val="center"/>
          </w:tcPr>
          <w:p>
            <w:pPr>
              <w:pStyle w:val="10"/>
            </w:pPr>
            <w:r>
              <w:t>21508</w:t>
            </w:r>
          </w:p>
        </w:tc>
        <w:tc>
          <w:tcPr>
            <w:tcW w:w="4535" w:type="dxa"/>
            <w:vAlign w:val="center"/>
          </w:tcPr>
          <w:p>
            <w:pPr>
              <w:pStyle w:val="10"/>
              <w:rPr>
                <w:rFonts w:cs="Times New Roman"/>
              </w:rPr>
            </w:pPr>
            <w:r>
              <w:rPr>
                <w:rFonts w:hint="eastAsia"/>
              </w:rPr>
              <w:t>支持中小企业发展和管理支出</w:t>
            </w:r>
          </w:p>
        </w:tc>
        <w:tc>
          <w:tcPr>
            <w:tcW w:w="2551" w:type="dxa"/>
            <w:vAlign w:val="center"/>
          </w:tcPr>
          <w:p>
            <w:pPr>
              <w:pStyle w:val="11"/>
            </w:pPr>
            <w:r>
              <w:t>650.00</w:t>
            </w:r>
          </w:p>
        </w:tc>
        <w:tc>
          <w:tcPr>
            <w:tcW w:w="2551" w:type="dxa"/>
            <w:vAlign w:val="center"/>
          </w:tcPr>
          <w:p>
            <w:pPr>
              <w:pStyle w:val="11"/>
            </w:pPr>
          </w:p>
        </w:tc>
        <w:tc>
          <w:tcPr>
            <w:tcW w:w="2551" w:type="dxa"/>
            <w:vAlign w:val="center"/>
          </w:tcPr>
          <w:p>
            <w:pPr>
              <w:pStyle w:val="11"/>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1191" w:type="dxa"/>
            <w:vAlign w:val="center"/>
          </w:tcPr>
          <w:p>
            <w:pPr>
              <w:pStyle w:val="10"/>
            </w:pPr>
            <w:r>
              <w:t>2150899</w:t>
            </w:r>
          </w:p>
        </w:tc>
        <w:tc>
          <w:tcPr>
            <w:tcW w:w="4535" w:type="dxa"/>
            <w:vAlign w:val="center"/>
          </w:tcPr>
          <w:p>
            <w:pPr>
              <w:pStyle w:val="10"/>
              <w:rPr>
                <w:rFonts w:cs="Times New Roman"/>
              </w:rPr>
            </w:pPr>
            <w:r>
              <w:rPr>
                <w:rFonts w:hint="eastAsia"/>
              </w:rPr>
              <w:t>其他支持中小企业发展和管理支出</w:t>
            </w:r>
          </w:p>
        </w:tc>
        <w:tc>
          <w:tcPr>
            <w:tcW w:w="2551" w:type="dxa"/>
            <w:vAlign w:val="center"/>
          </w:tcPr>
          <w:p>
            <w:pPr>
              <w:pStyle w:val="11"/>
            </w:pPr>
            <w:r>
              <w:t>650.00</w:t>
            </w:r>
          </w:p>
        </w:tc>
        <w:tc>
          <w:tcPr>
            <w:tcW w:w="2551" w:type="dxa"/>
            <w:vAlign w:val="center"/>
          </w:tcPr>
          <w:p>
            <w:pPr>
              <w:pStyle w:val="11"/>
            </w:pPr>
          </w:p>
        </w:tc>
        <w:tc>
          <w:tcPr>
            <w:tcW w:w="2551" w:type="dxa"/>
            <w:vAlign w:val="center"/>
          </w:tcPr>
          <w:p>
            <w:pPr>
              <w:pStyle w:val="11"/>
            </w:pPr>
            <w:r>
              <w:t>650.00</w:t>
            </w: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单位预算一般公共预算财政拨款基本支出表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551"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5726" w:type="dxa"/>
            <w:gridSpan w:val="2"/>
            <w:vAlign w:val="center"/>
          </w:tcPr>
          <w:p>
            <w:pPr>
              <w:pStyle w:val="8"/>
              <w:rPr>
                <w:rFonts w:cs="Times New Roman"/>
              </w:rPr>
            </w:pPr>
            <w:r>
              <w:rPr>
                <w:rFonts w:hint="eastAsia"/>
              </w:rPr>
              <w:t>支出部门经济分类科目</w:t>
            </w:r>
          </w:p>
        </w:tc>
        <w:tc>
          <w:tcPr>
            <w:tcW w:w="7654" w:type="dxa"/>
            <w:gridSpan w:val="3"/>
            <w:vAlign w:val="center"/>
          </w:tcPr>
          <w:p>
            <w:pPr>
              <w:pStyle w:val="8"/>
              <w:rPr>
                <w:rFonts w:cs="Times New Roman"/>
              </w:rPr>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rPr>
                <w:rFonts w:cs="Times New Roman"/>
              </w:rPr>
            </w:pPr>
            <w:r>
              <w:rPr>
                <w:rFonts w:hint="eastAsia"/>
              </w:rPr>
              <w:t>科目编码</w:t>
            </w:r>
          </w:p>
        </w:tc>
        <w:tc>
          <w:tcPr>
            <w:tcW w:w="4535" w:type="dxa"/>
            <w:vAlign w:val="center"/>
          </w:tcPr>
          <w:p>
            <w:pPr>
              <w:pStyle w:val="8"/>
              <w:rPr>
                <w:rFonts w:cs="Times New Roman"/>
              </w:rPr>
            </w:pPr>
            <w:r>
              <w:rPr>
                <w:rFonts w:hint="eastAsia"/>
              </w:rPr>
              <w:t>科目名称</w:t>
            </w:r>
          </w:p>
        </w:tc>
        <w:tc>
          <w:tcPr>
            <w:tcW w:w="2551" w:type="dxa"/>
            <w:vAlign w:val="center"/>
          </w:tcPr>
          <w:p>
            <w:pPr>
              <w:pStyle w:val="8"/>
              <w:rPr>
                <w:rFonts w:cs="Times New Roman"/>
              </w:rPr>
            </w:pPr>
            <w:r>
              <w:rPr>
                <w:rFonts w:hint="eastAsia"/>
              </w:rPr>
              <w:t>合计</w:t>
            </w:r>
          </w:p>
        </w:tc>
        <w:tc>
          <w:tcPr>
            <w:tcW w:w="2551" w:type="dxa"/>
            <w:vAlign w:val="center"/>
          </w:tcPr>
          <w:p>
            <w:pPr>
              <w:pStyle w:val="8"/>
              <w:rPr>
                <w:rFonts w:cs="Times New Roman"/>
              </w:rPr>
            </w:pPr>
            <w:r>
              <w:rPr>
                <w:rFonts w:hint="eastAsia"/>
              </w:rPr>
              <w:t>人员经费</w:t>
            </w:r>
          </w:p>
        </w:tc>
        <w:tc>
          <w:tcPr>
            <w:tcW w:w="2551" w:type="dxa"/>
            <w:vAlign w:val="center"/>
          </w:tcPr>
          <w:p>
            <w:pPr>
              <w:pStyle w:val="8"/>
              <w:rPr>
                <w:rFonts w:cs="Times New Roman"/>
              </w:rPr>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rPr>
                <w:rFonts w:cs="Times New Roman"/>
              </w:rPr>
            </w:pPr>
          </w:p>
        </w:tc>
        <w:tc>
          <w:tcPr>
            <w:tcW w:w="4535" w:type="dxa"/>
            <w:vAlign w:val="center"/>
          </w:tcPr>
          <w:p>
            <w:pPr>
              <w:pStyle w:val="12"/>
              <w:rPr>
                <w:rFonts w:cs="Times New Roman"/>
              </w:rPr>
            </w:pPr>
            <w:r>
              <w:rPr>
                <w:rFonts w:hint="eastAsia"/>
              </w:rPr>
              <w:t>合计</w:t>
            </w:r>
          </w:p>
        </w:tc>
        <w:tc>
          <w:tcPr>
            <w:tcW w:w="2551" w:type="dxa"/>
            <w:vAlign w:val="center"/>
          </w:tcPr>
          <w:p>
            <w:pPr>
              <w:pStyle w:val="13"/>
            </w:pPr>
            <w:r>
              <w:t>344.58</w:t>
            </w:r>
          </w:p>
        </w:tc>
        <w:tc>
          <w:tcPr>
            <w:tcW w:w="2551" w:type="dxa"/>
            <w:vAlign w:val="center"/>
          </w:tcPr>
          <w:p>
            <w:pPr>
              <w:pStyle w:val="13"/>
            </w:pPr>
            <w:r>
              <w:t>328.14</w:t>
            </w:r>
          </w:p>
        </w:tc>
        <w:tc>
          <w:tcPr>
            <w:tcW w:w="2551" w:type="dxa"/>
            <w:vAlign w:val="center"/>
          </w:tcPr>
          <w:p>
            <w:pPr>
              <w:pStyle w:val="13"/>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301</w:t>
            </w:r>
          </w:p>
        </w:tc>
        <w:tc>
          <w:tcPr>
            <w:tcW w:w="4535" w:type="dxa"/>
            <w:vAlign w:val="center"/>
          </w:tcPr>
          <w:p>
            <w:pPr>
              <w:pStyle w:val="10"/>
              <w:rPr>
                <w:rFonts w:cs="Times New Roman"/>
              </w:rPr>
            </w:pPr>
            <w:r>
              <w:rPr>
                <w:rFonts w:hint="eastAsia"/>
              </w:rPr>
              <w:t>工资福利支出</w:t>
            </w:r>
          </w:p>
        </w:tc>
        <w:tc>
          <w:tcPr>
            <w:tcW w:w="2551" w:type="dxa"/>
            <w:vAlign w:val="center"/>
          </w:tcPr>
          <w:p>
            <w:pPr>
              <w:pStyle w:val="11"/>
            </w:pPr>
            <w:r>
              <w:t>325.59</w:t>
            </w:r>
          </w:p>
        </w:tc>
        <w:tc>
          <w:tcPr>
            <w:tcW w:w="2551" w:type="dxa"/>
            <w:vAlign w:val="center"/>
          </w:tcPr>
          <w:p>
            <w:pPr>
              <w:pStyle w:val="11"/>
            </w:pPr>
            <w:r>
              <w:t>325.59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30101</w:t>
            </w:r>
          </w:p>
        </w:tc>
        <w:tc>
          <w:tcPr>
            <w:tcW w:w="4535" w:type="dxa"/>
            <w:vAlign w:val="center"/>
          </w:tcPr>
          <w:p>
            <w:pPr>
              <w:pStyle w:val="10"/>
              <w:rPr>
                <w:rFonts w:cs="Times New Roman"/>
              </w:rPr>
            </w:pPr>
            <w:r>
              <w:rPr>
                <w:rFonts w:hint="eastAsia"/>
              </w:rPr>
              <w:t>基本工资</w:t>
            </w:r>
          </w:p>
        </w:tc>
        <w:tc>
          <w:tcPr>
            <w:tcW w:w="2551" w:type="dxa"/>
            <w:vAlign w:val="center"/>
          </w:tcPr>
          <w:p>
            <w:pPr>
              <w:pStyle w:val="11"/>
            </w:pPr>
            <w:r>
              <w:t>224.76</w:t>
            </w:r>
          </w:p>
        </w:tc>
        <w:tc>
          <w:tcPr>
            <w:tcW w:w="2551" w:type="dxa"/>
            <w:vAlign w:val="center"/>
          </w:tcPr>
          <w:p>
            <w:pPr>
              <w:pStyle w:val="11"/>
            </w:pPr>
            <w:r>
              <w:t>224.76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30102</w:t>
            </w:r>
          </w:p>
        </w:tc>
        <w:tc>
          <w:tcPr>
            <w:tcW w:w="4535" w:type="dxa"/>
            <w:vAlign w:val="center"/>
          </w:tcPr>
          <w:p>
            <w:pPr>
              <w:pStyle w:val="10"/>
              <w:rPr>
                <w:rFonts w:cs="Times New Roman"/>
              </w:rPr>
            </w:pPr>
            <w:r>
              <w:rPr>
                <w:rFonts w:hint="eastAsia"/>
              </w:rPr>
              <w:t>津贴补贴</w:t>
            </w:r>
          </w:p>
        </w:tc>
        <w:tc>
          <w:tcPr>
            <w:tcW w:w="2551" w:type="dxa"/>
            <w:vAlign w:val="center"/>
          </w:tcPr>
          <w:p>
            <w:pPr>
              <w:pStyle w:val="11"/>
            </w:pPr>
            <w:r>
              <w:t>15.00</w:t>
            </w:r>
          </w:p>
        </w:tc>
        <w:tc>
          <w:tcPr>
            <w:tcW w:w="2551" w:type="dxa"/>
            <w:vAlign w:val="center"/>
          </w:tcPr>
          <w:p>
            <w:pPr>
              <w:pStyle w:val="11"/>
            </w:pPr>
            <w:r>
              <w:t>15.00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1191" w:type="dxa"/>
            <w:vAlign w:val="center"/>
          </w:tcPr>
          <w:p>
            <w:pPr>
              <w:pStyle w:val="10"/>
            </w:pPr>
            <w:r>
              <w:t>30103</w:t>
            </w:r>
          </w:p>
        </w:tc>
        <w:tc>
          <w:tcPr>
            <w:tcW w:w="4535" w:type="dxa"/>
            <w:vAlign w:val="center"/>
          </w:tcPr>
          <w:p>
            <w:pPr>
              <w:pStyle w:val="10"/>
              <w:rPr>
                <w:rFonts w:cs="Times New Roman"/>
              </w:rPr>
            </w:pPr>
            <w:r>
              <w:rPr>
                <w:rFonts w:hint="eastAsia"/>
              </w:rPr>
              <w:t>奖金</w:t>
            </w:r>
          </w:p>
        </w:tc>
        <w:tc>
          <w:tcPr>
            <w:tcW w:w="2551" w:type="dxa"/>
            <w:vAlign w:val="center"/>
          </w:tcPr>
          <w:p>
            <w:pPr>
              <w:pStyle w:val="11"/>
            </w:pPr>
            <w:r>
              <w:t>4.93</w:t>
            </w:r>
          </w:p>
        </w:tc>
        <w:tc>
          <w:tcPr>
            <w:tcW w:w="2551" w:type="dxa"/>
            <w:vAlign w:val="center"/>
          </w:tcPr>
          <w:p>
            <w:pPr>
              <w:pStyle w:val="11"/>
            </w:pPr>
            <w:r>
              <w:t>4.93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1191" w:type="dxa"/>
            <w:vAlign w:val="center"/>
          </w:tcPr>
          <w:p>
            <w:pPr>
              <w:pStyle w:val="10"/>
            </w:pPr>
            <w:r>
              <w:t>30107</w:t>
            </w:r>
          </w:p>
        </w:tc>
        <w:tc>
          <w:tcPr>
            <w:tcW w:w="4535" w:type="dxa"/>
            <w:vAlign w:val="center"/>
          </w:tcPr>
          <w:p>
            <w:pPr>
              <w:pStyle w:val="10"/>
              <w:rPr>
                <w:rFonts w:cs="Times New Roman"/>
              </w:rPr>
            </w:pPr>
            <w:r>
              <w:rPr>
                <w:rFonts w:hint="eastAsia"/>
              </w:rPr>
              <w:t>绩效工资</w:t>
            </w:r>
          </w:p>
        </w:tc>
        <w:tc>
          <w:tcPr>
            <w:tcW w:w="2551" w:type="dxa"/>
            <w:vAlign w:val="center"/>
          </w:tcPr>
          <w:p>
            <w:pPr>
              <w:pStyle w:val="11"/>
            </w:pPr>
            <w:r>
              <w:t>11.98</w:t>
            </w:r>
          </w:p>
        </w:tc>
        <w:tc>
          <w:tcPr>
            <w:tcW w:w="2551" w:type="dxa"/>
            <w:vAlign w:val="center"/>
          </w:tcPr>
          <w:p>
            <w:pPr>
              <w:pStyle w:val="11"/>
            </w:pPr>
            <w:r>
              <w:t>11.98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1191" w:type="dxa"/>
            <w:vAlign w:val="center"/>
          </w:tcPr>
          <w:p>
            <w:pPr>
              <w:pStyle w:val="10"/>
            </w:pPr>
            <w:r>
              <w:t>30108</w:t>
            </w:r>
          </w:p>
        </w:tc>
        <w:tc>
          <w:tcPr>
            <w:tcW w:w="4535" w:type="dxa"/>
            <w:vAlign w:val="center"/>
          </w:tcPr>
          <w:p>
            <w:pPr>
              <w:pStyle w:val="10"/>
              <w:rPr>
                <w:rFonts w:cs="Times New Roman"/>
              </w:rPr>
            </w:pPr>
            <w:r>
              <w:rPr>
                <w:rFonts w:hint="eastAsia"/>
              </w:rPr>
              <w:t>机关事业单位基本养老保险缴费</w:t>
            </w:r>
          </w:p>
        </w:tc>
        <w:tc>
          <w:tcPr>
            <w:tcW w:w="2551" w:type="dxa"/>
            <w:vAlign w:val="center"/>
          </w:tcPr>
          <w:p>
            <w:pPr>
              <w:pStyle w:val="11"/>
            </w:pPr>
            <w:r>
              <w:t>33.93</w:t>
            </w:r>
          </w:p>
        </w:tc>
        <w:tc>
          <w:tcPr>
            <w:tcW w:w="2551" w:type="dxa"/>
            <w:vAlign w:val="center"/>
          </w:tcPr>
          <w:p>
            <w:pPr>
              <w:pStyle w:val="11"/>
            </w:pPr>
            <w:r>
              <w:t>33.93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1191" w:type="dxa"/>
            <w:vAlign w:val="center"/>
          </w:tcPr>
          <w:p>
            <w:pPr>
              <w:pStyle w:val="10"/>
            </w:pPr>
            <w:r>
              <w:t>30109</w:t>
            </w:r>
          </w:p>
        </w:tc>
        <w:tc>
          <w:tcPr>
            <w:tcW w:w="4535" w:type="dxa"/>
            <w:vAlign w:val="center"/>
          </w:tcPr>
          <w:p>
            <w:pPr>
              <w:pStyle w:val="10"/>
              <w:rPr>
                <w:rFonts w:cs="Times New Roman"/>
              </w:rPr>
            </w:pPr>
            <w:r>
              <w:rPr>
                <w:rFonts w:hint="eastAsia"/>
              </w:rPr>
              <w:t>职业年金缴费</w:t>
            </w:r>
          </w:p>
        </w:tc>
        <w:tc>
          <w:tcPr>
            <w:tcW w:w="2551" w:type="dxa"/>
            <w:vAlign w:val="center"/>
          </w:tcPr>
          <w:p>
            <w:pPr>
              <w:pStyle w:val="11"/>
            </w:pPr>
            <w:r>
              <w:t>16.97</w:t>
            </w:r>
          </w:p>
        </w:tc>
        <w:tc>
          <w:tcPr>
            <w:tcW w:w="2551" w:type="dxa"/>
            <w:vAlign w:val="center"/>
          </w:tcPr>
          <w:p>
            <w:pPr>
              <w:pStyle w:val="11"/>
            </w:pPr>
            <w:r>
              <w:t>16.97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1191" w:type="dxa"/>
            <w:vAlign w:val="center"/>
          </w:tcPr>
          <w:p>
            <w:pPr>
              <w:pStyle w:val="10"/>
            </w:pPr>
            <w:r>
              <w:t>30110</w:t>
            </w:r>
          </w:p>
        </w:tc>
        <w:tc>
          <w:tcPr>
            <w:tcW w:w="4535" w:type="dxa"/>
            <w:vAlign w:val="center"/>
          </w:tcPr>
          <w:p>
            <w:pPr>
              <w:pStyle w:val="10"/>
              <w:rPr>
                <w:rFonts w:cs="Times New Roman"/>
              </w:rPr>
            </w:pPr>
            <w:r>
              <w:rPr>
                <w:rFonts w:hint="eastAsia"/>
              </w:rPr>
              <w:t>职工基本医疗保险缴费</w:t>
            </w:r>
          </w:p>
        </w:tc>
        <w:tc>
          <w:tcPr>
            <w:tcW w:w="2551" w:type="dxa"/>
            <w:vAlign w:val="center"/>
          </w:tcPr>
          <w:p>
            <w:pPr>
              <w:pStyle w:val="11"/>
            </w:pPr>
            <w:r>
              <w:t>18.02</w:t>
            </w:r>
          </w:p>
        </w:tc>
        <w:tc>
          <w:tcPr>
            <w:tcW w:w="2551" w:type="dxa"/>
            <w:vAlign w:val="center"/>
          </w:tcPr>
          <w:p>
            <w:pPr>
              <w:pStyle w:val="11"/>
            </w:pPr>
            <w:r>
              <w:t>18.02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1191" w:type="dxa"/>
            <w:vAlign w:val="center"/>
          </w:tcPr>
          <w:p>
            <w:pPr>
              <w:pStyle w:val="10"/>
            </w:pPr>
            <w:r>
              <w:t>302</w:t>
            </w:r>
          </w:p>
        </w:tc>
        <w:tc>
          <w:tcPr>
            <w:tcW w:w="4535" w:type="dxa"/>
            <w:vAlign w:val="center"/>
          </w:tcPr>
          <w:p>
            <w:pPr>
              <w:pStyle w:val="10"/>
              <w:rPr>
                <w:rFonts w:cs="Times New Roman"/>
              </w:rPr>
            </w:pPr>
            <w:r>
              <w:rPr>
                <w:rFonts w:hint="eastAsia"/>
              </w:rPr>
              <w:t>商品和服务支出</w:t>
            </w:r>
          </w:p>
        </w:tc>
        <w:tc>
          <w:tcPr>
            <w:tcW w:w="2551" w:type="dxa"/>
            <w:vAlign w:val="center"/>
          </w:tcPr>
          <w:p>
            <w:pPr>
              <w:pStyle w:val="11"/>
            </w:pPr>
            <w:r>
              <w:t>16.44</w:t>
            </w:r>
          </w:p>
        </w:tc>
        <w:tc>
          <w:tcPr>
            <w:tcW w:w="2551" w:type="dxa"/>
            <w:vAlign w:val="center"/>
          </w:tcPr>
          <w:p>
            <w:pPr>
              <w:pStyle w:val="11"/>
            </w:pPr>
          </w:p>
        </w:tc>
        <w:tc>
          <w:tcPr>
            <w:tcW w:w="2551" w:type="dxa"/>
            <w:vAlign w:val="center"/>
          </w:tcPr>
          <w:p>
            <w:pPr>
              <w:pStyle w:val="11"/>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1191" w:type="dxa"/>
            <w:vAlign w:val="center"/>
          </w:tcPr>
          <w:p>
            <w:pPr>
              <w:pStyle w:val="10"/>
            </w:pPr>
            <w:r>
              <w:t>30239</w:t>
            </w:r>
          </w:p>
        </w:tc>
        <w:tc>
          <w:tcPr>
            <w:tcW w:w="4535" w:type="dxa"/>
            <w:vAlign w:val="center"/>
          </w:tcPr>
          <w:p>
            <w:pPr>
              <w:pStyle w:val="10"/>
              <w:rPr>
                <w:rFonts w:cs="Times New Roman"/>
              </w:rPr>
            </w:pPr>
            <w:r>
              <w:rPr>
                <w:rFonts w:hint="eastAsia"/>
              </w:rPr>
              <w:t>其他交通费用</w:t>
            </w:r>
          </w:p>
        </w:tc>
        <w:tc>
          <w:tcPr>
            <w:tcW w:w="2551" w:type="dxa"/>
            <w:vAlign w:val="center"/>
          </w:tcPr>
          <w:p>
            <w:pPr>
              <w:pStyle w:val="11"/>
            </w:pPr>
            <w:r>
              <w:t>16.44</w:t>
            </w:r>
          </w:p>
        </w:tc>
        <w:tc>
          <w:tcPr>
            <w:tcW w:w="2551" w:type="dxa"/>
            <w:vAlign w:val="center"/>
          </w:tcPr>
          <w:p>
            <w:pPr>
              <w:pStyle w:val="11"/>
            </w:pPr>
          </w:p>
        </w:tc>
        <w:tc>
          <w:tcPr>
            <w:tcW w:w="2551" w:type="dxa"/>
            <w:vAlign w:val="center"/>
          </w:tcPr>
          <w:p>
            <w:pPr>
              <w:pStyle w:val="11"/>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1191" w:type="dxa"/>
            <w:vAlign w:val="center"/>
          </w:tcPr>
          <w:p>
            <w:pPr>
              <w:pStyle w:val="10"/>
            </w:pPr>
            <w:r>
              <w:t>303</w:t>
            </w:r>
          </w:p>
        </w:tc>
        <w:tc>
          <w:tcPr>
            <w:tcW w:w="4535" w:type="dxa"/>
            <w:vAlign w:val="center"/>
          </w:tcPr>
          <w:p>
            <w:pPr>
              <w:pStyle w:val="10"/>
              <w:rPr>
                <w:rFonts w:cs="Times New Roman"/>
              </w:rPr>
            </w:pPr>
            <w:r>
              <w:rPr>
                <w:rFonts w:hint="eastAsia"/>
              </w:rPr>
              <w:t>对个人和家庭的补助</w:t>
            </w:r>
          </w:p>
        </w:tc>
        <w:tc>
          <w:tcPr>
            <w:tcW w:w="2551" w:type="dxa"/>
            <w:vAlign w:val="center"/>
          </w:tcPr>
          <w:p>
            <w:pPr>
              <w:pStyle w:val="11"/>
            </w:pPr>
            <w:r>
              <w:t>2.55</w:t>
            </w:r>
          </w:p>
        </w:tc>
        <w:tc>
          <w:tcPr>
            <w:tcW w:w="2551" w:type="dxa"/>
            <w:vAlign w:val="center"/>
          </w:tcPr>
          <w:p>
            <w:pPr>
              <w:pStyle w:val="11"/>
            </w:pPr>
            <w:r>
              <w:t>2.55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1191" w:type="dxa"/>
            <w:vAlign w:val="center"/>
          </w:tcPr>
          <w:p>
            <w:pPr>
              <w:pStyle w:val="10"/>
            </w:pPr>
            <w:r>
              <w:t>30302</w:t>
            </w:r>
          </w:p>
        </w:tc>
        <w:tc>
          <w:tcPr>
            <w:tcW w:w="4535" w:type="dxa"/>
            <w:vAlign w:val="center"/>
          </w:tcPr>
          <w:p>
            <w:pPr>
              <w:pStyle w:val="10"/>
              <w:rPr>
                <w:rFonts w:cs="Times New Roman"/>
              </w:rPr>
            </w:pPr>
            <w:r>
              <w:rPr>
                <w:rFonts w:hint="eastAsia"/>
              </w:rPr>
              <w:t>退休费</w:t>
            </w:r>
          </w:p>
        </w:tc>
        <w:tc>
          <w:tcPr>
            <w:tcW w:w="2551" w:type="dxa"/>
            <w:vAlign w:val="center"/>
          </w:tcPr>
          <w:p>
            <w:pPr>
              <w:pStyle w:val="11"/>
            </w:pPr>
            <w:r>
              <w:t>0.91</w:t>
            </w:r>
          </w:p>
        </w:tc>
        <w:tc>
          <w:tcPr>
            <w:tcW w:w="2551" w:type="dxa"/>
            <w:vAlign w:val="center"/>
          </w:tcPr>
          <w:p>
            <w:pPr>
              <w:pStyle w:val="11"/>
            </w:pPr>
            <w:r>
              <w:t>0.91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1191" w:type="dxa"/>
            <w:vAlign w:val="center"/>
          </w:tcPr>
          <w:p>
            <w:pPr>
              <w:pStyle w:val="10"/>
            </w:pPr>
            <w:r>
              <w:t>30305</w:t>
            </w:r>
          </w:p>
        </w:tc>
        <w:tc>
          <w:tcPr>
            <w:tcW w:w="4535" w:type="dxa"/>
            <w:vAlign w:val="center"/>
          </w:tcPr>
          <w:p>
            <w:pPr>
              <w:pStyle w:val="10"/>
              <w:rPr>
                <w:rFonts w:cs="Times New Roman"/>
              </w:rPr>
            </w:pPr>
            <w:r>
              <w:rPr>
                <w:rFonts w:hint="eastAsia"/>
              </w:rPr>
              <w:t>生活补助</w:t>
            </w:r>
          </w:p>
        </w:tc>
        <w:tc>
          <w:tcPr>
            <w:tcW w:w="2551" w:type="dxa"/>
            <w:vAlign w:val="center"/>
          </w:tcPr>
          <w:p>
            <w:pPr>
              <w:pStyle w:val="11"/>
            </w:pPr>
            <w:r>
              <w:t>1.64</w:t>
            </w:r>
          </w:p>
        </w:tc>
        <w:tc>
          <w:tcPr>
            <w:tcW w:w="2551" w:type="dxa"/>
            <w:vAlign w:val="center"/>
          </w:tcPr>
          <w:p>
            <w:pPr>
              <w:pStyle w:val="11"/>
            </w:pPr>
            <w:r>
              <w:t>1.64</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hint="eastAsia" w:ascii="方正小标宋_GBK" w:hAnsi="方正小标宋_GBK" w:eastAsia="方正小标宋_GBK" w:cs="方正小标宋_GBK"/>
          <w:color w:val="000000"/>
          <w:sz w:val="36"/>
          <w:szCs w:val="36"/>
        </w:rPr>
        <w:t>单位预算政府基金预算财政拨款支出表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551"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5726" w:type="dxa"/>
            <w:gridSpan w:val="2"/>
            <w:vAlign w:val="center"/>
          </w:tcPr>
          <w:p>
            <w:pPr>
              <w:pStyle w:val="8"/>
              <w:rPr>
                <w:rFonts w:cs="Times New Roman"/>
              </w:rPr>
            </w:pPr>
            <w:r>
              <w:rPr>
                <w:rFonts w:hint="eastAsia"/>
              </w:rPr>
              <w:t>功能分类科目</w:t>
            </w:r>
          </w:p>
        </w:tc>
        <w:tc>
          <w:tcPr>
            <w:tcW w:w="2551" w:type="dxa"/>
            <w:vMerge w:val="restart"/>
            <w:vAlign w:val="center"/>
          </w:tcPr>
          <w:p>
            <w:pPr>
              <w:pStyle w:val="8"/>
              <w:rPr>
                <w:rFonts w:cs="Times New Roman"/>
              </w:rPr>
            </w:pPr>
            <w:r>
              <w:rPr>
                <w:rFonts w:hint="eastAsia"/>
              </w:rPr>
              <w:t>合计</w:t>
            </w:r>
          </w:p>
        </w:tc>
        <w:tc>
          <w:tcPr>
            <w:tcW w:w="2551" w:type="dxa"/>
            <w:vMerge w:val="restart"/>
            <w:vAlign w:val="center"/>
          </w:tcPr>
          <w:p>
            <w:pPr>
              <w:pStyle w:val="8"/>
              <w:rPr>
                <w:rFonts w:cs="Times New Roman"/>
              </w:rPr>
            </w:pPr>
            <w:r>
              <w:rPr>
                <w:rFonts w:hint="eastAsia"/>
              </w:rPr>
              <w:t>基本支出</w:t>
            </w:r>
          </w:p>
        </w:tc>
        <w:tc>
          <w:tcPr>
            <w:tcW w:w="2551" w:type="dxa"/>
            <w:vMerge w:val="restart"/>
            <w:vAlign w:val="center"/>
          </w:tcPr>
          <w:p>
            <w:pPr>
              <w:pStyle w:val="8"/>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rPr>
                <w:rFonts w:cs="Times New Roman"/>
              </w:rPr>
            </w:pPr>
            <w:r>
              <w:rPr>
                <w:rFonts w:hint="eastAsia"/>
              </w:rPr>
              <w:t>科目编码</w:t>
            </w:r>
          </w:p>
        </w:tc>
        <w:tc>
          <w:tcPr>
            <w:tcW w:w="4535" w:type="dxa"/>
            <w:vAlign w:val="center"/>
          </w:tcPr>
          <w:p>
            <w:pPr>
              <w:pStyle w:val="8"/>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rPr>
                <w:rFonts w:cs="Times New Roman"/>
              </w:rPr>
            </w:pPr>
          </w:p>
        </w:tc>
        <w:tc>
          <w:tcPr>
            <w:tcW w:w="1191" w:type="dxa"/>
            <w:vAlign w:val="center"/>
          </w:tcPr>
          <w:p>
            <w:pPr>
              <w:pStyle w:val="10"/>
              <w:rPr>
                <w:rFonts w:cs="Times New Roman"/>
              </w:rPr>
            </w:pPr>
          </w:p>
        </w:tc>
        <w:tc>
          <w:tcPr>
            <w:tcW w:w="4535" w:type="dxa"/>
            <w:vAlign w:val="center"/>
          </w:tcPr>
          <w:p>
            <w:pPr>
              <w:pStyle w:val="10"/>
              <w:rPr>
                <w:rFonts w:cs="Times New Roman"/>
              </w:rPr>
            </w:pPr>
          </w:p>
        </w:tc>
        <w:tc>
          <w:tcPr>
            <w:tcW w:w="2551" w:type="dxa"/>
            <w:vAlign w:val="center"/>
          </w:tcPr>
          <w:p>
            <w:pPr>
              <w:pStyle w:val="11"/>
              <w:rPr>
                <w:rFonts w:cs="Times New Roman"/>
              </w:rPr>
            </w:pPr>
          </w:p>
        </w:tc>
        <w:tc>
          <w:tcPr>
            <w:tcW w:w="2551" w:type="dxa"/>
            <w:vAlign w:val="center"/>
          </w:tcPr>
          <w:p>
            <w:pPr>
              <w:pStyle w:val="11"/>
              <w:rPr>
                <w:rFonts w:cs="Times New Roman"/>
              </w:rPr>
            </w:pPr>
          </w:p>
        </w:tc>
        <w:tc>
          <w:tcPr>
            <w:tcW w:w="2551" w:type="dxa"/>
            <w:vAlign w:val="center"/>
          </w:tcPr>
          <w:p>
            <w:pPr>
              <w:pStyle w:val="11"/>
              <w:rPr>
                <w:rFonts w:cs="Times New Roman"/>
              </w:rPr>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szCs w:val="21"/>
        </w:rPr>
        <w:t>注：无政府基金预算财政拨款预算，空表列示。</w:t>
      </w:r>
    </w:p>
    <w:p>
      <w:pPr>
        <w:jc w:val="center"/>
        <w:outlineLvl w:val="4"/>
      </w:pPr>
      <w:r>
        <w:rPr>
          <w:rFonts w:hint="eastAsia" w:ascii="方正小标宋_GBK" w:hAnsi="方正小标宋_GBK" w:eastAsia="方正小标宋_GBK" w:cs="方正小标宋_GBK"/>
          <w:color w:val="000000"/>
          <w:sz w:val="36"/>
          <w:szCs w:val="36"/>
        </w:rPr>
        <w:t>单位预算国有资本经营预算财政拨款支出表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551"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5726" w:type="dxa"/>
            <w:gridSpan w:val="2"/>
            <w:vAlign w:val="center"/>
          </w:tcPr>
          <w:p>
            <w:pPr>
              <w:pStyle w:val="8"/>
              <w:rPr>
                <w:rFonts w:cs="Times New Roman"/>
              </w:rPr>
            </w:pPr>
            <w:r>
              <w:rPr>
                <w:rFonts w:hint="eastAsia"/>
              </w:rPr>
              <w:t>功能分类科目</w:t>
            </w:r>
          </w:p>
        </w:tc>
        <w:tc>
          <w:tcPr>
            <w:tcW w:w="2551" w:type="dxa"/>
            <w:vMerge w:val="restart"/>
            <w:vAlign w:val="center"/>
          </w:tcPr>
          <w:p>
            <w:pPr>
              <w:pStyle w:val="8"/>
              <w:rPr>
                <w:rFonts w:cs="Times New Roman"/>
              </w:rPr>
            </w:pPr>
            <w:r>
              <w:rPr>
                <w:rFonts w:hint="eastAsia"/>
              </w:rPr>
              <w:t>合计</w:t>
            </w:r>
          </w:p>
        </w:tc>
        <w:tc>
          <w:tcPr>
            <w:tcW w:w="2551" w:type="dxa"/>
            <w:vMerge w:val="restart"/>
            <w:vAlign w:val="center"/>
          </w:tcPr>
          <w:p>
            <w:pPr>
              <w:pStyle w:val="8"/>
              <w:rPr>
                <w:rFonts w:cs="Times New Roman"/>
              </w:rPr>
            </w:pPr>
            <w:r>
              <w:rPr>
                <w:rFonts w:hint="eastAsia"/>
              </w:rPr>
              <w:t>基本支出</w:t>
            </w:r>
          </w:p>
        </w:tc>
        <w:tc>
          <w:tcPr>
            <w:tcW w:w="2551" w:type="dxa"/>
            <w:vMerge w:val="restart"/>
            <w:vAlign w:val="center"/>
          </w:tcPr>
          <w:p>
            <w:pPr>
              <w:pStyle w:val="8"/>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rPr>
                <w:rFonts w:cs="Times New Roman"/>
              </w:rPr>
            </w:pPr>
            <w:r>
              <w:rPr>
                <w:rFonts w:hint="eastAsia"/>
              </w:rPr>
              <w:t>科目编码</w:t>
            </w:r>
          </w:p>
        </w:tc>
        <w:tc>
          <w:tcPr>
            <w:tcW w:w="4535" w:type="dxa"/>
            <w:vAlign w:val="center"/>
          </w:tcPr>
          <w:p>
            <w:pPr>
              <w:pStyle w:val="8"/>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rPr>
                <w:rFonts w:cs="Times New Roman"/>
              </w:rPr>
            </w:pPr>
            <w:r>
              <w:rPr>
                <w:rFonts w:hint="eastAsia"/>
              </w:rP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rPr>
                <w:rFonts w:cs="Times New Roman"/>
              </w:rPr>
            </w:pPr>
          </w:p>
        </w:tc>
        <w:tc>
          <w:tcPr>
            <w:tcW w:w="1191" w:type="dxa"/>
            <w:vAlign w:val="center"/>
          </w:tcPr>
          <w:p>
            <w:pPr>
              <w:pStyle w:val="10"/>
              <w:rPr>
                <w:rFonts w:cs="Times New Roman"/>
              </w:rPr>
            </w:pPr>
          </w:p>
        </w:tc>
        <w:tc>
          <w:tcPr>
            <w:tcW w:w="4535" w:type="dxa"/>
            <w:vAlign w:val="center"/>
          </w:tcPr>
          <w:p>
            <w:pPr>
              <w:pStyle w:val="10"/>
              <w:rPr>
                <w:rFonts w:cs="Times New Roman"/>
              </w:rPr>
            </w:pPr>
          </w:p>
        </w:tc>
        <w:tc>
          <w:tcPr>
            <w:tcW w:w="2551" w:type="dxa"/>
            <w:vAlign w:val="center"/>
          </w:tcPr>
          <w:p>
            <w:pPr>
              <w:pStyle w:val="11"/>
              <w:rPr>
                <w:rFonts w:cs="Times New Roman"/>
              </w:rPr>
            </w:pPr>
          </w:p>
        </w:tc>
        <w:tc>
          <w:tcPr>
            <w:tcW w:w="2551" w:type="dxa"/>
            <w:vAlign w:val="center"/>
          </w:tcPr>
          <w:p>
            <w:pPr>
              <w:pStyle w:val="11"/>
              <w:rPr>
                <w:rFonts w:cs="Times New Roman"/>
              </w:rPr>
            </w:pPr>
          </w:p>
        </w:tc>
        <w:tc>
          <w:tcPr>
            <w:tcW w:w="2551" w:type="dxa"/>
            <w:vAlign w:val="center"/>
          </w:tcPr>
          <w:p>
            <w:pPr>
              <w:pStyle w:val="11"/>
              <w:rPr>
                <w:rFonts w:cs="Times New Roman"/>
              </w:rPr>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szCs w:val="21"/>
        </w:rPr>
        <w:t>注：无国有资本经营预算财政拨款预算，空表列示。</w:t>
      </w:r>
    </w:p>
    <w:p>
      <w:pPr>
        <w:jc w:val="center"/>
        <w:outlineLvl w:val="4"/>
      </w:pPr>
      <w:r>
        <w:rPr>
          <w:rFonts w:hint="eastAsia" w:ascii="方正小标宋_GBK" w:hAnsi="方正小标宋_GBK" w:eastAsia="方正小标宋_GBK" w:cs="方正小标宋_GBK"/>
          <w:color w:val="000000"/>
          <w:sz w:val="36"/>
          <w:szCs w:val="36"/>
        </w:rPr>
        <w:t>单位预算财政拨款“三公”经费支出表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2381" w:type="dxa"/>
            <w:tcBorders>
              <w:top w:val="single" w:color="FFFFFF" w:sz="6" w:space="0"/>
              <w:left w:val="single" w:color="FFFFFF" w:sz="6" w:space="0"/>
              <w:right w:val="single" w:color="FFFFFF" w:sz="6" w:space="0"/>
            </w:tcBorders>
            <w:vAlign w:val="center"/>
          </w:tcPr>
          <w:p>
            <w:pPr>
              <w:pStyle w:val="6"/>
            </w:pPr>
            <w:r>
              <w:rPr>
                <w:rFonts w:hint="eastAsia"/>
              </w:rPr>
              <w:t>预算年度：</w:t>
            </w:r>
            <w:r>
              <w:t>2023</w:t>
            </w:r>
          </w:p>
        </w:tc>
        <w:tc>
          <w:tcPr>
            <w:tcW w:w="4762" w:type="dxa"/>
            <w:gridSpan w:val="2"/>
            <w:tcBorders>
              <w:top w:val="single" w:color="FFFFFF" w:sz="6" w:space="0"/>
              <w:left w:val="single" w:color="FFFFFF" w:sz="6" w:space="0"/>
              <w:right w:val="single" w:color="FFFFFF" w:sz="6" w:space="0"/>
            </w:tcBorders>
            <w:vAlign w:val="center"/>
          </w:tcPr>
          <w:p>
            <w:pPr>
              <w:pStyle w:val="7"/>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rPr>
                <w:rFonts w:cs="Times New Roman"/>
              </w:rPr>
            </w:pPr>
            <w:r>
              <w:rPr>
                <w:rFonts w:hint="eastAsia"/>
              </w:rPr>
              <w:t>序号</w:t>
            </w:r>
          </w:p>
        </w:tc>
        <w:tc>
          <w:tcPr>
            <w:tcW w:w="3798" w:type="dxa"/>
            <w:vMerge w:val="restart"/>
            <w:vAlign w:val="center"/>
          </w:tcPr>
          <w:p>
            <w:pPr>
              <w:pStyle w:val="8"/>
              <w:rPr>
                <w:rFonts w:cs="Times New Roman"/>
              </w:rPr>
            </w:pPr>
            <w:r>
              <w:rPr>
                <w:rFonts w:hint="eastAsia"/>
              </w:rPr>
              <w:t>项</w:t>
            </w:r>
            <w:r>
              <w:t xml:space="preserve">  </w:t>
            </w:r>
            <w:r>
              <w:rPr>
                <w:rFonts w:hint="eastAsia"/>
              </w:rPr>
              <w:t>目</w:t>
            </w:r>
          </w:p>
        </w:tc>
        <w:tc>
          <w:tcPr>
            <w:tcW w:w="9524" w:type="dxa"/>
            <w:gridSpan w:val="4"/>
            <w:vAlign w:val="center"/>
          </w:tcPr>
          <w:p>
            <w:pPr>
              <w:pStyle w:val="8"/>
              <w:rPr>
                <w:rFonts w:cs="Times New Roman"/>
              </w:rPr>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8"/>
              <w:rPr>
                <w:rFonts w:cs="Times New Roman"/>
              </w:rPr>
            </w:pPr>
            <w:r>
              <w:rPr>
                <w:rFonts w:hint="eastAsia"/>
              </w:rPr>
              <w:t>合计</w:t>
            </w:r>
          </w:p>
        </w:tc>
        <w:tc>
          <w:tcPr>
            <w:tcW w:w="2381" w:type="dxa"/>
            <w:vAlign w:val="center"/>
          </w:tcPr>
          <w:p>
            <w:pPr>
              <w:pStyle w:val="8"/>
              <w:rPr>
                <w:rFonts w:cs="Times New Roman"/>
              </w:rPr>
            </w:pPr>
            <w:r>
              <w:rPr>
                <w:rFonts w:hint="eastAsia"/>
              </w:rPr>
              <w:t>一般公共预算</w:t>
            </w:r>
            <w:r>
              <w:t xml:space="preserve">              </w:t>
            </w:r>
            <w:r>
              <w:rPr>
                <w:rFonts w:hint="eastAsia"/>
              </w:rPr>
              <w:t>财政拨款</w:t>
            </w:r>
          </w:p>
        </w:tc>
        <w:tc>
          <w:tcPr>
            <w:tcW w:w="2381" w:type="dxa"/>
            <w:vAlign w:val="center"/>
          </w:tcPr>
          <w:p>
            <w:pPr>
              <w:pStyle w:val="8"/>
              <w:rPr>
                <w:rFonts w:cs="Times New Roman"/>
              </w:rPr>
            </w:pPr>
            <w:r>
              <w:rPr>
                <w:rFonts w:hint="eastAsia"/>
              </w:rPr>
              <w:t>政府性基金</w:t>
            </w:r>
            <w:r>
              <w:t xml:space="preserve">                  </w:t>
            </w:r>
            <w:r>
              <w:rPr>
                <w:rFonts w:hint="eastAsia"/>
              </w:rPr>
              <w:t>预算拨款</w:t>
            </w:r>
          </w:p>
        </w:tc>
        <w:tc>
          <w:tcPr>
            <w:tcW w:w="2381" w:type="dxa"/>
            <w:vAlign w:val="center"/>
          </w:tcPr>
          <w:p>
            <w:pPr>
              <w:pStyle w:val="8"/>
              <w:rPr>
                <w:rFonts w:cs="Times New Roman"/>
              </w:rPr>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8"/>
              <w:rPr>
                <w:rFonts w:cs="Times New Roman"/>
              </w:rPr>
            </w:pPr>
            <w:r>
              <w:rPr>
                <w:rFonts w:hint="eastAsia"/>
              </w:rPr>
              <w:t>栏次</w:t>
            </w:r>
          </w:p>
        </w:tc>
        <w:tc>
          <w:tcPr>
            <w:tcW w:w="3798" w:type="dxa"/>
            <w:vAlign w:val="center"/>
          </w:tcPr>
          <w:p>
            <w:pPr>
              <w:pStyle w:val="8"/>
            </w:pPr>
            <w:r>
              <w:t>1</w:t>
            </w:r>
          </w:p>
        </w:tc>
        <w:tc>
          <w:tcPr>
            <w:tcW w:w="2381" w:type="dxa"/>
            <w:vAlign w:val="center"/>
          </w:tcPr>
          <w:p>
            <w:pPr>
              <w:pStyle w:val="8"/>
            </w:pPr>
            <w:r>
              <w:t>2</w:t>
            </w:r>
          </w:p>
        </w:tc>
        <w:tc>
          <w:tcPr>
            <w:tcW w:w="2381" w:type="dxa"/>
            <w:vAlign w:val="center"/>
          </w:tcPr>
          <w:p>
            <w:pPr>
              <w:pStyle w:val="8"/>
            </w:pPr>
            <w:r>
              <w:t>3</w:t>
            </w:r>
          </w:p>
        </w:tc>
        <w:tc>
          <w:tcPr>
            <w:tcW w:w="2381" w:type="dxa"/>
            <w:vAlign w:val="center"/>
          </w:tcPr>
          <w:p>
            <w:pPr>
              <w:pStyle w:val="8"/>
            </w:pPr>
            <w:r>
              <w:t>4</w:t>
            </w:r>
          </w:p>
        </w:tc>
        <w:tc>
          <w:tcPr>
            <w:tcW w:w="238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rPr>
                <w:rFonts w:cs="Times New Roman"/>
              </w:rPr>
            </w:pPr>
          </w:p>
        </w:tc>
        <w:tc>
          <w:tcPr>
            <w:tcW w:w="3798" w:type="dxa"/>
            <w:vAlign w:val="center"/>
          </w:tcPr>
          <w:p>
            <w:pPr>
              <w:pStyle w:val="10"/>
              <w:rPr>
                <w:rFonts w:cs="Times New Roman"/>
              </w:rPr>
            </w:pPr>
          </w:p>
        </w:tc>
        <w:tc>
          <w:tcPr>
            <w:tcW w:w="2381" w:type="dxa"/>
            <w:vAlign w:val="center"/>
          </w:tcPr>
          <w:p>
            <w:pPr>
              <w:pStyle w:val="11"/>
              <w:rPr>
                <w:rFonts w:cs="Times New Roman"/>
              </w:rPr>
            </w:pPr>
          </w:p>
        </w:tc>
        <w:tc>
          <w:tcPr>
            <w:tcW w:w="2381" w:type="dxa"/>
            <w:vAlign w:val="center"/>
          </w:tcPr>
          <w:p>
            <w:pPr>
              <w:pStyle w:val="11"/>
              <w:rPr>
                <w:rFonts w:cs="Times New Roman"/>
              </w:rPr>
            </w:pPr>
          </w:p>
        </w:tc>
        <w:tc>
          <w:tcPr>
            <w:tcW w:w="2381" w:type="dxa"/>
            <w:vAlign w:val="center"/>
          </w:tcPr>
          <w:p>
            <w:pPr>
              <w:pStyle w:val="11"/>
              <w:rPr>
                <w:rFonts w:cs="Times New Roman"/>
              </w:rPr>
            </w:pPr>
          </w:p>
        </w:tc>
        <w:tc>
          <w:tcPr>
            <w:tcW w:w="2381" w:type="dxa"/>
            <w:vAlign w:val="center"/>
          </w:tcPr>
          <w:p>
            <w:pPr>
              <w:pStyle w:val="11"/>
              <w:rPr>
                <w:rFonts w:cs="Times New Roman"/>
              </w:rPr>
            </w:pPr>
          </w:p>
        </w:tc>
      </w:tr>
    </w:tbl>
    <w:p>
      <w:pPr>
        <w:ind w:firstLine="42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000000"/>
          <w:sz w:val="21"/>
          <w:szCs w:val="21"/>
        </w:rPr>
        <w:t>注：无财政拨款“三公”经费支出表预算，空表列示。</w:t>
      </w:r>
    </w:p>
    <w:p>
      <w:pPr>
        <w:jc w:val="center"/>
        <w:outlineLvl w:val="4"/>
      </w:pPr>
      <w:r>
        <w:rPr>
          <w:rFonts w:hint="eastAsia" w:ascii="方正小标宋_GBK" w:hAnsi="方正小标宋_GBK" w:eastAsia="方正小标宋_GBK" w:cs="方正小标宋_GBK"/>
          <w:color w:val="000000"/>
          <w:sz w:val="44"/>
          <w:szCs w:val="44"/>
        </w:rPr>
        <w:t>河北魏县经济开发区管理委员会本级</w:t>
      </w:r>
      <w:r>
        <w:rPr>
          <w:rFonts w:ascii="方正小标宋_GBK" w:hAnsi="方正小标宋_GBK" w:eastAsia="方正小标宋_GBK" w:cs="方正小标宋_GBK"/>
          <w:color w:val="000000"/>
          <w:sz w:val="44"/>
          <w:szCs w:val="44"/>
        </w:rPr>
        <w:t>2023</w:t>
      </w:r>
      <w:r>
        <w:rPr>
          <w:rFonts w:hint="eastAsia" w:ascii="方正小标宋_GBK" w:hAnsi="方正小标宋_GBK" w:eastAsia="方正小标宋_GBK" w:cs="方正小标宋_GBK"/>
          <w:color w:val="000000"/>
          <w:sz w:val="44"/>
          <w:szCs w:val="44"/>
        </w:rPr>
        <w:t>年单位预算信息公开情况说明</w:t>
      </w:r>
    </w:p>
    <w:p>
      <w:pPr>
        <w:spacing w:line="500" w:lineRule="exact"/>
        <w:ind w:firstLine="560"/>
      </w:pPr>
      <w:r>
        <w:rPr>
          <w:rFonts w:hint="eastAsia" w:eastAsia="方正仿宋_GBK" w:cs="方正仿宋_GBK"/>
          <w:color w:val="000000"/>
          <w:sz w:val="28"/>
          <w:szCs w:val="28"/>
        </w:rPr>
        <w:t>按照</w:t>
      </w:r>
      <w:r>
        <w:rPr>
          <w:rFonts w:hint="eastAsia" w:eastAsia="方正仿宋_GBK" w:cs="方正仿宋_GBK"/>
          <w:color w:val="000000"/>
          <w:sz w:val="28"/>
          <w:szCs w:val="28"/>
          <w:lang w:eastAsia="zh-CN"/>
        </w:rPr>
        <w:t>《中华人民共和国预算法》</w:t>
      </w:r>
      <w:r>
        <w:rPr>
          <w:rFonts w:hint="eastAsia" w:eastAsia="方正仿宋_GBK" w:cs="方正仿宋_GBK"/>
          <w:color w:val="000000"/>
          <w:sz w:val="28"/>
          <w:szCs w:val="28"/>
        </w:rPr>
        <w:t>、《地方预决算公开操作规程》和《关于进一步推进预算公开工作的实施意见》规定，现将河北魏县经济开发区管理委员会本级</w:t>
      </w:r>
      <w:r>
        <w:rPr>
          <w:rFonts w:eastAsia="方正仿宋_GBK"/>
          <w:color w:val="000000"/>
          <w:sz w:val="28"/>
          <w:szCs w:val="28"/>
        </w:rPr>
        <w:t>2023</w:t>
      </w:r>
      <w:r>
        <w:rPr>
          <w:rFonts w:hint="eastAsia" w:eastAsia="方正仿宋_GBK" w:cs="方正仿宋_GBK"/>
          <w:color w:val="000000"/>
          <w:sz w:val="28"/>
          <w:szCs w:val="28"/>
        </w:rPr>
        <w:t>年单位预算公开如下：</w:t>
      </w:r>
    </w:p>
    <w:p>
      <w:pPr>
        <w:spacing w:before="10" w:after="10"/>
        <w:ind w:firstLine="640"/>
        <w:outlineLvl w:val="5"/>
      </w:pPr>
      <w:r>
        <w:rPr>
          <w:rFonts w:hint="eastAsia" w:ascii="黑体" w:hAnsi="黑体" w:eastAsia="黑体" w:cs="黑体"/>
          <w:color w:val="000000"/>
          <w:sz w:val="32"/>
          <w:szCs w:val="32"/>
        </w:rPr>
        <w:t>一、单位职责及机构设置情况</w:t>
      </w:r>
    </w:p>
    <w:p>
      <w:pPr>
        <w:ind w:firstLine="640"/>
      </w:pPr>
      <w:r>
        <w:rPr>
          <w:rFonts w:hint="eastAsia" w:ascii="方正楷体_GBK" w:hAnsi="方正楷体_GBK" w:eastAsia="方正楷体_GBK" w:cs="方正楷体_GBK"/>
          <w:b/>
          <w:bCs/>
          <w:color w:val="000000"/>
          <w:sz w:val="32"/>
          <w:szCs w:val="32"/>
        </w:rPr>
        <w:t>单位职责：</w:t>
      </w:r>
    </w:p>
    <w:p>
      <w:pPr>
        <w:pStyle w:val="15"/>
      </w:pPr>
      <w:r>
        <w:t>1</w:t>
      </w:r>
      <w:r>
        <w:rPr>
          <w:rFonts w:hint="eastAsia" w:cs="方正仿宋_GBK"/>
        </w:rPr>
        <w:t>、编制辖区内总体规划和经济社会发展规划；编制辖区内区域性城市发展规划、国土利用规划。</w:t>
      </w:r>
    </w:p>
    <w:p>
      <w:pPr>
        <w:pStyle w:val="15"/>
      </w:pPr>
      <w:r>
        <w:t>2</w:t>
      </w:r>
      <w:r>
        <w:rPr>
          <w:rFonts w:hint="eastAsia" w:cs="方正仿宋_GBK"/>
        </w:rPr>
        <w:t>、审批或审核固定资产投资项目。</w:t>
      </w:r>
    </w:p>
    <w:p>
      <w:pPr>
        <w:pStyle w:val="15"/>
      </w:pPr>
      <w:r>
        <w:t>3</w:t>
      </w:r>
      <w:r>
        <w:rPr>
          <w:rFonts w:hint="eastAsia" w:cs="方正仿宋_GBK"/>
        </w:rPr>
        <w:t>、负责辖区内基础设施和公用设施的建设和管理。</w:t>
      </w:r>
    </w:p>
    <w:p>
      <w:pPr>
        <w:pStyle w:val="15"/>
      </w:pPr>
      <w:r>
        <w:t>4</w:t>
      </w:r>
      <w:r>
        <w:rPr>
          <w:rFonts w:hint="eastAsia" w:cs="方正仿宋_GBK"/>
        </w:rPr>
        <w:t>、负责招商引资、进出口贸易、国内外经济技术合作。</w:t>
      </w:r>
    </w:p>
    <w:p>
      <w:pPr>
        <w:pStyle w:val="15"/>
      </w:pPr>
      <w:r>
        <w:t>5</w:t>
      </w:r>
      <w:r>
        <w:rPr>
          <w:rFonts w:hint="eastAsia" w:cs="方正仿宋_GBK"/>
        </w:rPr>
        <w:t>、负责辖区内环境和安全生产监管。</w:t>
      </w:r>
    </w:p>
    <w:p>
      <w:pPr>
        <w:pStyle w:val="15"/>
      </w:pPr>
      <w:r>
        <w:t>6</w:t>
      </w:r>
      <w:r>
        <w:rPr>
          <w:rFonts w:hint="eastAsia" w:cs="方正仿宋_GBK"/>
        </w:rPr>
        <w:t>、加快就业服务体系建设和专业技术人才的引进和培养，规范企业用工。</w:t>
      </w:r>
    </w:p>
    <w:p>
      <w:pPr>
        <w:pStyle w:val="15"/>
      </w:pPr>
      <w:r>
        <w:t>7</w:t>
      </w:r>
      <w:r>
        <w:rPr>
          <w:rFonts w:hint="eastAsia" w:cs="方正仿宋_GBK"/>
        </w:rPr>
        <w:t>、协调和保障上级有关部门派驻开发区机构的正常工作。</w:t>
      </w:r>
    </w:p>
    <w:p>
      <w:pPr>
        <w:pStyle w:val="15"/>
      </w:pPr>
      <w:r>
        <w:t>8</w:t>
      </w:r>
      <w:r>
        <w:rPr>
          <w:rFonts w:hint="eastAsia" w:cs="方正仿宋_GBK"/>
        </w:rPr>
        <w:t>、贯彻落实党的路线、方针、政策和上级党委决议、研究和制定辖区内重大经济和社会问题、宣传和精神文明建设工作、社会管理、综合治理工作和维稳工作党的纪律检查工作、辖区内工、青、妇等群团工作。</w:t>
      </w:r>
    </w:p>
    <w:p>
      <w:pPr>
        <w:pStyle w:val="15"/>
        <w:rPr>
          <w:rFonts w:hint="eastAsia" w:cs="方正仿宋_GBK"/>
          <w:lang w:eastAsia="zh-CN"/>
        </w:rPr>
      </w:pPr>
      <w:r>
        <w:t>9</w:t>
      </w:r>
      <w:r>
        <w:rPr>
          <w:rFonts w:hint="eastAsia" w:cs="方正仿宋_GBK"/>
        </w:rPr>
        <w:t>、负责管理和使用辖区建设发展专项资金。</w:t>
      </w:r>
    </w:p>
    <w:p>
      <w:pPr>
        <w:pStyle w:val="15"/>
        <w:rPr>
          <w:rFonts w:hint="eastAsia" w:cs="方正仿宋_GBK"/>
          <w:lang w:eastAsia="zh-CN"/>
        </w:rPr>
      </w:pPr>
    </w:p>
    <w:p>
      <w:pPr>
        <w:pStyle w:val="15"/>
        <w:rPr>
          <w:rFonts w:hint="eastAsia" w:cs="方正仿宋_GBK"/>
          <w:lang w:eastAsia="zh-CN"/>
        </w:rPr>
      </w:pPr>
    </w:p>
    <w:p>
      <w:pPr>
        <w:pStyle w:val="15"/>
        <w:rPr>
          <w:lang w:eastAsia="zh-CN"/>
        </w:rPr>
      </w:pPr>
    </w:p>
    <w:p>
      <w:pPr>
        <w:ind w:firstLine="640"/>
      </w:pPr>
      <w:r>
        <w:rPr>
          <w:rFonts w:hint="eastAsia" w:ascii="方正楷体_GBK" w:hAnsi="方正楷体_GBK" w:eastAsia="方正楷体_GBK" w:cs="方正楷体_GBK"/>
          <w:b/>
          <w:bCs/>
          <w:color w:val="000000"/>
          <w:sz w:val="32"/>
          <w:szCs w:val="32"/>
        </w:rPr>
        <w:t>机构设置：</w:t>
      </w:r>
    </w:p>
    <w:p>
      <w:pPr>
        <w:jc w:val="center"/>
      </w:pPr>
      <w:r>
        <w:rPr>
          <w:rFonts w:hint="eastAsia" w:ascii="方正小标宋_GBK" w:hAnsi="方正小标宋_GBK" w:eastAsia="方正小标宋_GBK" w:cs="方正小标宋_GBK"/>
          <w:color w:val="000000"/>
          <w:sz w:val="32"/>
          <w:szCs w:val="32"/>
        </w:rPr>
        <w:t>单位机构设置情况</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8"/>
              <w:rPr>
                <w:rFonts w:cs="Times New Roman"/>
              </w:rPr>
            </w:pPr>
            <w:r>
              <w:rPr>
                <w:rFonts w:hint="eastAsia"/>
              </w:rPr>
              <w:t>单位名称</w:t>
            </w:r>
          </w:p>
        </w:tc>
        <w:tc>
          <w:tcPr>
            <w:tcW w:w="1843" w:type="dxa"/>
            <w:vAlign w:val="center"/>
          </w:tcPr>
          <w:p>
            <w:pPr>
              <w:pStyle w:val="8"/>
              <w:rPr>
                <w:rFonts w:cs="Times New Roman"/>
              </w:rPr>
            </w:pPr>
            <w:r>
              <w:rPr>
                <w:rFonts w:hint="eastAsia"/>
              </w:rPr>
              <w:t>单位性质</w:t>
            </w:r>
          </w:p>
        </w:tc>
        <w:tc>
          <w:tcPr>
            <w:tcW w:w="2126" w:type="dxa"/>
            <w:vAlign w:val="center"/>
          </w:tcPr>
          <w:p>
            <w:pPr>
              <w:pStyle w:val="8"/>
              <w:rPr>
                <w:rFonts w:cs="Times New Roman"/>
              </w:rPr>
            </w:pPr>
            <w:r>
              <w:rPr>
                <w:rFonts w:hint="eastAsia"/>
              </w:rPr>
              <w:t>单位规格</w:t>
            </w:r>
          </w:p>
        </w:tc>
        <w:tc>
          <w:tcPr>
            <w:tcW w:w="3827" w:type="dxa"/>
            <w:vAlign w:val="center"/>
          </w:tcPr>
          <w:p>
            <w:pPr>
              <w:pStyle w:val="8"/>
              <w:rPr>
                <w:rFonts w:cs="Times New Roman"/>
              </w:rPr>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rPr>
                <w:rFonts w:cs="Times New Roman"/>
              </w:rPr>
            </w:pPr>
            <w:r>
              <w:rPr>
                <w:rFonts w:hint="eastAsia"/>
              </w:rPr>
              <w:t>河北魏县经济开发区管理委员会本级</w:t>
            </w:r>
          </w:p>
        </w:tc>
        <w:tc>
          <w:tcPr>
            <w:tcW w:w="1843" w:type="dxa"/>
            <w:vAlign w:val="center"/>
          </w:tcPr>
          <w:p>
            <w:pPr>
              <w:pStyle w:val="9"/>
              <w:rPr>
                <w:rFonts w:cs="Times New Roman"/>
              </w:rPr>
            </w:pPr>
            <w:r>
              <w:rPr>
                <w:rFonts w:hint="eastAsia"/>
              </w:rPr>
              <w:t>事业</w:t>
            </w:r>
          </w:p>
        </w:tc>
        <w:tc>
          <w:tcPr>
            <w:tcW w:w="2126" w:type="dxa"/>
            <w:vAlign w:val="center"/>
          </w:tcPr>
          <w:p>
            <w:pPr>
              <w:pStyle w:val="9"/>
              <w:rPr>
                <w:rFonts w:cs="Times New Roman"/>
              </w:rPr>
            </w:pPr>
            <w:r>
              <w:rPr>
                <w:rFonts w:hint="eastAsia"/>
              </w:rPr>
              <w:t>副处（县）级</w:t>
            </w:r>
          </w:p>
        </w:tc>
        <w:tc>
          <w:tcPr>
            <w:tcW w:w="3827" w:type="dxa"/>
            <w:vAlign w:val="center"/>
          </w:tcPr>
          <w:p>
            <w:pPr>
              <w:pStyle w:val="9"/>
              <w:rPr>
                <w:rFonts w:cs="Times New Roman"/>
              </w:rPr>
            </w:pPr>
            <w:r>
              <w:rPr>
                <w:rFonts w:hint="eastAsia"/>
              </w:rPr>
              <w:t>财政性资金基本保证</w:t>
            </w:r>
          </w:p>
        </w:tc>
      </w:tr>
    </w:tbl>
    <w:p>
      <w:pPr>
        <w:spacing w:before="10" w:after="10"/>
        <w:ind w:firstLine="640"/>
        <w:outlineLvl w:val="5"/>
      </w:pPr>
      <w:r>
        <w:rPr>
          <w:rFonts w:hint="eastAsia" w:ascii="黑体" w:hAnsi="黑体" w:eastAsia="黑体" w:cs="黑体"/>
          <w:color w:val="000000"/>
          <w:sz w:val="32"/>
          <w:szCs w:val="32"/>
        </w:rPr>
        <w:t>二、单位预算安排的总体情况</w:t>
      </w:r>
    </w:p>
    <w:p>
      <w:pPr>
        <w:spacing w:line="500" w:lineRule="exact"/>
        <w:ind w:firstLine="560"/>
      </w:pPr>
      <w:r>
        <w:rPr>
          <w:rFonts w:hint="eastAsia" w:eastAsia="方正仿宋_GBK" w:cs="方正仿宋_GBK"/>
          <w:color w:val="000000"/>
          <w:sz w:val="28"/>
          <w:szCs w:val="28"/>
        </w:rPr>
        <w:t>按照预算管理有关规定，目前我</w:t>
      </w:r>
      <w:r>
        <w:rPr>
          <w:rFonts w:hint="eastAsia" w:eastAsia="方正仿宋_GBK" w:cs="方正仿宋_GBK"/>
          <w:color w:val="000000"/>
          <w:sz w:val="28"/>
          <w:szCs w:val="28"/>
          <w:lang w:eastAsia="zh-CN"/>
        </w:rPr>
        <w:t>县</w:t>
      </w:r>
      <w:r>
        <w:rPr>
          <w:rFonts w:hint="eastAsia" w:eastAsia="方正仿宋_GBK" w:cs="方正仿宋_GBK"/>
          <w:color w:val="000000"/>
          <w:sz w:val="28"/>
          <w:szCs w:val="28"/>
        </w:rPr>
        <w:t>单位预算的编制实行综合预算管理，即全部收入和支出都反映在预算中。</w:t>
      </w:r>
    </w:p>
    <w:p>
      <w:pPr>
        <w:pStyle w:val="16"/>
      </w:pPr>
      <w:r>
        <w:t>1</w:t>
      </w:r>
      <w:r>
        <w:rPr>
          <w:rFonts w:hint="eastAsia" w:cs="方正仿宋_GBK"/>
        </w:rPr>
        <w:t>、收入说明：</w:t>
      </w:r>
      <w:r>
        <w:t>2023</w:t>
      </w:r>
      <w:r>
        <w:rPr>
          <w:rFonts w:hint="eastAsia" w:cs="方正仿宋_GBK"/>
        </w:rPr>
        <w:t>年收入预算共计</w:t>
      </w:r>
      <w:r>
        <w:rPr>
          <w:rFonts w:hint="eastAsia"/>
          <w:lang w:eastAsia="zh-CN"/>
        </w:rPr>
        <w:t>994.85</w:t>
      </w:r>
      <w:r>
        <w:rPr>
          <w:rFonts w:hint="eastAsia" w:cs="方正仿宋_GBK"/>
        </w:rPr>
        <w:t>万元，全部为财政拨款收入。</w:t>
      </w:r>
    </w:p>
    <w:p>
      <w:pPr>
        <w:pStyle w:val="17"/>
      </w:pPr>
      <w:r>
        <w:t>2</w:t>
      </w:r>
      <w:r>
        <w:rPr>
          <w:rFonts w:hint="eastAsia" w:cs="方正仿宋_GBK"/>
        </w:rPr>
        <w:t>、支出说明：</w:t>
      </w:r>
      <w:r>
        <w:t>2023</w:t>
      </w:r>
      <w:r>
        <w:rPr>
          <w:rFonts w:hint="eastAsia" w:cs="方正仿宋_GBK"/>
        </w:rPr>
        <w:t>年支出预算共计</w:t>
      </w:r>
      <w:r>
        <w:rPr>
          <w:rFonts w:hint="eastAsia"/>
          <w:lang w:eastAsia="zh-CN"/>
        </w:rPr>
        <w:t>994.85</w:t>
      </w:r>
      <w:r>
        <w:rPr>
          <w:rFonts w:hint="eastAsia" w:cs="方正仿宋_GBK"/>
        </w:rPr>
        <w:t>元，其中：人员经费支出预算</w:t>
      </w:r>
      <w:r>
        <w:rPr>
          <w:rFonts w:hint="eastAsia"/>
          <w:lang w:eastAsia="zh-CN"/>
        </w:rPr>
        <w:t>344.58</w:t>
      </w:r>
      <w:r>
        <w:rPr>
          <w:rFonts w:hint="eastAsia" w:cs="方正仿宋_GBK"/>
        </w:rPr>
        <w:t>万元，公用经费支出</w:t>
      </w:r>
      <w:r>
        <w:t>0</w:t>
      </w:r>
      <w:r>
        <w:rPr>
          <w:rFonts w:hint="eastAsia" w:cs="方正仿宋_GBK"/>
        </w:rPr>
        <w:t>万元，项目支出</w:t>
      </w:r>
      <w:r>
        <w:t>650</w:t>
      </w:r>
      <w:r>
        <w:rPr>
          <w:rFonts w:hint="eastAsia" w:cs="方正仿宋_GBK"/>
        </w:rPr>
        <w:t>万元（其中：包干基数用于项目支出预算</w:t>
      </w:r>
      <w:r>
        <w:t>550</w:t>
      </w:r>
      <w:r>
        <w:rPr>
          <w:rFonts w:hint="eastAsia" w:cs="方正仿宋_GBK"/>
        </w:rPr>
        <w:t>万元，安排基数外支持企业发展项目</w:t>
      </w:r>
      <w:r>
        <w:t>100</w:t>
      </w:r>
      <w:r>
        <w:rPr>
          <w:rFonts w:hint="eastAsia" w:cs="方正仿宋_GBK"/>
        </w:rPr>
        <w:t>万元）。</w:t>
      </w:r>
      <w:r>
        <w:rPr>
          <w:color w:val="auto"/>
        </w:rPr>
        <w:t>经过对比测算，202</w:t>
      </w:r>
      <w:r>
        <w:rPr>
          <w:rFonts w:hint="eastAsia"/>
          <w:color w:val="auto"/>
          <w:lang w:val="en-US" w:eastAsia="zh-CN"/>
        </w:rPr>
        <w:t>3</w:t>
      </w:r>
      <w:r>
        <w:rPr>
          <w:color w:val="auto"/>
        </w:rPr>
        <w:t>财政拨款预算比202</w:t>
      </w:r>
      <w:r>
        <w:rPr>
          <w:rFonts w:hint="eastAsia"/>
          <w:color w:val="auto"/>
          <w:lang w:val="en-US" w:eastAsia="zh-CN"/>
        </w:rPr>
        <w:t>2</w:t>
      </w:r>
      <w:r>
        <w:rPr>
          <w:color w:val="auto"/>
        </w:rPr>
        <w:t>年</w:t>
      </w:r>
      <w:r>
        <w:rPr>
          <w:rFonts w:hint="eastAsia"/>
          <w:color w:val="auto"/>
          <w:lang w:eastAsia="zh-CN"/>
        </w:rPr>
        <w:t>增加</w:t>
      </w:r>
      <w:r>
        <w:rPr>
          <w:rFonts w:hint="eastAsia"/>
          <w:color w:val="auto"/>
          <w:lang w:val="en-US" w:eastAsia="zh-CN"/>
        </w:rPr>
        <w:t>129.42</w:t>
      </w:r>
      <w:r>
        <w:rPr>
          <w:color w:val="auto"/>
        </w:rPr>
        <w:t>万元。其中：</w:t>
      </w:r>
      <w:r>
        <w:t>人员经费支出增加</w:t>
      </w:r>
      <w:r>
        <w:rPr>
          <w:rFonts w:hint="eastAsia"/>
          <w:lang w:val="en-US" w:eastAsia="zh-CN"/>
        </w:rPr>
        <w:t>29.15</w:t>
      </w:r>
      <w:r>
        <w:t>万元，主要原因是人员工资调整；公用经费支出0万元，与上年比没有增减变动，</w:t>
      </w:r>
      <w:r>
        <w:rPr>
          <w:rFonts w:hint="eastAsia" w:cs="方正仿宋_GBK"/>
        </w:rPr>
        <w:t>开发区从</w:t>
      </w:r>
      <w:r>
        <w:t>2019</w:t>
      </w:r>
      <w:r>
        <w:rPr>
          <w:rFonts w:hint="eastAsia" w:cs="方正仿宋_GBK"/>
        </w:rPr>
        <w:t>年开始实施</w:t>
      </w:r>
      <w:r>
        <w:t>“</w:t>
      </w:r>
      <w:r>
        <w:rPr>
          <w:rFonts w:hint="eastAsia" w:cs="方正仿宋_GBK"/>
        </w:rPr>
        <w:t>独立财政</w:t>
      </w:r>
      <w:r>
        <w:t>”</w:t>
      </w:r>
      <w:r>
        <w:rPr>
          <w:rFonts w:hint="eastAsia" w:cs="方正仿宋_GBK"/>
        </w:rPr>
        <w:t>体制改革以来，开发区实施一级财政管理，财政实行核定了财政转移支付基数</w:t>
      </w:r>
      <w:r>
        <w:rPr>
          <w:rFonts w:hint="eastAsia"/>
          <w:lang w:val="en-US" w:eastAsia="zh-CN"/>
        </w:rPr>
        <w:t>650</w:t>
      </w:r>
      <w:r>
        <w:rPr>
          <w:rFonts w:hint="eastAsia" w:cs="方正仿宋_GBK"/>
        </w:rPr>
        <w:t>万元（其中：包干基数用于项目支出预算</w:t>
      </w:r>
      <w:r>
        <w:t>550</w:t>
      </w:r>
      <w:r>
        <w:rPr>
          <w:rFonts w:hint="eastAsia" w:cs="方正仿宋_GBK"/>
        </w:rPr>
        <w:t>万元，安排基数外支持企业发展项目</w:t>
      </w:r>
      <w:r>
        <w:t>100</w:t>
      </w:r>
      <w:r>
        <w:rPr>
          <w:rFonts w:hint="eastAsia" w:cs="方正仿宋_GBK"/>
        </w:rPr>
        <w:t>万元），将所有经费纳入转移支付基数，由开发区统筹安排用于人员、公用和项目支出。</w:t>
      </w:r>
    </w:p>
    <w:p>
      <w:pPr>
        <w:spacing w:before="10" w:after="10"/>
        <w:ind w:firstLine="640"/>
        <w:outlineLvl w:val="5"/>
      </w:pPr>
      <w:r>
        <w:rPr>
          <w:rFonts w:hint="eastAsia" w:ascii="黑体" w:hAnsi="黑体" w:eastAsia="黑体" w:cs="黑体"/>
          <w:color w:val="000000"/>
          <w:sz w:val="32"/>
          <w:szCs w:val="32"/>
        </w:rPr>
        <w:t>三、机关运行经费安排情况</w:t>
      </w:r>
    </w:p>
    <w:p>
      <w:pPr>
        <w:pStyle w:val="18"/>
      </w:pPr>
      <w:r>
        <w:rPr>
          <w:rFonts w:hint="eastAsia" w:cs="方正仿宋_GBK"/>
        </w:rPr>
        <w:t>机关运行经费共计安排</w:t>
      </w:r>
      <w:r>
        <w:rPr>
          <w:rFonts w:hint="eastAsia"/>
          <w:lang w:eastAsia="zh-CN"/>
        </w:rPr>
        <w:t>16.44</w:t>
      </w:r>
      <w:r>
        <w:rPr>
          <w:rFonts w:hint="eastAsia" w:cs="方正仿宋_GBK"/>
        </w:rPr>
        <w:t>万元（从开发区体制补助</w:t>
      </w:r>
      <w:r>
        <w:t>550</w:t>
      </w:r>
      <w:r>
        <w:rPr>
          <w:rFonts w:hint="eastAsia" w:cs="方正仿宋_GBK"/>
        </w:rPr>
        <w:t>万元基数中统筹解决，未单独予以安排），根据体制改革要求，未单独向县财政报送。机关运行经费主要用于保证正常办公的基本需要和维持单位日常业务运转，包括：办公费、邮电费、差旅费、福利费、手续费、公务接待费、工会经费、其他交通费和离退休干部经费。主要是：根据省、市开发区改革意见和县委、县政府印发的魏县开发区改革意见和有关政府纪要，按照开发区改革后的职能职责，需将人才培训、招商引资、信访维稳等公务活动纳入开发管理，为确保开发区改革后的管理水平提升和日常业务运行，促进开发区高质量发展，需增加财政拨款预算。</w:t>
      </w:r>
    </w:p>
    <w:p>
      <w:pPr>
        <w:spacing w:before="10" w:after="10"/>
        <w:ind w:firstLine="640"/>
        <w:outlineLvl w:val="5"/>
      </w:pPr>
      <w:r>
        <w:rPr>
          <w:rFonts w:hint="eastAsia" w:ascii="黑体" w:hAnsi="黑体" w:eastAsia="黑体" w:cs="黑体"/>
          <w:color w:val="000000"/>
          <w:sz w:val="32"/>
          <w:szCs w:val="32"/>
        </w:rPr>
        <w:t>四、财政拨款“三公”经费预算情况及增减变化原因</w:t>
      </w:r>
    </w:p>
    <w:p>
      <w:pPr>
        <w:pStyle w:val="19"/>
      </w:pPr>
      <w:r>
        <w:t>2023</w:t>
      </w:r>
      <w:r>
        <w:rPr>
          <w:rFonts w:hint="eastAsia" w:cs="方正仿宋_GBK"/>
        </w:rPr>
        <w:t>年，财政拨款</w:t>
      </w:r>
      <w:r>
        <w:t>“</w:t>
      </w:r>
      <w:r>
        <w:rPr>
          <w:rFonts w:hint="eastAsia" w:cs="方正仿宋_GBK"/>
        </w:rPr>
        <w:t>三公</w:t>
      </w:r>
      <w:r>
        <w:t>”</w:t>
      </w:r>
      <w:r>
        <w:rPr>
          <w:rFonts w:hint="eastAsia" w:cs="方正仿宋_GBK"/>
        </w:rPr>
        <w:t>经费预算安排</w:t>
      </w:r>
      <w:r>
        <w:t>0</w:t>
      </w:r>
      <w:r>
        <w:rPr>
          <w:rFonts w:hint="eastAsia" w:cs="方正仿宋_GBK"/>
        </w:rPr>
        <w:t>万元，其中：因公出国</w:t>
      </w:r>
      <w:r>
        <w:t>(</w:t>
      </w:r>
      <w:r>
        <w:rPr>
          <w:rFonts w:hint="eastAsia" w:cs="方正仿宋_GBK"/>
        </w:rPr>
        <w:t>境</w:t>
      </w:r>
      <w:r>
        <w:t>)</w:t>
      </w:r>
      <w:r>
        <w:rPr>
          <w:rFonts w:hint="eastAsia" w:cs="方正仿宋_GBK"/>
        </w:rPr>
        <w:t>费</w:t>
      </w:r>
      <w:r>
        <w:t>0</w:t>
      </w:r>
      <w:r>
        <w:rPr>
          <w:rFonts w:hint="eastAsia" w:cs="方正仿宋_GBK"/>
        </w:rPr>
        <w:t>万元，公务用车购置及运维费</w:t>
      </w:r>
      <w:r>
        <w:t>0</w:t>
      </w:r>
      <w:r>
        <w:rPr>
          <w:rFonts w:hint="eastAsia" w:cs="方正仿宋_GBK"/>
        </w:rPr>
        <w:t>万元</w:t>
      </w:r>
      <w:r>
        <w:t>(</w:t>
      </w:r>
      <w:r>
        <w:rPr>
          <w:rFonts w:hint="eastAsia" w:cs="方正仿宋_GBK"/>
        </w:rPr>
        <w:t>其中：公务用车购置费为</w:t>
      </w:r>
      <w:r>
        <w:t>0</w:t>
      </w:r>
      <w:r>
        <w:rPr>
          <w:rFonts w:hint="eastAsia" w:cs="方正仿宋_GBK"/>
        </w:rPr>
        <w:t>万元，公务用车运行费</w:t>
      </w:r>
      <w:r>
        <w:t>0</w:t>
      </w:r>
      <w:r>
        <w:rPr>
          <w:rFonts w:hint="eastAsia" w:cs="方正仿宋_GBK"/>
        </w:rPr>
        <w:t>万元</w:t>
      </w:r>
      <w:r>
        <w:t>)</w:t>
      </w:r>
      <w:r>
        <w:rPr>
          <w:rFonts w:hint="eastAsia" w:cs="方正仿宋_GBK"/>
        </w:rPr>
        <w:t>，公务接待费</w:t>
      </w:r>
      <w:r>
        <w:t>0</w:t>
      </w:r>
      <w:r>
        <w:rPr>
          <w:rFonts w:hint="eastAsia" w:cs="方正仿宋_GBK"/>
        </w:rPr>
        <w:t>万元。</w:t>
      </w:r>
    </w:p>
    <w:p>
      <w:pPr>
        <w:pStyle w:val="19"/>
      </w:pPr>
      <w:r>
        <w:rPr>
          <w:rFonts w:hint="eastAsia" w:cs="方正仿宋_GBK"/>
        </w:rPr>
        <w:t>与</w:t>
      </w:r>
      <w:r>
        <w:t>2022</w:t>
      </w:r>
      <w:r>
        <w:rPr>
          <w:rFonts w:hint="eastAsia" w:cs="方正仿宋_GBK"/>
        </w:rPr>
        <w:t>年相比，因公出国</w:t>
      </w:r>
      <w:r>
        <w:t>(</w:t>
      </w:r>
      <w:r>
        <w:rPr>
          <w:rFonts w:hint="eastAsia" w:cs="方正仿宋_GBK"/>
        </w:rPr>
        <w:t>境</w:t>
      </w:r>
      <w:r>
        <w:t>)</w:t>
      </w:r>
      <w:r>
        <w:rPr>
          <w:rFonts w:hint="eastAsia" w:cs="方正仿宋_GBK"/>
        </w:rPr>
        <w:t>费、公务用车运行费、公务接待费没有增减变动，均与去年持平。主要原因是我单位根据实际情况，未安排出国经费，公务车辆按照有关规定已报废，目前没有公务车辆，也未安排相关经费，公务接待费实行</w:t>
      </w:r>
      <w:r>
        <w:t>“</w:t>
      </w:r>
      <w:r>
        <w:rPr>
          <w:rFonts w:hint="eastAsia" w:cs="方正仿宋_GBK"/>
        </w:rPr>
        <w:t>零招待</w:t>
      </w:r>
      <w:r>
        <w:t>”</w:t>
      </w:r>
      <w:r>
        <w:rPr>
          <w:rFonts w:hint="eastAsia" w:cs="方正仿宋_GBK"/>
        </w:rPr>
        <w:t>制度，也未进行安排。</w:t>
      </w:r>
    </w:p>
    <w:p>
      <w:pPr>
        <w:spacing w:before="10" w:after="10"/>
        <w:ind w:firstLine="640"/>
        <w:outlineLvl w:val="5"/>
        <w:sectPr>
          <w:pgSz w:w="16840" w:h="11900" w:orient="landscape"/>
          <w:pgMar w:top="1361" w:right="1020" w:bottom="1361" w:left="1020" w:header="720" w:footer="720" w:gutter="0"/>
          <w:cols w:space="720" w:num="1"/>
        </w:sectPr>
      </w:pPr>
      <w:r>
        <w:rPr>
          <w:rFonts w:hint="eastAsia" w:ascii="黑体" w:hAnsi="黑体" w:eastAsia="黑体" w:cs="黑体"/>
          <w:color w:val="000000"/>
          <w:sz w:val="32"/>
          <w:szCs w:val="32"/>
        </w:rPr>
        <w:t>五、预算绩效信息</w:t>
      </w:r>
    </w:p>
    <w:p>
      <w:pPr>
        <w:ind w:firstLine="560"/>
      </w:pPr>
      <w:r>
        <w:rPr>
          <w:rFonts w:ascii="方正仿宋_GBK" w:hAnsi="方正仿宋_GBK" w:eastAsia="方正仿宋_GBK" w:cs="方正仿宋_GBK"/>
          <w:b/>
          <w:bCs/>
          <w:color w:val="000000"/>
          <w:sz w:val="28"/>
          <w:szCs w:val="28"/>
        </w:rPr>
        <w:t>1</w:t>
      </w:r>
      <w:r>
        <w:rPr>
          <w:rFonts w:hint="eastAsia" w:ascii="方正仿宋_GBK" w:hAnsi="方正仿宋_GBK" w:eastAsia="方正仿宋_GBK" w:cs="方正仿宋_GBK"/>
          <w:b/>
          <w:bCs/>
          <w:color w:val="000000"/>
          <w:sz w:val="28"/>
          <w:szCs w:val="28"/>
        </w:rPr>
        <w:t>、</w:t>
      </w:r>
      <w:r>
        <w:rPr>
          <w:rFonts w:ascii="方正仿宋_GBK" w:hAnsi="方正仿宋_GBK" w:eastAsia="方正仿宋_GBK" w:cs="方正仿宋_GBK"/>
          <w:b/>
          <w:bCs/>
          <w:color w:val="000000"/>
          <w:sz w:val="28"/>
          <w:szCs w:val="28"/>
        </w:rPr>
        <w:t>2023</w:t>
      </w:r>
      <w:r>
        <w:rPr>
          <w:rFonts w:hint="eastAsia" w:ascii="方正仿宋_GBK" w:hAnsi="方正仿宋_GBK" w:eastAsia="方正仿宋_GBK" w:cs="方正仿宋_GBK"/>
          <w:b/>
          <w:bCs/>
          <w:color w:val="000000"/>
          <w:sz w:val="28"/>
          <w:szCs w:val="28"/>
        </w:rPr>
        <w:t>年经济开发区财政体制改革补助绩效目标表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8"/>
              <w:rPr>
                <w:rFonts w:cs="Times New Roman"/>
              </w:rPr>
            </w:pPr>
            <w:r>
              <w:rPr>
                <w:rFonts w:hint="eastAsia"/>
              </w:rPr>
              <w:t>绩效目标</w:t>
            </w:r>
          </w:p>
        </w:tc>
        <w:tc>
          <w:tcPr>
            <w:tcW w:w="12756" w:type="dxa"/>
            <w:tcBorders>
              <w:top w:val="single" w:color="000000" w:sz="6" w:space="0"/>
              <w:bottom w:val="single" w:color="FFFFFF" w:sz="6" w:space="0"/>
            </w:tcBorders>
            <w:vAlign w:val="center"/>
          </w:tcPr>
          <w:p>
            <w:pPr>
              <w:pStyle w:val="10"/>
              <w:rPr>
                <w:rFonts w:cs="Times New Roman"/>
              </w:rPr>
            </w:pPr>
            <w:r>
              <w:t>1.</w:t>
            </w:r>
            <w:r>
              <w:rPr>
                <w:rFonts w:hint="eastAsia"/>
              </w:rPr>
              <w:t>创造良好的招商环境、助推魏县经济发展，年度开展外出招商</w:t>
            </w:r>
            <w:r>
              <w:t>12</w:t>
            </w:r>
            <w:r>
              <w:rPr>
                <w:rFonts w:hint="eastAsia"/>
              </w:rPr>
              <w:t>次以上，优质项目占比</w:t>
            </w:r>
            <w:r>
              <w:t>70%</w:t>
            </w:r>
            <w:r>
              <w:rPr>
                <w:rFonts w:hint="eastAsia"/>
              </w:rPr>
              <w:t>以上。</w:t>
            </w:r>
          </w:p>
        </w:tc>
      </w:tr>
    </w:tbl>
    <w:p>
      <w:pPr>
        <w:spacing w:line="2" w:lineRule="exact"/>
        <w:jc w:val="center"/>
      </w:pP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rPr>
                <w:rFonts w:cs="Times New Roman"/>
              </w:rPr>
            </w:pPr>
            <w:r>
              <w:rPr>
                <w:rFonts w:hint="eastAsia"/>
              </w:rPr>
              <w:t>一级指标</w:t>
            </w:r>
          </w:p>
        </w:tc>
        <w:tc>
          <w:tcPr>
            <w:tcW w:w="2268" w:type="dxa"/>
            <w:vAlign w:val="center"/>
          </w:tcPr>
          <w:p>
            <w:pPr>
              <w:pStyle w:val="8"/>
              <w:rPr>
                <w:rFonts w:cs="Times New Roman"/>
              </w:rPr>
            </w:pPr>
            <w:r>
              <w:rPr>
                <w:rFonts w:hint="eastAsia"/>
              </w:rPr>
              <w:t>二级指标</w:t>
            </w:r>
          </w:p>
        </w:tc>
        <w:tc>
          <w:tcPr>
            <w:tcW w:w="2835" w:type="dxa"/>
            <w:vAlign w:val="center"/>
          </w:tcPr>
          <w:p>
            <w:pPr>
              <w:pStyle w:val="8"/>
              <w:rPr>
                <w:rFonts w:cs="Times New Roman"/>
              </w:rPr>
            </w:pPr>
            <w:r>
              <w:rPr>
                <w:rFonts w:hint="eastAsia"/>
              </w:rPr>
              <w:t>三级指标</w:t>
            </w:r>
          </w:p>
        </w:tc>
        <w:tc>
          <w:tcPr>
            <w:tcW w:w="2835" w:type="dxa"/>
            <w:vAlign w:val="center"/>
          </w:tcPr>
          <w:p>
            <w:pPr>
              <w:pStyle w:val="8"/>
              <w:rPr>
                <w:rFonts w:cs="Times New Roman"/>
              </w:rPr>
            </w:pPr>
            <w:r>
              <w:rPr>
                <w:rFonts w:hint="eastAsia"/>
              </w:rPr>
              <w:t>绩效指标描述</w:t>
            </w:r>
          </w:p>
        </w:tc>
        <w:tc>
          <w:tcPr>
            <w:tcW w:w="2551" w:type="dxa"/>
            <w:vAlign w:val="center"/>
          </w:tcPr>
          <w:p>
            <w:pPr>
              <w:pStyle w:val="8"/>
              <w:rPr>
                <w:rFonts w:cs="Times New Roman"/>
              </w:rPr>
            </w:pPr>
            <w:r>
              <w:rPr>
                <w:rFonts w:hint="eastAsia"/>
              </w:rPr>
              <w:t>指标值</w:t>
            </w:r>
          </w:p>
        </w:tc>
        <w:tc>
          <w:tcPr>
            <w:tcW w:w="2268" w:type="dxa"/>
            <w:vAlign w:val="center"/>
          </w:tcPr>
          <w:p>
            <w:pPr>
              <w:pStyle w:val="8"/>
              <w:rPr>
                <w:rFonts w:cs="Times New Roman"/>
              </w:rPr>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rPr>
                <w:rFonts w:cs="Times New Roman"/>
              </w:rPr>
            </w:pPr>
            <w:r>
              <w:rPr>
                <w:rFonts w:hint="eastAsia"/>
              </w:rPr>
              <w:t>产出指标</w:t>
            </w:r>
          </w:p>
        </w:tc>
        <w:tc>
          <w:tcPr>
            <w:tcW w:w="2268" w:type="dxa"/>
            <w:vAlign w:val="center"/>
          </w:tcPr>
          <w:p>
            <w:pPr>
              <w:pStyle w:val="10"/>
              <w:rPr>
                <w:rFonts w:cs="Times New Roman"/>
              </w:rPr>
            </w:pPr>
            <w:r>
              <w:rPr>
                <w:rFonts w:hint="eastAsia"/>
              </w:rPr>
              <w:t>数量指标</w:t>
            </w:r>
          </w:p>
        </w:tc>
        <w:tc>
          <w:tcPr>
            <w:tcW w:w="2835" w:type="dxa"/>
            <w:vAlign w:val="center"/>
          </w:tcPr>
          <w:p>
            <w:pPr>
              <w:pStyle w:val="10"/>
              <w:rPr>
                <w:rFonts w:cs="Times New Roman"/>
              </w:rPr>
            </w:pPr>
            <w:r>
              <w:rPr>
                <w:rFonts w:hint="eastAsia"/>
              </w:rPr>
              <w:t>招商活动开展次数</w:t>
            </w:r>
          </w:p>
        </w:tc>
        <w:tc>
          <w:tcPr>
            <w:tcW w:w="2835" w:type="dxa"/>
            <w:vAlign w:val="center"/>
          </w:tcPr>
          <w:p>
            <w:pPr>
              <w:pStyle w:val="10"/>
              <w:rPr>
                <w:rFonts w:cs="Times New Roman"/>
              </w:rPr>
            </w:pPr>
            <w:r>
              <w:rPr>
                <w:rFonts w:hint="eastAsia"/>
              </w:rPr>
              <w:t>外出招商活动开展次数</w:t>
            </w:r>
          </w:p>
        </w:tc>
        <w:tc>
          <w:tcPr>
            <w:tcW w:w="2551" w:type="dxa"/>
            <w:vAlign w:val="center"/>
          </w:tcPr>
          <w:p>
            <w:pPr>
              <w:pStyle w:val="10"/>
              <w:rPr>
                <w:rFonts w:cs="Times New Roman"/>
              </w:rPr>
            </w:pPr>
            <w:r>
              <w:rPr>
                <w:rFonts w:hint="eastAsia"/>
              </w:rPr>
              <w:t>≥</w:t>
            </w:r>
            <w:r>
              <w:t>12</w:t>
            </w:r>
            <w:r>
              <w:rPr>
                <w:rFonts w:hint="eastAsia"/>
              </w:rPr>
              <w:t>次</w:t>
            </w:r>
          </w:p>
        </w:tc>
        <w:tc>
          <w:tcPr>
            <w:tcW w:w="2268" w:type="dxa"/>
            <w:vAlign w:val="center"/>
          </w:tcPr>
          <w:p>
            <w:pPr>
              <w:pStyle w:val="10"/>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质量指标</w:t>
            </w:r>
          </w:p>
        </w:tc>
        <w:tc>
          <w:tcPr>
            <w:tcW w:w="2835" w:type="dxa"/>
            <w:vAlign w:val="center"/>
          </w:tcPr>
          <w:p>
            <w:pPr>
              <w:pStyle w:val="10"/>
              <w:rPr>
                <w:rFonts w:cs="Times New Roman"/>
              </w:rPr>
            </w:pPr>
            <w:r>
              <w:rPr>
                <w:rFonts w:hint="eastAsia"/>
              </w:rPr>
              <w:t>项目合格率</w:t>
            </w:r>
          </w:p>
        </w:tc>
        <w:tc>
          <w:tcPr>
            <w:tcW w:w="2835" w:type="dxa"/>
            <w:vAlign w:val="center"/>
          </w:tcPr>
          <w:p>
            <w:pPr>
              <w:pStyle w:val="10"/>
              <w:rPr>
                <w:rFonts w:cs="Times New Roman"/>
              </w:rPr>
            </w:pPr>
            <w:r>
              <w:rPr>
                <w:rFonts w:hint="eastAsia"/>
              </w:rPr>
              <w:t>招商落地项目占总量的比值</w:t>
            </w:r>
          </w:p>
        </w:tc>
        <w:tc>
          <w:tcPr>
            <w:tcW w:w="2551" w:type="dxa"/>
            <w:vAlign w:val="center"/>
          </w:tcPr>
          <w:p>
            <w:pPr>
              <w:pStyle w:val="10"/>
            </w:pPr>
            <w:r>
              <w:rPr>
                <w:rFonts w:hint="eastAsia"/>
              </w:rPr>
              <w:t>≥</w:t>
            </w:r>
            <w:r>
              <w:t>70%</w:t>
            </w:r>
          </w:p>
        </w:tc>
        <w:tc>
          <w:tcPr>
            <w:tcW w:w="2268" w:type="dxa"/>
            <w:vAlign w:val="center"/>
          </w:tcPr>
          <w:p>
            <w:pPr>
              <w:pStyle w:val="10"/>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时效指标</w:t>
            </w:r>
          </w:p>
        </w:tc>
        <w:tc>
          <w:tcPr>
            <w:tcW w:w="2835" w:type="dxa"/>
            <w:vAlign w:val="center"/>
          </w:tcPr>
          <w:p>
            <w:pPr>
              <w:pStyle w:val="10"/>
              <w:rPr>
                <w:rFonts w:cs="Times New Roman"/>
              </w:rPr>
            </w:pPr>
            <w:r>
              <w:rPr>
                <w:rFonts w:hint="eastAsia"/>
              </w:rPr>
              <w:t>年度招商工作完成度</w:t>
            </w:r>
          </w:p>
        </w:tc>
        <w:tc>
          <w:tcPr>
            <w:tcW w:w="2835" w:type="dxa"/>
            <w:vAlign w:val="center"/>
          </w:tcPr>
          <w:p>
            <w:pPr>
              <w:pStyle w:val="10"/>
              <w:rPr>
                <w:rFonts w:cs="Times New Roman"/>
              </w:rPr>
            </w:pPr>
            <w:r>
              <w:rPr>
                <w:rFonts w:hint="eastAsia"/>
              </w:rPr>
              <w:t>招商任务是否在规定的时间内按时完成</w:t>
            </w:r>
          </w:p>
        </w:tc>
        <w:tc>
          <w:tcPr>
            <w:tcW w:w="2551" w:type="dxa"/>
            <w:vAlign w:val="center"/>
          </w:tcPr>
          <w:p>
            <w:pPr>
              <w:pStyle w:val="10"/>
              <w:rPr>
                <w:rFonts w:cs="Times New Roman"/>
              </w:rPr>
            </w:pPr>
            <w:r>
              <w:t>23</w:t>
            </w:r>
            <w:r>
              <w:rPr>
                <w:rFonts w:hint="eastAsia"/>
              </w:rPr>
              <w:t>年</w:t>
            </w:r>
            <w:r>
              <w:t>12</w:t>
            </w:r>
            <w:r>
              <w:rPr>
                <w:rFonts w:hint="eastAsia"/>
              </w:rPr>
              <w:t>月底</w:t>
            </w:r>
          </w:p>
        </w:tc>
        <w:tc>
          <w:tcPr>
            <w:tcW w:w="2268" w:type="dxa"/>
            <w:vAlign w:val="center"/>
          </w:tcPr>
          <w:p>
            <w:pPr>
              <w:pStyle w:val="10"/>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成本指标</w:t>
            </w:r>
          </w:p>
        </w:tc>
        <w:tc>
          <w:tcPr>
            <w:tcW w:w="2835" w:type="dxa"/>
            <w:vAlign w:val="center"/>
          </w:tcPr>
          <w:p>
            <w:pPr>
              <w:pStyle w:val="10"/>
              <w:rPr>
                <w:rFonts w:cs="Times New Roman"/>
              </w:rPr>
            </w:pPr>
            <w:r>
              <w:rPr>
                <w:rFonts w:hint="eastAsia"/>
              </w:rPr>
              <w:t>成本控制</w:t>
            </w:r>
          </w:p>
        </w:tc>
        <w:tc>
          <w:tcPr>
            <w:tcW w:w="2835" w:type="dxa"/>
            <w:vAlign w:val="center"/>
          </w:tcPr>
          <w:p>
            <w:pPr>
              <w:pStyle w:val="10"/>
              <w:rPr>
                <w:rFonts w:cs="Times New Roman"/>
              </w:rPr>
            </w:pPr>
            <w:r>
              <w:rPr>
                <w:rFonts w:hint="eastAsia"/>
              </w:rPr>
              <w:t>成本控制</w:t>
            </w:r>
          </w:p>
        </w:tc>
        <w:tc>
          <w:tcPr>
            <w:tcW w:w="2551" w:type="dxa"/>
            <w:vAlign w:val="center"/>
          </w:tcPr>
          <w:p>
            <w:pPr>
              <w:pStyle w:val="10"/>
              <w:rPr>
                <w:rFonts w:cs="Times New Roman"/>
              </w:rPr>
            </w:pPr>
            <w:r>
              <w:rPr>
                <w:rFonts w:hint="eastAsia"/>
              </w:rPr>
              <w:t>≤</w:t>
            </w:r>
            <w:r>
              <w:t>550</w:t>
            </w:r>
            <w:r>
              <w:rPr>
                <w:rFonts w:hint="eastAsia"/>
              </w:rPr>
              <w:t>万元</w:t>
            </w:r>
          </w:p>
        </w:tc>
        <w:tc>
          <w:tcPr>
            <w:tcW w:w="2268" w:type="dxa"/>
            <w:vAlign w:val="center"/>
          </w:tcPr>
          <w:p>
            <w:pPr>
              <w:pStyle w:val="10"/>
              <w:rPr>
                <w:rFonts w:cs="Times New Roman"/>
              </w:rPr>
            </w:pPr>
            <w:r>
              <w:rPr>
                <w:rFonts w:hint="eastAsia"/>
              </w:rPr>
              <w:t>年度决算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rPr>
                <w:rFonts w:cs="Times New Roman"/>
              </w:rPr>
            </w:pPr>
            <w:r>
              <w:rPr>
                <w:rFonts w:hint="eastAsia"/>
              </w:rPr>
              <w:t>效益指标</w:t>
            </w:r>
          </w:p>
        </w:tc>
        <w:tc>
          <w:tcPr>
            <w:tcW w:w="2268" w:type="dxa"/>
            <w:vAlign w:val="center"/>
          </w:tcPr>
          <w:p>
            <w:pPr>
              <w:pStyle w:val="10"/>
              <w:rPr>
                <w:rFonts w:cs="Times New Roman"/>
              </w:rPr>
            </w:pPr>
            <w:r>
              <w:rPr>
                <w:rFonts w:hint="eastAsia"/>
              </w:rPr>
              <w:t>经济效益指标</w:t>
            </w:r>
          </w:p>
        </w:tc>
        <w:tc>
          <w:tcPr>
            <w:tcW w:w="2835" w:type="dxa"/>
            <w:vAlign w:val="center"/>
          </w:tcPr>
          <w:p>
            <w:pPr>
              <w:pStyle w:val="10"/>
              <w:rPr>
                <w:rFonts w:cs="Times New Roman"/>
              </w:rPr>
            </w:pPr>
            <w:r>
              <w:rPr>
                <w:rFonts w:hint="eastAsia"/>
              </w:rPr>
              <w:t>招商项目完成率</w:t>
            </w:r>
          </w:p>
        </w:tc>
        <w:tc>
          <w:tcPr>
            <w:tcW w:w="2835" w:type="dxa"/>
            <w:vAlign w:val="center"/>
          </w:tcPr>
          <w:p>
            <w:pPr>
              <w:pStyle w:val="10"/>
              <w:rPr>
                <w:rFonts w:cs="Times New Roman"/>
              </w:rPr>
            </w:pPr>
            <w:r>
              <w:rPr>
                <w:rFonts w:hint="eastAsia"/>
              </w:rPr>
              <w:t>预定招商项目落地情况，完成率（政府任务目标）</w:t>
            </w:r>
          </w:p>
        </w:tc>
        <w:tc>
          <w:tcPr>
            <w:tcW w:w="2551" w:type="dxa"/>
            <w:vAlign w:val="center"/>
          </w:tcPr>
          <w:p>
            <w:pPr>
              <w:pStyle w:val="10"/>
            </w:pPr>
            <w:r>
              <w:rPr>
                <w:rFonts w:hint="eastAsia"/>
              </w:rPr>
              <w:t>≥</w:t>
            </w:r>
            <w:r>
              <w:t>95%</w:t>
            </w:r>
          </w:p>
        </w:tc>
        <w:tc>
          <w:tcPr>
            <w:tcW w:w="2268" w:type="dxa"/>
            <w:vAlign w:val="center"/>
          </w:tcPr>
          <w:p>
            <w:pPr>
              <w:pStyle w:val="10"/>
              <w:rPr>
                <w:rFonts w:cs="Times New Roman"/>
              </w:rPr>
            </w:pPr>
            <w:r>
              <w:rPr>
                <w:rFonts w:hint="eastAsia"/>
              </w:rPr>
              <w:t>政府责任目标和年底考核情况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社会效益指标</w:t>
            </w:r>
          </w:p>
        </w:tc>
        <w:tc>
          <w:tcPr>
            <w:tcW w:w="2835" w:type="dxa"/>
            <w:vAlign w:val="center"/>
          </w:tcPr>
          <w:p>
            <w:pPr>
              <w:pStyle w:val="10"/>
              <w:rPr>
                <w:rFonts w:cs="Times New Roman"/>
              </w:rPr>
            </w:pPr>
            <w:r>
              <w:rPr>
                <w:rFonts w:hint="eastAsia"/>
              </w:rPr>
              <w:t>项目对社会效益提升比</w:t>
            </w:r>
          </w:p>
        </w:tc>
        <w:tc>
          <w:tcPr>
            <w:tcW w:w="2835" w:type="dxa"/>
            <w:vAlign w:val="center"/>
          </w:tcPr>
          <w:p>
            <w:pPr>
              <w:pStyle w:val="10"/>
              <w:rPr>
                <w:rFonts w:cs="Times New Roman"/>
              </w:rPr>
            </w:pPr>
            <w:r>
              <w:rPr>
                <w:rFonts w:hint="eastAsia"/>
              </w:rPr>
              <w:t>招商引资的项目对社会效益（税收）增值率</w:t>
            </w:r>
          </w:p>
        </w:tc>
        <w:tc>
          <w:tcPr>
            <w:tcW w:w="2551" w:type="dxa"/>
            <w:vAlign w:val="center"/>
          </w:tcPr>
          <w:p>
            <w:pPr>
              <w:pStyle w:val="10"/>
            </w:pPr>
            <w:r>
              <w:rPr>
                <w:rFonts w:hint="eastAsia"/>
              </w:rPr>
              <w:t>≥</w:t>
            </w:r>
            <w:r>
              <w:t>6%</w:t>
            </w:r>
          </w:p>
        </w:tc>
        <w:tc>
          <w:tcPr>
            <w:tcW w:w="2268" w:type="dxa"/>
            <w:vAlign w:val="center"/>
          </w:tcPr>
          <w:p>
            <w:pPr>
              <w:pStyle w:val="10"/>
              <w:rPr>
                <w:rFonts w:cs="Times New Roman"/>
              </w:rPr>
            </w:pPr>
            <w:r>
              <w:rPr>
                <w:rFonts w:hint="eastAsia"/>
              </w:rPr>
              <w:t>开发区企业年度税收总额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可持续影响指标</w:t>
            </w:r>
          </w:p>
        </w:tc>
        <w:tc>
          <w:tcPr>
            <w:tcW w:w="2835" w:type="dxa"/>
            <w:vAlign w:val="center"/>
          </w:tcPr>
          <w:p>
            <w:pPr>
              <w:pStyle w:val="10"/>
              <w:rPr>
                <w:rFonts w:cs="Times New Roman"/>
              </w:rPr>
            </w:pPr>
            <w:r>
              <w:rPr>
                <w:rFonts w:hint="eastAsia"/>
              </w:rPr>
              <w:t>项目持续发挥作用</w:t>
            </w:r>
          </w:p>
        </w:tc>
        <w:tc>
          <w:tcPr>
            <w:tcW w:w="2835" w:type="dxa"/>
            <w:vAlign w:val="center"/>
          </w:tcPr>
          <w:p>
            <w:pPr>
              <w:pStyle w:val="10"/>
              <w:rPr>
                <w:rFonts w:cs="Times New Roman"/>
              </w:rPr>
            </w:pPr>
            <w:r>
              <w:rPr>
                <w:rFonts w:hint="eastAsia"/>
              </w:rPr>
              <w:t>吸引上下游企业、增加周边务工岗位等持续影响</w:t>
            </w:r>
          </w:p>
        </w:tc>
        <w:tc>
          <w:tcPr>
            <w:tcW w:w="2551" w:type="dxa"/>
            <w:vAlign w:val="center"/>
          </w:tcPr>
          <w:p>
            <w:pPr>
              <w:pStyle w:val="10"/>
              <w:rPr>
                <w:rFonts w:cs="Times New Roman"/>
              </w:rPr>
            </w:pPr>
            <w:r>
              <w:rPr>
                <w:rFonts w:hint="eastAsia"/>
              </w:rPr>
              <w:t>持续影响周边务工、吸引项目上下游企业等发展</w:t>
            </w:r>
          </w:p>
        </w:tc>
        <w:tc>
          <w:tcPr>
            <w:tcW w:w="2268" w:type="dxa"/>
            <w:vAlign w:val="center"/>
          </w:tcPr>
          <w:p>
            <w:pPr>
              <w:pStyle w:val="10"/>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rPr>
                <w:rFonts w:cs="Times New Roman"/>
              </w:rPr>
            </w:pPr>
            <w:r>
              <w:rPr>
                <w:rFonts w:hint="eastAsia"/>
              </w:rPr>
              <w:t>满意度指标</w:t>
            </w:r>
          </w:p>
        </w:tc>
        <w:tc>
          <w:tcPr>
            <w:tcW w:w="2268" w:type="dxa"/>
            <w:vAlign w:val="center"/>
          </w:tcPr>
          <w:p>
            <w:pPr>
              <w:pStyle w:val="10"/>
              <w:rPr>
                <w:rFonts w:cs="Times New Roman"/>
              </w:rPr>
            </w:pPr>
            <w:r>
              <w:rPr>
                <w:rFonts w:hint="eastAsia"/>
              </w:rPr>
              <w:t>服务对象满意度指标</w:t>
            </w:r>
          </w:p>
        </w:tc>
        <w:tc>
          <w:tcPr>
            <w:tcW w:w="2835" w:type="dxa"/>
            <w:vAlign w:val="center"/>
          </w:tcPr>
          <w:p>
            <w:pPr>
              <w:pStyle w:val="10"/>
              <w:rPr>
                <w:rFonts w:cs="Times New Roman"/>
              </w:rPr>
            </w:pPr>
            <w:r>
              <w:rPr>
                <w:rFonts w:hint="eastAsia"/>
              </w:rPr>
              <w:t>服务对象满意度</w:t>
            </w:r>
          </w:p>
        </w:tc>
        <w:tc>
          <w:tcPr>
            <w:tcW w:w="2835" w:type="dxa"/>
            <w:vAlign w:val="center"/>
          </w:tcPr>
          <w:p>
            <w:pPr>
              <w:pStyle w:val="10"/>
              <w:rPr>
                <w:rFonts w:cs="Times New Roman"/>
              </w:rPr>
            </w:pPr>
            <w:r>
              <w:rPr>
                <w:rFonts w:hint="eastAsia"/>
              </w:rPr>
              <w:t>服务对象满意度</w:t>
            </w:r>
          </w:p>
        </w:tc>
        <w:tc>
          <w:tcPr>
            <w:tcW w:w="2551" w:type="dxa"/>
            <w:vAlign w:val="center"/>
          </w:tcPr>
          <w:p>
            <w:pPr>
              <w:pStyle w:val="10"/>
            </w:pPr>
            <w:r>
              <w:rPr>
                <w:rFonts w:hint="eastAsia"/>
              </w:rPr>
              <w:t>≥</w:t>
            </w:r>
            <w:r>
              <w:t>95%</w:t>
            </w:r>
          </w:p>
        </w:tc>
        <w:tc>
          <w:tcPr>
            <w:tcW w:w="2268" w:type="dxa"/>
            <w:vAlign w:val="center"/>
          </w:tcPr>
          <w:p>
            <w:pPr>
              <w:pStyle w:val="10"/>
              <w:rPr>
                <w:rFonts w:cs="Times New Roman"/>
              </w:rPr>
            </w:pPr>
            <w:r>
              <w:rPr>
                <w:rFonts w:hint="eastAsia"/>
              </w:rPr>
              <w:t>年度调查问卷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bCs/>
          <w:color w:val="000000"/>
          <w:sz w:val="28"/>
          <w:szCs w:val="28"/>
        </w:rPr>
        <w:t>2</w:t>
      </w:r>
      <w:r>
        <w:rPr>
          <w:rFonts w:hint="eastAsia" w:ascii="方正仿宋_GBK" w:hAnsi="方正仿宋_GBK" w:eastAsia="方正仿宋_GBK" w:cs="方正仿宋_GBK"/>
          <w:b/>
          <w:bCs/>
          <w:color w:val="000000"/>
          <w:sz w:val="28"/>
          <w:szCs w:val="28"/>
        </w:rPr>
        <w:t>、经济开发区亩产效益考核奖励金绩效目标表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8"/>
              <w:rPr>
                <w:rFonts w:cs="Times New Roman"/>
              </w:rPr>
            </w:pPr>
            <w:r>
              <w:rPr>
                <w:rFonts w:hint="eastAsia"/>
              </w:rPr>
              <w:t>绩效目标</w:t>
            </w:r>
          </w:p>
        </w:tc>
        <w:tc>
          <w:tcPr>
            <w:tcW w:w="12756" w:type="dxa"/>
            <w:tcBorders>
              <w:top w:val="single" w:color="000000" w:sz="6" w:space="0"/>
              <w:bottom w:val="single" w:color="FFFFFF" w:sz="6" w:space="0"/>
            </w:tcBorders>
            <w:vAlign w:val="center"/>
          </w:tcPr>
          <w:p>
            <w:pPr>
              <w:pStyle w:val="10"/>
              <w:rPr>
                <w:rFonts w:cs="Times New Roman"/>
              </w:rPr>
            </w:pPr>
            <w:r>
              <w:t>1.</w:t>
            </w:r>
            <w:r>
              <w:rPr>
                <w:rFonts w:hint="eastAsia"/>
              </w:rPr>
              <w:t>建立开发区企业能进能出机制，使经济开发区步入良性发展轨道，更好地推动我县经济开发区转型升级</w:t>
            </w:r>
            <w:r>
              <w:rPr>
                <w:rFonts w:cs="Times New Roman"/>
              </w:rPr>
              <w:tab/>
            </w:r>
          </w:p>
        </w:tc>
      </w:tr>
    </w:tbl>
    <w:p>
      <w:pPr>
        <w:spacing w:line="2" w:lineRule="exact"/>
        <w:jc w:val="center"/>
      </w:pP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rPr>
                <w:rFonts w:cs="Times New Roman"/>
              </w:rPr>
            </w:pPr>
            <w:r>
              <w:rPr>
                <w:rFonts w:hint="eastAsia"/>
              </w:rPr>
              <w:t>一级指标</w:t>
            </w:r>
          </w:p>
        </w:tc>
        <w:tc>
          <w:tcPr>
            <w:tcW w:w="2268" w:type="dxa"/>
            <w:vAlign w:val="center"/>
          </w:tcPr>
          <w:p>
            <w:pPr>
              <w:pStyle w:val="8"/>
              <w:rPr>
                <w:rFonts w:cs="Times New Roman"/>
              </w:rPr>
            </w:pPr>
            <w:r>
              <w:rPr>
                <w:rFonts w:hint="eastAsia"/>
              </w:rPr>
              <w:t>二级指标</w:t>
            </w:r>
          </w:p>
        </w:tc>
        <w:tc>
          <w:tcPr>
            <w:tcW w:w="2835" w:type="dxa"/>
            <w:vAlign w:val="center"/>
          </w:tcPr>
          <w:p>
            <w:pPr>
              <w:pStyle w:val="8"/>
              <w:rPr>
                <w:rFonts w:cs="Times New Roman"/>
              </w:rPr>
            </w:pPr>
            <w:r>
              <w:rPr>
                <w:rFonts w:hint="eastAsia"/>
              </w:rPr>
              <w:t>三级指标</w:t>
            </w:r>
          </w:p>
        </w:tc>
        <w:tc>
          <w:tcPr>
            <w:tcW w:w="2835" w:type="dxa"/>
            <w:vAlign w:val="center"/>
          </w:tcPr>
          <w:p>
            <w:pPr>
              <w:pStyle w:val="8"/>
              <w:rPr>
                <w:rFonts w:cs="Times New Roman"/>
              </w:rPr>
            </w:pPr>
            <w:r>
              <w:rPr>
                <w:rFonts w:hint="eastAsia"/>
              </w:rPr>
              <w:t>绩效指标描述</w:t>
            </w:r>
          </w:p>
        </w:tc>
        <w:tc>
          <w:tcPr>
            <w:tcW w:w="2551" w:type="dxa"/>
            <w:vAlign w:val="center"/>
          </w:tcPr>
          <w:p>
            <w:pPr>
              <w:pStyle w:val="8"/>
              <w:rPr>
                <w:rFonts w:cs="Times New Roman"/>
              </w:rPr>
            </w:pPr>
            <w:r>
              <w:rPr>
                <w:rFonts w:hint="eastAsia"/>
              </w:rPr>
              <w:t>指标值</w:t>
            </w:r>
          </w:p>
        </w:tc>
        <w:tc>
          <w:tcPr>
            <w:tcW w:w="2268" w:type="dxa"/>
            <w:vAlign w:val="center"/>
          </w:tcPr>
          <w:p>
            <w:pPr>
              <w:pStyle w:val="8"/>
              <w:rPr>
                <w:rFonts w:cs="Times New Roman"/>
              </w:rPr>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rPr>
                <w:rFonts w:cs="Times New Roman"/>
              </w:rPr>
            </w:pPr>
            <w:r>
              <w:rPr>
                <w:rFonts w:hint="eastAsia"/>
              </w:rPr>
              <w:t>产出指标</w:t>
            </w:r>
          </w:p>
        </w:tc>
        <w:tc>
          <w:tcPr>
            <w:tcW w:w="2268" w:type="dxa"/>
            <w:vAlign w:val="center"/>
          </w:tcPr>
          <w:p>
            <w:pPr>
              <w:pStyle w:val="10"/>
              <w:rPr>
                <w:rFonts w:cs="Times New Roman"/>
              </w:rPr>
            </w:pPr>
            <w:r>
              <w:rPr>
                <w:rFonts w:hint="eastAsia"/>
              </w:rPr>
              <w:t>数量指标</w:t>
            </w:r>
          </w:p>
        </w:tc>
        <w:tc>
          <w:tcPr>
            <w:tcW w:w="2835" w:type="dxa"/>
            <w:vAlign w:val="center"/>
          </w:tcPr>
          <w:p>
            <w:pPr>
              <w:pStyle w:val="10"/>
              <w:rPr>
                <w:rFonts w:cs="Times New Roman"/>
              </w:rPr>
            </w:pPr>
            <w:r>
              <w:rPr>
                <w:rFonts w:hint="eastAsia"/>
              </w:rPr>
              <w:t>全年考核次数</w:t>
            </w:r>
          </w:p>
        </w:tc>
        <w:tc>
          <w:tcPr>
            <w:tcW w:w="2835" w:type="dxa"/>
            <w:vAlign w:val="center"/>
          </w:tcPr>
          <w:p>
            <w:pPr>
              <w:pStyle w:val="10"/>
              <w:rPr>
                <w:rFonts w:cs="Times New Roman"/>
              </w:rPr>
            </w:pPr>
            <w:r>
              <w:rPr>
                <w:rFonts w:hint="eastAsia"/>
              </w:rPr>
              <w:t>全年考核次数</w:t>
            </w:r>
          </w:p>
        </w:tc>
        <w:tc>
          <w:tcPr>
            <w:tcW w:w="2551" w:type="dxa"/>
            <w:vAlign w:val="center"/>
          </w:tcPr>
          <w:p>
            <w:pPr>
              <w:pStyle w:val="10"/>
              <w:rPr>
                <w:rFonts w:cs="Times New Roman"/>
              </w:rPr>
            </w:pPr>
            <w:r>
              <w:rPr>
                <w:rFonts w:hint="eastAsia"/>
              </w:rPr>
              <w:t>≥</w:t>
            </w:r>
            <w:r>
              <w:t>1</w:t>
            </w:r>
            <w:r>
              <w:rPr>
                <w:rFonts w:hint="eastAsia"/>
              </w:rPr>
              <w:t>次</w:t>
            </w:r>
          </w:p>
        </w:tc>
        <w:tc>
          <w:tcPr>
            <w:tcW w:w="2268" w:type="dxa"/>
            <w:vAlign w:val="center"/>
          </w:tcPr>
          <w:p>
            <w:pPr>
              <w:pStyle w:val="10"/>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质量指标</w:t>
            </w:r>
          </w:p>
        </w:tc>
        <w:tc>
          <w:tcPr>
            <w:tcW w:w="2835" w:type="dxa"/>
            <w:vAlign w:val="center"/>
          </w:tcPr>
          <w:p>
            <w:pPr>
              <w:pStyle w:val="10"/>
              <w:rPr>
                <w:rFonts w:cs="Times New Roman"/>
              </w:rPr>
            </w:pPr>
            <w:r>
              <w:rPr>
                <w:rFonts w:hint="eastAsia"/>
              </w:rPr>
              <w:t>年度考核覆盖范围</w:t>
            </w:r>
          </w:p>
        </w:tc>
        <w:tc>
          <w:tcPr>
            <w:tcW w:w="2835" w:type="dxa"/>
            <w:vAlign w:val="center"/>
          </w:tcPr>
          <w:p>
            <w:pPr>
              <w:pStyle w:val="10"/>
              <w:rPr>
                <w:rFonts w:cs="Times New Roman"/>
              </w:rPr>
            </w:pPr>
            <w:r>
              <w:rPr>
                <w:rFonts w:hint="eastAsia"/>
              </w:rPr>
              <w:t>年度考核覆盖范围</w:t>
            </w:r>
          </w:p>
        </w:tc>
        <w:tc>
          <w:tcPr>
            <w:tcW w:w="2551" w:type="dxa"/>
            <w:vAlign w:val="center"/>
          </w:tcPr>
          <w:p>
            <w:pPr>
              <w:pStyle w:val="10"/>
            </w:pPr>
            <w:r>
              <w:rPr>
                <w:rFonts w:hint="eastAsia"/>
              </w:rPr>
              <w:t>≥</w:t>
            </w:r>
            <w:r>
              <w:t>98%</w:t>
            </w:r>
          </w:p>
        </w:tc>
        <w:tc>
          <w:tcPr>
            <w:tcW w:w="2268" w:type="dxa"/>
            <w:vAlign w:val="center"/>
          </w:tcPr>
          <w:p>
            <w:pPr>
              <w:pStyle w:val="10"/>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时效指标</w:t>
            </w:r>
          </w:p>
        </w:tc>
        <w:tc>
          <w:tcPr>
            <w:tcW w:w="2835" w:type="dxa"/>
            <w:vAlign w:val="center"/>
          </w:tcPr>
          <w:p>
            <w:pPr>
              <w:pStyle w:val="10"/>
              <w:rPr>
                <w:rFonts w:cs="Times New Roman"/>
              </w:rPr>
            </w:pPr>
            <w:r>
              <w:rPr>
                <w:rFonts w:hint="eastAsia"/>
              </w:rPr>
              <w:t>组织考核，提交考核结果</w:t>
            </w:r>
          </w:p>
        </w:tc>
        <w:tc>
          <w:tcPr>
            <w:tcW w:w="2835" w:type="dxa"/>
            <w:vAlign w:val="center"/>
          </w:tcPr>
          <w:p>
            <w:pPr>
              <w:pStyle w:val="10"/>
              <w:rPr>
                <w:rFonts w:cs="Times New Roman"/>
              </w:rPr>
            </w:pPr>
            <w:r>
              <w:rPr>
                <w:rFonts w:hint="eastAsia"/>
              </w:rPr>
              <w:t>组织考核，按时提交考核结果</w:t>
            </w:r>
          </w:p>
        </w:tc>
        <w:tc>
          <w:tcPr>
            <w:tcW w:w="2551" w:type="dxa"/>
            <w:vAlign w:val="center"/>
          </w:tcPr>
          <w:p>
            <w:pPr>
              <w:pStyle w:val="10"/>
              <w:rPr>
                <w:rFonts w:cs="Times New Roman"/>
              </w:rPr>
            </w:pPr>
            <w:r>
              <w:t>23</w:t>
            </w:r>
            <w:r>
              <w:rPr>
                <w:rFonts w:hint="eastAsia"/>
              </w:rPr>
              <w:t>年</w:t>
            </w:r>
            <w:r>
              <w:t>12</w:t>
            </w:r>
            <w:r>
              <w:rPr>
                <w:rFonts w:hint="eastAsia"/>
              </w:rPr>
              <w:t>月底</w:t>
            </w:r>
          </w:p>
        </w:tc>
        <w:tc>
          <w:tcPr>
            <w:tcW w:w="2268" w:type="dxa"/>
            <w:vAlign w:val="center"/>
          </w:tcPr>
          <w:p>
            <w:pPr>
              <w:pStyle w:val="10"/>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成本指标</w:t>
            </w:r>
          </w:p>
        </w:tc>
        <w:tc>
          <w:tcPr>
            <w:tcW w:w="2835" w:type="dxa"/>
            <w:vAlign w:val="center"/>
          </w:tcPr>
          <w:p>
            <w:pPr>
              <w:pStyle w:val="10"/>
              <w:rPr>
                <w:rFonts w:cs="Times New Roman"/>
              </w:rPr>
            </w:pPr>
            <w:r>
              <w:rPr>
                <w:rFonts w:hint="eastAsia"/>
              </w:rPr>
              <w:t>总成本控制</w:t>
            </w:r>
          </w:p>
        </w:tc>
        <w:tc>
          <w:tcPr>
            <w:tcW w:w="2835" w:type="dxa"/>
            <w:vAlign w:val="center"/>
          </w:tcPr>
          <w:p>
            <w:pPr>
              <w:pStyle w:val="10"/>
              <w:rPr>
                <w:rFonts w:cs="Times New Roman"/>
              </w:rPr>
            </w:pPr>
            <w:r>
              <w:rPr>
                <w:rFonts w:hint="eastAsia"/>
              </w:rPr>
              <w:t>总成本控制</w:t>
            </w:r>
          </w:p>
        </w:tc>
        <w:tc>
          <w:tcPr>
            <w:tcW w:w="2551" w:type="dxa"/>
            <w:vAlign w:val="center"/>
          </w:tcPr>
          <w:p>
            <w:pPr>
              <w:pStyle w:val="10"/>
              <w:rPr>
                <w:rFonts w:cs="Times New Roman"/>
              </w:rPr>
            </w:pPr>
            <w:r>
              <w:rPr>
                <w:rFonts w:hint="eastAsia"/>
              </w:rPr>
              <w:t>≤</w:t>
            </w:r>
            <w:r>
              <w:t>100</w:t>
            </w:r>
            <w:r>
              <w:rPr>
                <w:rFonts w:hint="eastAsia"/>
              </w:rPr>
              <w:t>万</w:t>
            </w:r>
          </w:p>
        </w:tc>
        <w:tc>
          <w:tcPr>
            <w:tcW w:w="2268" w:type="dxa"/>
            <w:vAlign w:val="center"/>
          </w:tcPr>
          <w:p>
            <w:pPr>
              <w:pStyle w:val="10"/>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rPr>
                <w:rFonts w:cs="Times New Roman"/>
              </w:rPr>
            </w:pPr>
            <w:r>
              <w:rPr>
                <w:rFonts w:hint="eastAsia"/>
              </w:rPr>
              <w:t>效益指标</w:t>
            </w:r>
          </w:p>
        </w:tc>
        <w:tc>
          <w:tcPr>
            <w:tcW w:w="2268" w:type="dxa"/>
            <w:vAlign w:val="center"/>
          </w:tcPr>
          <w:p>
            <w:pPr>
              <w:pStyle w:val="10"/>
              <w:rPr>
                <w:rFonts w:cs="Times New Roman"/>
              </w:rPr>
            </w:pPr>
            <w:r>
              <w:rPr>
                <w:rFonts w:hint="eastAsia"/>
              </w:rPr>
              <w:t>经济效益指标</w:t>
            </w:r>
          </w:p>
        </w:tc>
        <w:tc>
          <w:tcPr>
            <w:tcW w:w="2835" w:type="dxa"/>
            <w:vAlign w:val="center"/>
          </w:tcPr>
          <w:p>
            <w:pPr>
              <w:pStyle w:val="10"/>
              <w:rPr>
                <w:rFonts w:cs="Times New Roman"/>
              </w:rPr>
            </w:pPr>
            <w:r>
              <w:rPr>
                <w:rFonts w:hint="eastAsia"/>
              </w:rPr>
              <w:t>开发区企业产值增长率</w:t>
            </w:r>
          </w:p>
        </w:tc>
        <w:tc>
          <w:tcPr>
            <w:tcW w:w="2835" w:type="dxa"/>
            <w:vAlign w:val="center"/>
          </w:tcPr>
          <w:p>
            <w:pPr>
              <w:pStyle w:val="10"/>
              <w:rPr>
                <w:rFonts w:cs="Times New Roman"/>
              </w:rPr>
            </w:pPr>
            <w:r>
              <w:rPr>
                <w:rFonts w:hint="eastAsia"/>
              </w:rPr>
              <w:t>开发区企业产值增长率</w:t>
            </w:r>
          </w:p>
        </w:tc>
        <w:tc>
          <w:tcPr>
            <w:tcW w:w="2551" w:type="dxa"/>
            <w:vAlign w:val="center"/>
          </w:tcPr>
          <w:p>
            <w:pPr>
              <w:pStyle w:val="10"/>
            </w:pPr>
            <w:r>
              <w:rPr>
                <w:rFonts w:hint="eastAsia"/>
              </w:rPr>
              <w:t>≥</w:t>
            </w:r>
            <w:r>
              <w:t>3.5%</w:t>
            </w:r>
          </w:p>
        </w:tc>
        <w:tc>
          <w:tcPr>
            <w:tcW w:w="2268" w:type="dxa"/>
            <w:vAlign w:val="center"/>
          </w:tcPr>
          <w:p>
            <w:pPr>
              <w:pStyle w:val="10"/>
              <w:rPr>
                <w:rFonts w:cs="Times New Roman"/>
              </w:rPr>
            </w:pPr>
            <w:r>
              <w:rPr>
                <w:rFonts w:hint="eastAsia"/>
              </w:rPr>
              <w:t>产值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rPr>
                <w:rFonts w:cs="Times New Roman"/>
              </w:rPr>
            </w:pPr>
            <w:r>
              <w:rPr>
                <w:rFonts w:hint="eastAsia"/>
              </w:rPr>
              <w:t>可持续影响指标</w:t>
            </w:r>
          </w:p>
        </w:tc>
        <w:tc>
          <w:tcPr>
            <w:tcW w:w="2835" w:type="dxa"/>
            <w:vAlign w:val="center"/>
          </w:tcPr>
          <w:p>
            <w:pPr>
              <w:pStyle w:val="10"/>
              <w:rPr>
                <w:rFonts w:cs="Times New Roman"/>
              </w:rPr>
            </w:pPr>
            <w:r>
              <w:rPr>
                <w:rFonts w:hint="eastAsia"/>
              </w:rPr>
              <w:t>项目持续发挥作用</w:t>
            </w:r>
          </w:p>
        </w:tc>
        <w:tc>
          <w:tcPr>
            <w:tcW w:w="2835" w:type="dxa"/>
            <w:vAlign w:val="center"/>
          </w:tcPr>
          <w:p>
            <w:pPr>
              <w:pStyle w:val="10"/>
              <w:rPr>
                <w:rFonts w:cs="Times New Roman"/>
              </w:rPr>
            </w:pPr>
            <w:r>
              <w:rPr>
                <w:rFonts w:hint="eastAsia"/>
              </w:rPr>
              <w:t>项目持续发挥作用促进企业达产达效创造税收</w:t>
            </w:r>
          </w:p>
        </w:tc>
        <w:tc>
          <w:tcPr>
            <w:tcW w:w="2551" w:type="dxa"/>
            <w:vAlign w:val="center"/>
          </w:tcPr>
          <w:p>
            <w:pPr>
              <w:pStyle w:val="10"/>
            </w:pPr>
            <w:r>
              <w:rPr>
                <w:rFonts w:hint="eastAsia"/>
              </w:rPr>
              <w:t>≥</w:t>
            </w:r>
            <w:r>
              <w:t>4%</w:t>
            </w:r>
          </w:p>
        </w:tc>
        <w:tc>
          <w:tcPr>
            <w:tcW w:w="2268" w:type="dxa"/>
            <w:vAlign w:val="center"/>
          </w:tcPr>
          <w:p>
            <w:pPr>
              <w:pStyle w:val="10"/>
              <w:rPr>
                <w:rFonts w:cs="Times New Roman"/>
              </w:rPr>
            </w:pPr>
            <w:r>
              <w:rPr>
                <w:rFonts w:hint="eastAsia"/>
              </w:rPr>
              <w:t>总体纳税情况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rPr>
                <w:rFonts w:cs="Times New Roman"/>
              </w:rPr>
            </w:pPr>
            <w:r>
              <w:rPr>
                <w:rFonts w:hint="eastAsia"/>
              </w:rPr>
              <w:t>满意度指标</w:t>
            </w:r>
          </w:p>
        </w:tc>
        <w:tc>
          <w:tcPr>
            <w:tcW w:w="2268" w:type="dxa"/>
            <w:vAlign w:val="center"/>
          </w:tcPr>
          <w:p>
            <w:pPr>
              <w:pStyle w:val="10"/>
              <w:rPr>
                <w:rFonts w:cs="Times New Roman"/>
              </w:rPr>
            </w:pPr>
            <w:r>
              <w:rPr>
                <w:rFonts w:hint="eastAsia"/>
              </w:rPr>
              <w:t>服务对象满意度指标</w:t>
            </w:r>
          </w:p>
        </w:tc>
        <w:tc>
          <w:tcPr>
            <w:tcW w:w="2835" w:type="dxa"/>
            <w:vAlign w:val="center"/>
          </w:tcPr>
          <w:p>
            <w:pPr>
              <w:pStyle w:val="10"/>
              <w:rPr>
                <w:rFonts w:cs="Times New Roman"/>
              </w:rPr>
            </w:pPr>
            <w:r>
              <w:rPr>
                <w:rFonts w:hint="eastAsia"/>
              </w:rPr>
              <w:t>服务对象满意度</w:t>
            </w:r>
          </w:p>
        </w:tc>
        <w:tc>
          <w:tcPr>
            <w:tcW w:w="2835" w:type="dxa"/>
            <w:vAlign w:val="center"/>
          </w:tcPr>
          <w:p>
            <w:pPr>
              <w:pStyle w:val="10"/>
              <w:rPr>
                <w:rFonts w:cs="Times New Roman"/>
              </w:rPr>
            </w:pPr>
            <w:r>
              <w:rPr>
                <w:rFonts w:hint="eastAsia"/>
              </w:rPr>
              <w:t>服务对象满意度</w:t>
            </w:r>
          </w:p>
        </w:tc>
        <w:tc>
          <w:tcPr>
            <w:tcW w:w="2551" w:type="dxa"/>
            <w:vAlign w:val="center"/>
          </w:tcPr>
          <w:p>
            <w:pPr>
              <w:pStyle w:val="10"/>
            </w:pPr>
            <w:r>
              <w:rPr>
                <w:rFonts w:hint="eastAsia"/>
              </w:rPr>
              <w:t>≥</w:t>
            </w:r>
            <w:r>
              <w:t>95%</w:t>
            </w:r>
          </w:p>
        </w:tc>
        <w:tc>
          <w:tcPr>
            <w:tcW w:w="2268" w:type="dxa"/>
            <w:vAlign w:val="center"/>
          </w:tcPr>
          <w:p>
            <w:pPr>
              <w:pStyle w:val="10"/>
              <w:rPr>
                <w:rFonts w:cs="Times New Roman"/>
              </w:rPr>
            </w:pPr>
            <w:r>
              <w:rPr>
                <w:rFonts w:hint="eastAsia"/>
              </w:rPr>
              <w:t>年度考核结果附表</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hint="eastAsia" w:ascii="黑体" w:hAnsi="黑体" w:eastAsia="黑体" w:cs="黑体"/>
          <w:color w:val="000000"/>
          <w:sz w:val="32"/>
          <w:szCs w:val="32"/>
        </w:rPr>
        <w:t>六、政府采购预算情况</w:t>
      </w:r>
    </w:p>
    <w:p>
      <w:pPr>
        <w:spacing w:line="500" w:lineRule="exact"/>
        <w:ind w:firstLine="560"/>
      </w:pPr>
      <w:r>
        <w:rPr>
          <w:rFonts w:eastAsia="方正仿宋_GBK"/>
          <w:color w:val="000000"/>
          <w:sz w:val="28"/>
          <w:szCs w:val="28"/>
        </w:rPr>
        <w:t>2023</w:t>
      </w:r>
      <w:r>
        <w:rPr>
          <w:rFonts w:hint="eastAsia" w:eastAsia="方正仿宋_GBK" w:cs="方正仿宋_GBK"/>
          <w:color w:val="000000"/>
          <w:sz w:val="28"/>
          <w:szCs w:val="28"/>
        </w:rPr>
        <w:t>年，河北魏县经济开发区管理委员会本级安排政府采购预算</w:t>
      </w:r>
      <w:r>
        <w:rPr>
          <w:rFonts w:eastAsia="方正仿宋_GBK"/>
          <w:color w:val="000000"/>
          <w:sz w:val="28"/>
          <w:szCs w:val="28"/>
        </w:rPr>
        <w:t>0.00</w:t>
      </w:r>
      <w:r>
        <w:rPr>
          <w:rFonts w:hint="eastAsia" w:eastAsia="方正仿宋_GBK" w:cs="方正仿宋_GBK"/>
          <w:color w:val="000000"/>
          <w:sz w:val="28"/>
          <w:szCs w:val="28"/>
        </w:rPr>
        <w:t>万元。具体内容见下表。</w:t>
      </w:r>
    </w:p>
    <w:p>
      <w:pPr>
        <w:jc w:val="center"/>
      </w:pPr>
      <w:r>
        <w:rPr>
          <w:rFonts w:hint="eastAsia" w:ascii="方正小标宋_GBK" w:hAnsi="方正小标宋_GBK" w:eastAsia="方正小标宋_GBK" w:cs="方正小标宋_GBK"/>
          <w:color w:val="000000"/>
          <w:sz w:val="36"/>
          <w:szCs w:val="36"/>
        </w:rPr>
        <w:t>单位政府采购预算</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8674" w:type="dxa"/>
            <w:gridSpan w:val="9"/>
            <w:tcBorders>
              <w:top w:val="single" w:color="FFFFFF" w:sz="6" w:space="0"/>
              <w:left w:val="single" w:color="FFFFFF" w:sz="6" w:space="0"/>
              <w:right w:val="single" w:color="FFFFFF" w:sz="6" w:space="0"/>
            </w:tcBorders>
            <w:vAlign w:val="center"/>
          </w:tcPr>
          <w:p>
            <w:pPr>
              <w:pStyle w:val="20"/>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8"/>
              <w:rPr>
                <w:rFonts w:cs="Times New Roman"/>
              </w:rPr>
            </w:pPr>
            <w:r>
              <w:rPr>
                <w:rFonts w:hint="eastAsia"/>
              </w:rPr>
              <w:t>政府采购项目来源</w:t>
            </w:r>
          </w:p>
        </w:tc>
        <w:tc>
          <w:tcPr>
            <w:tcW w:w="1134" w:type="dxa"/>
            <w:vMerge w:val="restart"/>
            <w:vAlign w:val="center"/>
          </w:tcPr>
          <w:p>
            <w:pPr>
              <w:pStyle w:val="8"/>
              <w:rPr>
                <w:rFonts w:cs="Times New Roman"/>
              </w:rPr>
            </w:pPr>
            <w:r>
              <w:rPr>
                <w:rFonts w:hint="eastAsia"/>
              </w:rPr>
              <w:t>采购物品名称</w:t>
            </w:r>
          </w:p>
        </w:tc>
        <w:tc>
          <w:tcPr>
            <w:tcW w:w="1134" w:type="dxa"/>
            <w:vMerge w:val="restart"/>
            <w:vAlign w:val="center"/>
          </w:tcPr>
          <w:p>
            <w:pPr>
              <w:pStyle w:val="8"/>
              <w:rPr>
                <w:rFonts w:cs="Times New Roman"/>
              </w:rPr>
            </w:pPr>
            <w:r>
              <w:rPr>
                <w:rFonts w:hint="eastAsia"/>
              </w:rPr>
              <w:t>政府采购目录序号</w:t>
            </w:r>
          </w:p>
        </w:tc>
        <w:tc>
          <w:tcPr>
            <w:tcW w:w="709" w:type="dxa"/>
            <w:vMerge w:val="restart"/>
            <w:vAlign w:val="center"/>
          </w:tcPr>
          <w:p>
            <w:pPr>
              <w:pStyle w:val="8"/>
              <w:rPr>
                <w:rFonts w:cs="Times New Roman"/>
              </w:rPr>
            </w:pPr>
            <w:r>
              <w:rPr>
                <w:rFonts w:hint="eastAsia"/>
              </w:rPr>
              <w:t>计量</w:t>
            </w:r>
            <w:r>
              <w:t xml:space="preserve">  </w:t>
            </w:r>
            <w:r>
              <w:rPr>
                <w:rFonts w:hint="eastAsia"/>
              </w:rPr>
              <w:t>单位</w:t>
            </w:r>
          </w:p>
        </w:tc>
        <w:tc>
          <w:tcPr>
            <w:tcW w:w="850" w:type="dxa"/>
            <w:vMerge w:val="restart"/>
            <w:vAlign w:val="center"/>
          </w:tcPr>
          <w:p>
            <w:pPr>
              <w:pStyle w:val="8"/>
              <w:rPr>
                <w:rFonts w:cs="Times New Roman"/>
              </w:rPr>
            </w:pPr>
            <w:r>
              <w:rPr>
                <w:rFonts w:hint="eastAsia"/>
              </w:rPr>
              <w:t>数量</w:t>
            </w:r>
          </w:p>
        </w:tc>
        <w:tc>
          <w:tcPr>
            <w:tcW w:w="850" w:type="dxa"/>
            <w:vMerge w:val="restart"/>
            <w:vAlign w:val="center"/>
          </w:tcPr>
          <w:p>
            <w:pPr>
              <w:pStyle w:val="8"/>
              <w:rPr>
                <w:rFonts w:cs="Times New Roman"/>
              </w:rPr>
            </w:pPr>
            <w:r>
              <w:rPr>
                <w:rFonts w:hint="eastAsia"/>
              </w:rPr>
              <w:t>单价</w:t>
            </w:r>
          </w:p>
        </w:tc>
        <w:tc>
          <w:tcPr>
            <w:tcW w:w="7710" w:type="dxa"/>
            <w:gridSpan w:val="8"/>
            <w:vAlign w:val="center"/>
          </w:tcPr>
          <w:p>
            <w:pPr>
              <w:pStyle w:val="8"/>
              <w:rPr>
                <w:rFonts w:cs="Times New Roman"/>
              </w:rPr>
            </w:pPr>
            <w:r>
              <w:rPr>
                <w:rFonts w:hint="eastAsia"/>
              </w:rPr>
              <w:t>政府采购金额（当年部门预算安排资金）</w:t>
            </w:r>
          </w:p>
        </w:tc>
        <w:tc>
          <w:tcPr>
            <w:tcW w:w="964" w:type="dxa"/>
            <w:vMerge w:val="restart"/>
            <w:vAlign w:val="center"/>
          </w:tcPr>
          <w:p>
            <w:pPr>
              <w:pStyle w:val="8"/>
              <w:rPr>
                <w:rFonts w:cs="Times New Roman"/>
              </w:rPr>
            </w:pPr>
            <w:r>
              <w:t>2023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8"/>
              <w:rPr>
                <w:rFonts w:cs="Times New Roman"/>
              </w:rPr>
            </w:pPr>
            <w:r>
              <w:rPr>
                <w:rFonts w:hint="eastAsia"/>
              </w:rPr>
              <w:t>项目名称</w:t>
            </w:r>
          </w:p>
        </w:tc>
        <w:tc>
          <w:tcPr>
            <w:tcW w:w="964" w:type="dxa"/>
            <w:vAlign w:val="center"/>
          </w:tcPr>
          <w:p>
            <w:pPr>
              <w:pStyle w:val="8"/>
              <w:rPr>
                <w:rFonts w:cs="Times New Roman"/>
              </w:rPr>
            </w:pPr>
            <w:r>
              <w:rPr>
                <w:rFonts w:hint="eastAsia"/>
              </w:rPr>
              <w:t>预算</w:t>
            </w:r>
            <w:r>
              <w:t xml:space="preserve">    </w:t>
            </w:r>
            <w:r>
              <w:rPr>
                <w:rFonts w:hint="eastAsia"/>
              </w:rPr>
              <w:t>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8"/>
              <w:rPr>
                <w:rFonts w:cs="Times New Roman"/>
              </w:rPr>
            </w:pPr>
            <w:r>
              <w:rPr>
                <w:rFonts w:hint="eastAsia"/>
              </w:rPr>
              <w:t>合计</w:t>
            </w:r>
          </w:p>
        </w:tc>
        <w:tc>
          <w:tcPr>
            <w:tcW w:w="964" w:type="dxa"/>
            <w:vAlign w:val="center"/>
          </w:tcPr>
          <w:p>
            <w:pPr>
              <w:pStyle w:val="8"/>
              <w:rPr>
                <w:rFonts w:cs="Times New Roman"/>
              </w:rPr>
            </w:pPr>
            <w:r>
              <w:rPr>
                <w:rFonts w:hint="eastAsia"/>
              </w:rPr>
              <w:t>一般公共预算拨款</w:t>
            </w:r>
          </w:p>
        </w:tc>
        <w:tc>
          <w:tcPr>
            <w:tcW w:w="964" w:type="dxa"/>
            <w:vAlign w:val="center"/>
          </w:tcPr>
          <w:p>
            <w:pPr>
              <w:pStyle w:val="8"/>
              <w:rPr>
                <w:rFonts w:cs="Times New Roman"/>
              </w:rPr>
            </w:pPr>
            <w:r>
              <w:rPr>
                <w:rFonts w:hint="eastAsia"/>
              </w:rPr>
              <w:t>基金预算拨款</w:t>
            </w:r>
          </w:p>
        </w:tc>
        <w:tc>
          <w:tcPr>
            <w:tcW w:w="964" w:type="dxa"/>
            <w:vAlign w:val="center"/>
          </w:tcPr>
          <w:p>
            <w:pPr>
              <w:pStyle w:val="8"/>
              <w:rPr>
                <w:rFonts w:cs="Times New Roman"/>
              </w:rPr>
            </w:pPr>
            <w:r>
              <w:rPr>
                <w:rFonts w:hint="eastAsia"/>
              </w:rPr>
              <w:t>国有资本经营预算拨款</w:t>
            </w:r>
          </w:p>
        </w:tc>
        <w:tc>
          <w:tcPr>
            <w:tcW w:w="964" w:type="dxa"/>
            <w:vAlign w:val="center"/>
          </w:tcPr>
          <w:p>
            <w:pPr>
              <w:pStyle w:val="8"/>
              <w:rPr>
                <w:rFonts w:cs="Times New Roman"/>
              </w:rPr>
            </w:pPr>
            <w:r>
              <w:rPr>
                <w:rFonts w:hint="eastAsia"/>
              </w:rPr>
              <w:t>财政专户核拨</w:t>
            </w:r>
          </w:p>
        </w:tc>
        <w:tc>
          <w:tcPr>
            <w:tcW w:w="964" w:type="dxa"/>
            <w:vAlign w:val="center"/>
          </w:tcPr>
          <w:p>
            <w:pPr>
              <w:pStyle w:val="8"/>
              <w:rPr>
                <w:rFonts w:cs="Times New Roman"/>
              </w:rPr>
            </w:pPr>
            <w:r>
              <w:rPr>
                <w:rFonts w:hint="eastAsia"/>
              </w:rPr>
              <w:t>单位</w:t>
            </w:r>
            <w:r>
              <w:t xml:space="preserve">    </w:t>
            </w:r>
            <w:r>
              <w:rPr>
                <w:rFonts w:hint="eastAsia"/>
              </w:rPr>
              <w:t>资金</w:t>
            </w:r>
          </w:p>
        </w:tc>
        <w:tc>
          <w:tcPr>
            <w:tcW w:w="964" w:type="dxa"/>
            <w:vAlign w:val="center"/>
          </w:tcPr>
          <w:p>
            <w:pPr>
              <w:pStyle w:val="8"/>
              <w:rPr>
                <w:rFonts w:cs="Times New Roman"/>
              </w:rPr>
            </w:pPr>
            <w:r>
              <w:rPr>
                <w:rFonts w:hint="eastAsia"/>
              </w:rPr>
              <w:t>财政拨</w:t>
            </w:r>
            <w:r>
              <w:t xml:space="preserve">    </w:t>
            </w:r>
            <w:r>
              <w:rPr>
                <w:rFonts w:hint="eastAsia"/>
              </w:rPr>
              <w:t>款结转</w:t>
            </w:r>
          </w:p>
        </w:tc>
        <w:tc>
          <w:tcPr>
            <w:tcW w:w="964" w:type="dxa"/>
            <w:vAlign w:val="center"/>
          </w:tcPr>
          <w:p>
            <w:pPr>
              <w:pStyle w:val="8"/>
              <w:rPr>
                <w:rFonts w:cs="Times New Roman"/>
              </w:rPr>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0"/>
              <w:rPr>
                <w:rFonts w:cs="Times New Roman"/>
              </w:rPr>
            </w:pPr>
          </w:p>
        </w:tc>
        <w:tc>
          <w:tcPr>
            <w:tcW w:w="964" w:type="dxa"/>
            <w:vAlign w:val="center"/>
          </w:tcPr>
          <w:p>
            <w:pPr>
              <w:pStyle w:val="11"/>
              <w:rPr>
                <w:rFonts w:cs="Times New Roman"/>
              </w:rPr>
            </w:pPr>
          </w:p>
        </w:tc>
        <w:tc>
          <w:tcPr>
            <w:tcW w:w="1134" w:type="dxa"/>
            <w:vAlign w:val="center"/>
          </w:tcPr>
          <w:p>
            <w:pPr>
              <w:pStyle w:val="10"/>
              <w:rPr>
                <w:rFonts w:cs="Times New Roman"/>
              </w:rPr>
            </w:pPr>
          </w:p>
        </w:tc>
        <w:tc>
          <w:tcPr>
            <w:tcW w:w="1134" w:type="dxa"/>
            <w:vAlign w:val="center"/>
          </w:tcPr>
          <w:p>
            <w:pPr>
              <w:pStyle w:val="10"/>
              <w:rPr>
                <w:rFonts w:cs="Times New Roman"/>
              </w:rPr>
            </w:pPr>
          </w:p>
        </w:tc>
        <w:tc>
          <w:tcPr>
            <w:tcW w:w="709" w:type="dxa"/>
            <w:vAlign w:val="center"/>
          </w:tcPr>
          <w:p>
            <w:pPr>
              <w:pStyle w:val="9"/>
              <w:rPr>
                <w:rFonts w:cs="Times New Roman"/>
              </w:rPr>
            </w:pPr>
          </w:p>
        </w:tc>
        <w:tc>
          <w:tcPr>
            <w:tcW w:w="850" w:type="dxa"/>
            <w:vAlign w:val="center"/>
          </w:tcPr>
          <w:p>
            <w:pPr>
              <w:pStyle w:val="11"/>
              <w:rPr>
                <w:rFonts w:cs="Times New Roman"/>
              </w:rPr>
            </w:pPr>
          </w:p>
        </w:tc>
        <w:tc>
          <w:tcPr>
            <w:tcW w:w="850"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c>
          <w:tcPr>
            <w:tcW w:w="964" w:type="dxa"/>
            <w:vAlign w:val="center"/>
          </w:tcPr>
          <w:p>
            <w:pPr>
              <w:pStyle w:val="11"/>
              <w:rPr>
                <w:rFonts w:cs="Times New Roman"/>
              </w:rPr>
            </w:pPr>
          </w:p>
        </w:tc>
      </w:tr>
    </w:tbl>
    <w:p>
      <w:pPr>
        <w:spacing w:line="500" w:lineRule="exact"/>
        <w:ind w:firstLine="420"/>
      </w:pPr>
      <w:r>
        <w:rPr>
          <w:rFonts w:hint="eastAsia" w:ascii="方正书宋_GBK" w:hAnsi="方正书宋_GBK" w:eastAsia="方正书宋_GBK" w:cs="方正书宋_GBK"/>
          <w:color w:val="000000"/>
          <w:sz w:val="21"/>
          <w:szCs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szCs w:val="21"/>
        </w:rPr>
        <w:t>注：无政府采购预算，空表列示。</w:t>
      </w:r>
    </w:p>
    <w:p>
      <w:pPr>
        <w:ind w:firstLine="640"/>
      </w:pPr>
    </w:p>
    <w:p>
      <w:pPr>
        <w:spacing w:before="10" w:after="10"/>
        <w:ind w:firstLine="640"/>
        <w:outlineLvl w:val="5"/>
      </w:pPr>
      <w:r>
        <w:rPr>
          <w:rFonts w:hint="eastAsia" w:ascii="黑体" w:hAnsi="黑体" w:eastAsia="黑体" w:cs="黑体"/>
          <w:color w:val="000000"/>
          <w:sz w:val="32"/>
          <w:szCs w:val="32"/>
        </w:rPr>
        <w:t>七、国有资产信息</w:t>
      </w:r>
    </w:p>
    <w:p>
      <w:pPr>
        <w:spacing w:line="500" w:lineRule="exact"/>
        <w:ind w:firstLine="560"/>
      </w:pPr>
      <w:r>
        <w:rPr>
          <w:rFonts w:hint="eastAsia" w:eastAsia="方正仿宋_GBK" w:cs="方正仿宋_GBK"/>
          <w:color w:val="000000"/>
          <w:sz w:val="28"/>
          <w:szCs w:val="28"/>
        </w:rPr>
        <w:t>河北魏县经济开发区管理委员会本级上年末固定资产金额为</w:t>
      </w:r>
      <w:r>
        <w:rPr>
          <w:rFonts w:hint="eastAsia" w:eastAsia="方正仿宋_GBK"/>
          <w:color w:val="000000"/>
          <w:sz w:val="28"/>
          <w:szCs w:val="28"/>
          <w:lang w:val="en-US" w:eastAsia="zh-CN"/>
        </w:rPr>
        <w:t>145.0377</w:t>
      </w:r>
      <w:r>
        <w:rPr>
          <w:rFonts w:hint="eastAsia" w:eastAsia="方正仿宋_GBK" w:cs="方正仿宋_GBK"/>
          <w:color w:val="000000"/>
          <w:sz w:val="28"/>
          <w:szCs w:val="28"/>
        </w:rPr>
        <w:t>万元（详见下表）。本年度拟购置固定资产总额为</w:t>
      </w:r>
      <w:r>
        <w:rPr>
          <w:rFonts w:eastAsia="方正仿宋_GBK"/>
          <w:color w:val="000000"/>
          <w:sz w:val="28"/>
          <w:szCs w:val="28"/>
        </w:rPr>
        <w:t>0.00</w:t>
      </w:r>
      <w:r>
        <w:rPr>
          <w:rFonts w:hint="eastAsia" w:eastAsia="方正仿宋_GBK" w:cs="方正仿宋_GBK"/>
          <w:color w:val="000000"/>
          <w:sz w:val="28"/>
          <w:szCs w:val="28"/>
        </w:rPr>
        <w:t>万元，已按要求列入政府采购预算，详见政府采购预算表。</w:t>
      </w:r>
    </w:p>
    <w:p>
      <w:pPr>
        <w:jc w:val="center"/>
      </w:pPr>
      <w:r>
        <w:rPr>
          <w:rFonts w:hint="eastAsia" w:ascii="方正小标宋_GBK" w:hAnsi="方正小标宋_GBK" w:eastAsia="方正小标宋_GBK" w:cs="方正小标宋_GBK"/>
          <w:color w:val="000000"/>
          <w:sz w:val="36"/>
          <w:szCs w:val="36"/>
        </w:rPr>
        <w:t>单位固定资产占用情况表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5"/>
              <w:rPr>
                <w:rFonts w:cs="Times New Roman"/>
              </w:rPr>
            </w:pPr>
            <w:r>
              <w:t>976001</w:t>
            </w:r>
            <w:r>
              <w:rPr>
                <w:rFonts w:hint="eastAsia"/>
              </w:rPr>
              <w:t>河北魏县经济开发区管理委员会本级</w:t>
            </w:r>
          </w:p>
        </w:tc>
        <w:tc>
          <w:tcPr>
            <w:tcW w:w="5670" w:type="dxa"/>
            <w:gridSpan w:val="2"/>
            <w:tcBorders>
              <w:top w:val="single" w:color="FFFFFF" w:sz="6" w:space="0"/>
              <w:left w:val="single" w:color="FFFFFF" w:sz="6" w:space="0"/>
              <w:right w:val="single" w:color="FFFFFF" w:sz="6" w:space="0"/>
            </w:tcBorders>
            <w:vAlign w:val="center"/>
          </w:tcPr>
          <w:p>
            <w:pPr>
              <w:pStyle w:val="7"/>
            </w:pPr>
            <w:r>
              <w:rPr>
                <w:rFonts w:hint="eastAsia"/>
              </w:rPr>
              <w:t>截止时间：</w:t>
            </w:r>
            <w:r>
              <w:t>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8"/>
              <w:rPr>
                <w:rFonts w:cs="Times New Roman"/>
              </w:rPr>
            </w:pPr>
            <w:r>
              <w:rPr>
                <w:rFonts w:hint="eastAsia"/>
              </w:rPr>
              <w:t>项</w:t>
            </w:r>
            <w:r>
              <w:t xml:space="preserve">   </w:t>
            </w:r>
            <w:r>
              <w:rPr>
                <w:rFonts w:hint="eastAsia"/>
              </w:rPr>
              <w:t>目</w:t>
            </w:r>
          </w:p>
        </w:tc>
        <w:tc>
          <w:tcPr>
            <w:tcW w:w="2835" w:type="dxa"/>
            <w:vAlign w:val="center"/>
          </w:tcPr>
          <w:p>
            <w:pPr>
              <w:pStyle w:val="8"/>
              <w:rPr>
                <w:rFonts w:cs="Times New Roman"/>
              </w:rPr>
            </w:pPr>
            <w:r>
              <w:rPr>
                <w:rFonts w:hint="eastAsia"/>
              </w:rPr>
              <w:t>数量</w:t>
            </w:r>
          </w:p>
        </w:tc>
        <w:tc>
          <w:tcPr>
            <w:tcW w:w="2835" w:type="dxa"/>
            <w:vAlign w:val="center"/>
          </w:tcPr>
          <w:p>
            <w:pPr>
              <w:pStyle w:val="8"/>
              <w:rPr>
                <w:rFonts w:cs="Times New Roman"/>
              </w:rPr>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rPr>
                <w:rFonts w:ascii="方正书宋_GBK" w:hAnsi="方正书宋_GBK" w:eastAsia="方正书宋_GBK" w:cs="方正书宋_GBK"/>
                <w:sz w:val="21"/>
                <w:szCs w:val="21"/>
                <w:lang w:val="en-US" w:eastAsia="uk-UA" w:bidi="ar-SA"/>
              </w:rPr>
            </w:pPr>
            <w:r>
              <w:t>资产总额</w:t>
            </w:r>
          </w:p>
        </w:tc>
        <w:tc>
          <w:tcPr>
            <w:tcW w:w="2835" w:type="dxa"/>
            <w:vAlign w:val="center"/>
          </w:tcPr>
          <w:p>
            <w:pPr>
              <w:pStyle w:val="9"/>
              <w:rPr>
                <w:rFonts w:ascii="方正书宋_GBK" w:hAnsi="方正书宋_GBK" w:eastAsia="方正书宋_GBK" w:cs="方正书宋_GBK"/>
                <w:sz w:val="21"/>
                <w:szCs w:val="21"/>
                <w:lang w:val="en-US" w:eastAsia="uk-UA" w:bidi="ar-SA"/>
              </w:rPr>
            </w:pPr>
          </w:p>
        </w:tc>
        <w:tc>
          <w:tcPr>
            <w:tcW w:w="2835" w:type="dxa"/>
            <w:vAlign w:val="center"/>
          </w:tcPr>
          <w:p>
            <w:pPr>
              <w:pStyle w:val="11"/>
              <w:rPr>
                <w:rFonts w:hint="default" w:ascii="方正书宋_GBK" w:hAnsi="方正书宋_GBK" w:eastAsia="方正书宋_GBK" w:cs="方正书宋_GBK"/>
                <w:sz w:val="21"/>
                <w:szCs w:val="21"/>
                <w:lang w:val="en-US" w:eastAsia="zh-CN" w:bidi="ar-SA"/>
              </w:rPr>
            </w:pPr>
            <w:r>
              <w:rPr>
                <w:rFonts w:hint="eastAsia"/>
                <w:lang w:val="en-US" w:eastAsia="zh-CN"/>
              </w:rPr>
              <w:t>145.0377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0" w:type="auto"/>
            <w:vAlign w:val="center"/>
          </w:tcPr>
          <w:p>
            <w:pPr>
              <w:pStyle w:val="10"/>
              <w:rPr>
                <w:rFonts w:ascii="方正书宋_GBK" w:hAnsi="方正书宋_GBK" w:eastAsia="方正书宋_GBK" w:cs="方正书宋_GBK"/>
                <w:sz w:val="21"/>
                <w:szCs w:val="21"/>
                <w:lang w:val="en-US" w:eastAsia="uk-UA" w:bidi="ar-SA"/>
              </w:rPr>
            </w:pPr>
            <w:r>
              <w:t>1、房屋（平方米）</w:t>
            </w:r>
          </w:p>
        </w:tc>
        <w:tc>
          <w:tcPr>
            <w:tcW w:w="0" w:type="auto"/>
            <w:vAlign w:val="center"/>
          </w:tcPr>
          <w:p>
            <w:pPr>
              <w:pStyle w:val="9"/>
              <w:rPr>
                <w:rFonts w:ascii="方正书宋_GBK" w:hAnsi="方正书宋_GBK" w:eastAsia="方正书宋_GBK" w:cs="方正书宋_GBK"/>
                <w:sz w:val="21"/>
                <w:szCs w:val="21"/>
                <w:lang w:val="en-US" w:eastAsia="uk-UA" w:bidi="ar-SA"/>
              </w:rPr>
            </w:pPr>
          </w:p>
        </w:tc>
        <w:tc>
          <w:tcPr>
            <w:tcW w:w="0" w:type="auto"/>
            <w:vAlign w:val="center"/>
          </w:tcPr>
          <w:p>
            <w:pPr>
              <w:pStyle w:val="11"/>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0"/>
              <w:rPr>
                <w:rFonts w:ascii="方正书宋_GBK" w:hAnsi="方正书宋_GBK" w:eastAsia="方正书宋_GBK" w:cs="方正书宋_GBK"/>
                <w:sz w:val="21"/>
                <w:szCs w:val="21"/>
                <w:lang w:val="en-US" w:eastAsia="uk-UA" w:bidi="ar-SA"/>
              </w:rPr>
            </w:pPr>
            <w:r>
              <w:t>　　其中：办公用房（平方米）</w:t>
            </w:r>
          </w:p>
        </w:tc>
        <w:tc>
          <w:tcPr>
            <w:tcW w:w="0" w:type="auto"/>
            <w:vAlign w:val="center"/>
          </w:tcPr>
          <w:p>
            <w:pPr>
              <w:pStyle w:val="9"/>
              <w:rPr>
                <w:rFonts w:ascii="方正书宋_GBK" w:hAnsi="方正书宋_GBK" w:eastAsia="方正书宋_GBK" w:cs="方正书宋_GBK"/>
                <w:sz w:val="21"/>
                <w:szCs w:val="21"/>
                <w:lang w:val="en-US" w:eastAsia="uk-UA" w:bidi="ar-SA"/>
              </w:rPr>
            </w:pPr>
          </w:p>
        </w:tc>
        <w:tc>
          <w:tcPr>
            <w:tcW w:w="0" w:type="auto"/>
            <w:vAlign w:val="center"/>
          </w:tcPr>
          <w:p>
            <w:pPr>
              <w:pStyle w:val="11"/>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0"/>
              <w:rPr>
                <w:rFonts w:ascii="方正书宋_GBK" w:hAnsi="方正书宋_GBK" w:eastAsia="方正书宋_GBK" w:cs="方正书宋_GBK"/>
                <w:sz w:val="21"/>
                <w:szCs w:val="21"/>
                <w:lang w:val="en-US" w:eastAsia="uk-UA" w:bidi="ar-SA"/>
              </w:rPr>
            </w:pPr>
            <w:r>
              <w:t>2、车辆（台、辆）</w:t>
            </w:r>
          </w:p>
        </w:tc>
        <w:tc>
          <w:tcPr>
            <w:tcW w:w="0" w:type="auto"/>
            <w:vAlign w:val="center"/>
          </w:tcPr>
          <w:p>
            <w:pPr>
              <w:pStyle w:val="9"/>
              <w:rPr>
                <w:rFonts w:ascii="方正书宋_GBK" w:hAnsi="方正书宋_GBK" w:eastAsia="方正书宋_GBK" w:cs="方正书宋_GBK"/>
                <w:sz w:val="21"/>
                <w:szCs w:val="21"/>
                <w:lang w:val="en-US" w:eastAsia="uk-UA" w:bidi="ar-SA"/>
              </w:rPr>
            </w:pPr>
          </w:p>
        </w:tc>
        <w:tc>
          <w:tcPr>
            <w:tcW w:w="0" w:type="auto"/>
            <w:vAlign w:val="center"/>
          </w:tcPr>
          <w:p>
            <w:pPr>
              <w:pStyle w:val="11"/>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0"/>
              <w:rPr>
                <w:rFonts w:ascii="方正书宋_GBK" w:hAnsi="方正书宋_GBK" w:eastAsia="方正书宋_GBK" w:cs="方正书宋_GBK"/>
                <w:sz w:val="21"/>
                <w:szCs w:val="21"/>
                <w:lang w:val="en-US" w:eastAsia="uk-UA" w:bidi="ar-SA"/>
              </w:rPr>
            </w:pPr>
            <w:r>
              <w:t>3、单价在20万元以上的设备</w:t>
            </w:r>
          </w:p>
        </w:tc>
        <w:tc>
          <w:tcPr>
            <w:tcW w:w="0" w:type="auto"/>
            <w:vAlign w:val="center"/>
          </w:tcPr>
          <w:p>
            <w:pPr>
              <w:pStyle w:val="9"/>
              <w:rPr>
                <w:rFonts w:ascii="方正书宋_GBK" w:hAnsi="方正书宋_GBK" w:eastAsia="方正书宋_GBK" w:cs="方正书宋_GBK"/>
                <w:sz w:val="21"/>
                <w:szCs w:val="21"/>
                <w:lang w:val="en-US" w:eastAsia="uk-UA" w:bidi="ar-SA"/>
              </w:rPr>
            </w:pPr>
          </w:p>
        </w:tc>
        <w:tc>
          <w:tcPr>
            <w:tcW w:w="0" w:type="auto"/>
            <w:vAlign w:val="center"/>
          </w:tcPr>
          <w:p>
            <w:pPr>
              <w:pStyle w:val="11"/>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0" w:type="auto"/>
            <w:vAlign w:val="center"/>
          </w:tcPr>
          <w:p>
            <w:pPr>
              <w:pStyle w:val="10"/>
              <w:rPr>
                <w:rFonts w:ascii="方正书宋_GBK" w:hAnsi="方正书宋_GBK" w:eastAsia="方正书宋_GBK" w:cs="方正书宋_GBK"/>
                <w:sz w:val="21"/>
                <w:szCs w:val="21"/>
                <w:lang w:val="en-US" w:eastAsia="uk-UA" w:bidi="ar-SA"/>
              </w:rPr>
            </w:pPr>
            <w:r>
              <w:t>4、其他固定资产</w:t>
            </w:r>
          </w:p>
        </w:tc>
        <w:tc>
          <w:tcPr>
            <w:tcW w:w="0" w:type="auto"/>
            <w:vAlign w:val="center"/>
          </w:tcPr>
          <w:p>
            <w:pPr>
              <w:pStyle w:val="9"/>
              <w:rPr>
                <w:rFonts w:hint="default" w:ascii="方正书宋_GBK" w:hAnsi="方正书宋_GBK" w:eastAsia="方正书宋_GBK" w:cs="方正书宋_GBK"/>
                <w:sz w:val="21"/>
                <w:szCs w:val="21"/>
                <w:lang w:val="en-US" w:eastAsia="zh-CN" w:bidi="ar-SA"/>
              </w:rPr>
            </w:pPr>
            <w:r>
              <w:rPr>
                <w:rFonts w:hint="eastAsia"/>
                <w:lang w:val="en-US" w:eastAsia="zh-CN"/>
              </w:rPr>
              <w:t>307</w:t>
            </w:r>
          </w:p>
        </w:tc>
        <w:tc>
          <w:tcPr>
            <w:tcW w:w="0" w:type="auto"/>
            <w:vAlign w:val="center"/>
          </w:tcPr>
          <w:p>
            <w:pPr>
              <w:pStyle w:val="11"/>
              <w:rPr>
                <w:rFonts w:hint="default" w:ascii="方正书宋_GBK" w:hAnsi="方正书宋_GBK" w:eastAsia="方正书宋_GBK" w:cs="方正书宋_GBK"/>
                <w:sz w:val="21"/>
                <w:szCs w:val="21"/>
                <w:lang w:val="en-US" w:eastAsia="zh-CN" w:bidi="ar-SA"/>
              </w:rPr>
            </w:pPr>
            <w:r>
              <w:rPr>
                <w:rFonts w:hint="eastAsia"/>
                <w:lang w:val="en-US" w:eastAsia="zh-CN"/>
              </w:rPr>
              <w:t>145.0377</w:t>
            </w:r>
          </w:p>
        </w:tc>
      </w:tr>
    </w:tbl>
    <w:p>
      <w:pPr>
        <w:ind w:firstLine="420"/>
      </w:pPr>
      <w:r>
        <w:rPr>
          <w:rFonts w:hint="eastAsia" w:ascii="方正书宋_GBK" w:hAnsi="方正书宋_GBK" w:eastAsia="方正书宋_GBK" w:cs="方正书宋_GBK"/>
          <w:color w:val="000000"/>
          <w:sz w:val="21"/>
          <w:szCs w:val="21"/>
        </w:rPr>
        <w:t>注：无固定资产占用情况，空表列示。</w:t>
      </w:r>
    </w:p>
    <w:p>
      <w:pPr>
        <w:ind w:firstLine="640"/>
      </w:pPr>
    </w:p>
    <w:p>
      <w:pPr>
        <w:spacing w:before="10" w:after="10"/>
        <w:ind w:firstLine="640"/>
        <w:outlineLvl w:val="5"/>
      </w:pPr>
      <w:r>
        <w:rPr>
          <w:rFonts w:hint="eastAsia" w:ascii="黑体" w:hAnsi="黑体" w:eastAsia="黑体" w:cs="黑体"/>
          <w:color w:val="000000"/>
          <w:sz w:val="32"/>
          <w:szCs w:val="32"/>
        </w:rPr>
        <w:t>八、名词解释</w:t>
      </w:r>
    </w:p>
    <w:p>
      <w:pPr>
        <w:spacing w:line="500" w:lineRule="exact"/>
        <w:ind w:firstLine="560"/>
      </w:pPr>
      <w:r>
        <w:rPr>
          <w:rFonts w:eastAsia="方正仿宋_GBK"/>
          <w:color w:val="000000"/>
          <w:sz w:val="28"/>
          <w:szCs w:val="28"/>
        </w:rPr>
        <w:t>1</w:t>
      </w:r>
      <w:r>
        <w:rPr>
          <w:rFonts w:hint="eastAsia" w:eastAsia="方正仿宋_GBK" w:cs="方正仿宋_GBK"/>
          <w:color w:val="000000"/>
          <w:sz w:val="28"/>
          <w:szCs w:val="28"/>
        </w:rPr>
        <w:t>、</w:t>
      </w:r>
      <w:r>
        <w:rPr>
          <w:rFonts w:hint="eastAsia" w:eastAsia="方正仿宋_GBK" w:cs="方正仿宋_GBK"/>
          <w:b/>
          <w:bCs/>
          <w:color w:val="000000"/>
          <w:sz w:val="28"/>
          <w:szCs w:val="28"/>
        </w:rPr>
        <w:t>一般公共预算拨款收入：</w:t>
      </w:r>
      <w:r>
        <w:rPr>
          <w:rFonts w:hint="eastAsia" w:eastAsia="方正仿宋_GBK" w:cs="方正仿宋_GBK"/>
          <w:color w:val="000000"/>
          <w:sz w:val="28"/>
          <w:szCs w:val="28"/>
        </w:rPr>
        <w:t>指县级财政当年拨付的资金。</w:t>
      </w:r>
    </w:p>
    <w:p>
      <w:pPr>
        <w:spacing w:line="500" w:lineRule="exact"/>
        <w:ind w:firstLine="560"/>
      </w:pPr>
      <w:r>
        <w:rPr>
          <w:rFonts w:eastAsia="方正仿宋_GBK"/>
          <w:color w:val="000000"/>
          <w:sz w:val="28"/>
          <w:szCs w:val="28"/>
        </w:rPr>
        <w:t>2</w:t>
      </w:r>
      <w:r>
        <w:rPr>
          <w:rFonts w:hint="eastAsia" w:eastAsia="方正仿宋_GBK" w:cs="方正仿宋_GBK"/>
          <w:color w:val="000000"/>
          <w:sz w:val="28"/>
          <w:szCs w:val="28"/>
        </w:rPr>
        <w:t>、</w:t>
      </w:r>
      <w:r>
        <w:rPr>
          <w:rFonts w:hint="eastAsia" w:eastAsia="方正仿宋_GBK" w:cs="方正仿宋_GBK"/>
          <w:b/>
          <w:bCs/>
          <w:color w:val="000000"/>
          <w:sz w:val="28"/>
          <w:szCs w:val="28"/>
        </w:rPr>
        <w:t>事业收入：</w:t>
      </w:r>
      <w:r>
        <w:rPr>
          <w:rFonts w:hint="eastAsia" w:eastAsia="方正仿宋_GBK" w:cs="方正仿宋_GBK"/>
          <w:color w:val="000000"/>
          <w:sz w:val="28"/>
          <w:szCs w:val="28"/>
        </w:rPr>
        <w:t>指事业单位开展专业业务活动及辅助活动所取得的收入。</w:t>
      </w:r>
    </w:p>
    <w:p>
      <w:pPr>
        <w:spacing w:line="500" w:lineRule="exact"/>
        <w:ind w:firstLine="560"/>
      </w:pPr>
      <w:r>
        <w:rPr>
          <w:rFonts w:eastAsia="方正仿宋_GBK"/>
          <w:color w:val="000000"/>
          <w:sz w:val="28"/>
          <w:szCs w:val="28"/>
        </w:rPr>
        <w:t>3</w:t>
      </w:r>
      <w:r>
        <w:rPr>
          <w:rFonts w:hint="eastAsia" w:eastAsia="方正仿宋_GBK" w:cs="方正仿宋_GBK"/>
          <w:color w:val="000000"/>
          <w:sz w:val="28"/>
          <w:szCs w:val="28"/>
        </w:rPr>
        <w:t>、</w:t>
      </w:r>
      <w:r>
        <w:rPr>
          <w:rFonts w:hint="eastAsia" w:eastAsia="方正仿宋_GBK" w:cs="方正仿宋_GBK"/>
          <w:b/>
          <w:bCs/>
          <w:color w:val="000000"/>
          <w:sz w:val="28"/>
          <w:szCs w:val="28"/>
        </w:rPr>
        <w:t>其他收入：</w:t>
      </w:r>
      <w:r>
        <w:rPr>
          <w:rFonts w:hint="eastAsia" w:eastAsia="方正仿宋_GBK" w:cs="方正仿宋_GBK"/>
          <w:color w:val="000000"/>
          <w:sz w:val="28"/>
          <w:szCs w:val="28"/>
        </w:rPr>
        <w:t>指除</w:t>
      </w:r>
      <w:r>
        <w:rPr>
          <w:rFonts w:eastAsia="方正仿宋_GBK"/>
          <w:color w:val="000000"/>
          <w:sz w:val="28"/>
          <w:szCs w:val="28"/>
        </w:rPr>
        <w:t>“</w:t>
      </w:r>
      <w:r>
        <w:rPr>
          <w:rFonts w:hint="eastAsia" w:eastAsia="方正仿宋_GBK" w:cs="方正仿宋_GBK"/>
          <w:color w:val="000000"/>
          <w:sz w:val="28"/>
          <w:szCs w:val="28"/>
        </w:rPr>
        <w:t>一般公共预算拨款收入</w:t>
      </w:r>
      <w:r>
        <w:rPr>
          <w:rFonts w:eastAsia="方正仿宋_GBK"/>
          <w:color w:val="000000"/>
          <w:sz w:val="28"/>
          <w:szCs w:val="28"/>
        </w:rPr>
        <w:t>”</w:t>
      </w:r>
      <w:r>
        <w:rPr>
          <w:rFonts w:hint="eastAsia" w:eastAsia="方正仿宋_GBK" w:cs="方正仿宋_GBK"/>
          <w:color w:val="000000"/>
          <w:sz w:val="28"/>
          <w:szCs w:val="28"/>
        </w:rPr>
        <w:t>、</w:t>
      </w:r>
      <w:r>
        <w:rPr>
          <w:rFonts w:eastAsia="方正仿宋_GBK"/>
          <w:color w:val="000000"/>
          <w:sz w:val="28"/>
          <w:szCs w:val="28"/>
        </w:rPr>
        <w:t>“</w:t>
      </w:r>
      <w:r>
        <w:rPr>
          <w:rFonts w:hint="eastAsia" w:eastAsia="方正仿宋_GBK" w:cs="方正仿宋_GBK"/>
          <w:color w:val="000000"/>
          <w:sz w:val="28"/>
          <w:szCs w:val="28"/>
        </w:rPr>
        <w:t>事业收入</w:t>
      </w:r>
      <w:r>
        <w:rPr>
          <w:rFonts w:eastAsia="方正仿宋_GBK"/>
          <w:color w:val="000000"/>
          <w:sz w:val="28"/>
          <w:szCs w:val="28"/>
        </w:rPr>
        <w:t>”</w:t>
      </w:r>
      <w:r>
        <w:rPr>
          <w:rFonts w:hint="eastAsia" w:eastAsia="方正仿宋_GBK" w:cs="方正仿宋_GBK"/>
          <w:color w:val="000000"/>
          <w:sz w:val="28"/>
          <w:szCs w:val="28"/>
        </w:rPr>
        <w:t>等以外的收入。主要是按规定动用的租房收入、存款利息收入等。</w:t>
      </w:r>
    </w:p>
    <w:p>
      <w:pPr>
        <w:spacing w:line="500" w:lineRule="exact"/>
        <w:ind w:firstLine="560"/>
      </w:pPr>
      <w:r>
        <w:rPr>
          <w:rFonts w:eastAsia="方正仿宋_GBK"/>
          <w:color w:val="000000"/>
          <w:sz w:val="28"/>
          <w:szCs w:val="28"/>
        </w:rPr>
        <w:t>4</w:t>
      </w:r>
      <w:r>
        <w:rPr>
          <w:rFonts w:hint="eastAsia" w:eastAsia="方正仿宋_GBK" w:cs="方正仿宋_GBK"/>
          <w:color w:val="000000"/>
          <w:sz w:val="28"/>
          <w:szCs w:val="28"/>
        </w:rPr>
        <w:t>、</w:t>
      </w:r>
      <w:r>
        <w:rPr>
          <w:rFonts w:hint="eastAsia" w:eastAsia="方正仿宋_GBK" w:cs="方正仿宋_GBK"/>
          <w:b/>
          <w:bCs/>
          <w:color w:val="000000"/>
          <w:sz w:val="28"/>
          <w:szCs w:val="28"/>
        </w:rPr>
        <w:t>基本支出：</w:t>
      </w:r>
      <w:r>
        <w:rPr>
          <w:rFonts w:hint="eastAsia" w:eastAsia="方正仿宋_GBK" w:cs="方正仿宋_GBK"/>
          <w:color w:val="000000"/>
          <w:sz w:val="28"/>
          <w:szCs w:val="28"/>
        </w:rPr>
        <w:t>指为保障机构正常运转、完成日常工作任务而发生的人员支出和公用支出。</w:t>
      </w:r>
    </w:p>
    <w:p>
      <w:pPr>
        <w:spacing w:line="500" w:lineRule="exact"/>
        <w:ind w:firstLine="560"/>
      </w:pPr>
      <w:r>
        <w:rPr>
          <w:rFonts w:eastAsia="方正仿宋_GBK"/>
          <w:color w:val="000000"/>
          <w:sz w:val="28"/>
          <w:szCs w:val="28"/>
        </w:rPr>
        <w:t>5</w:t>
      </w:r>
      <w:r>
        <w:rPr>
          <w:rFonts w:hint="eastAsia" w:eastAsia="方正仿宋_GBK" w:cs="方正仿宋_GBK"/>
          <w:color w:val="000000"/>
          <w:sz w:val="28"/>
          <w:szCs w:val="28"/>
        </w:rPr>
        <w:t>、</w:t>
      </w:r>
      <w:r>
        <w:rPr>
          <w:rFonts w:hint="eastAsia" w:eastAsia="方正仿宋_GBK" w:cs="方正仿宋_GBK"/>
          <w:b/>
          <w:bCs/>
          <w:color w:val="000000"/>
          <w:sz w:val="28"/>
          <w:szCs w:val="28"/>
        </w:rPr>
        <w:t>项目支出：</w:t>
      </w:r>
      <w:r>
        <w:rPr>
          <w:rFonts w:hint="eastAsia" w:eastAsia="方正仿宋_GBK" w:cs="方正仿宋_GBK"/>
          <w:color w:val="000000"/>
          <w:sz w:val="28"/>
          <w:szCs w:val="28"/>
        </w:rPr>
        <w:t>指在基本支出之外为完成特定行政任务和事业发展目标所发生的支出。</w:t>
      </w:r>
    </w:p>
    <w:p>
      <w:pPr>
        <w:spacing w:line="500" w:lineRule="exact"/>
        <w:ind w:firstLine="560"/>
      </w:pPr>
      <w:r>
        <w:rPr>
          <w:rFonts w:eastAsia="方正仿宋_GBK"/>
          <w:color w:val="000000"/>
          <w:sz w:val="28"/>
          <w:szCs w:val="28"/>
        </w:rPr>
        <w:t>6</w:t>
      </w:r>
      <w:r>
        <w:rPr>
          <w:rFonts w:hint="eastAsia" w:eastAsia="方正仿宋_GBK" w:cs="方正仿宋_GBK"/>
          <w:color w:val="000000"/>
          <w:sz w:val="28"/>
          <w:szCs w:val="28"/>
        </w:rPr>
        <w:t>、</w:t>
      </w:r>
      <w:r>
        <w:rPr>
          <w:rFonts w:hint="eastAsia" w:eastAsia="方正仿宋_GBK" w:cs="方正仿宋_GBK"/>
          <w:b/>
          <w:bCs/>
          <w:color w:val="000000"/>
          <w:sz w:val="28"/>
          <w:szCs w:val="28"/>
        </w:rPr>
        <w:t>上缴上级支出：</w:t>
      </w:r>
      <w:r>
        <w:rPr>
          <w:rFonts w:hint="eastAsia" w:eastAsia="方正仿宋_GBK" w:cs="方正仿宋_GBK"/>
          <w:color w:val="000000"/>
          <w:sz w:val="28"/>
          <w:szCs w:val="28"/>
        </w:rPr>
        <w:t>指下级单位上缴上级的支出。</w:t>
      </w:r>
    </w:p>
    <w:p>
      <w:pPr>
        <w:spacing w:line="500" w:lineRule="exact"/>
        <w:ind w:firstLine="560"/>
      </w:pPr>
      <w:r>
        <w:rPr>
          <w:rFonts w:eastAsia="方正仿宋_GBK"/>
          <w:color w:val="000000"/>
          <w:sz w:val="28"/>
          <w:szCs w:val="28"/>
        </w:rPr>
        <w:t>7</w:t>
      </w:r>
      <w:r>
        <w:rPr>
          <w:rFonts w:hint="eastAsia" w:eastAsia="方正仿宋_GBK" w:cs="方正仿宋_GBK"/>
          <w:color w:val="000000"/>
          <w:sz w:val="28"/>
          <w:szCs w:val="28"/>
        </w:rPr>
        <w:t>、</w:t>
      </w:r>
      <w:r>
        <w:rPr>
          <w:rFonts w:eastAsia="方正仿宋_GBK"/>
          <w:b/>
          <w:bCs/>
          <w:color w:val="000000"/>
          <w:sz w:val="28"/>
          <w:szCs w:val="28"/>
        </w:rPr>
        <w:t>“</w:t>
      </w:r>
      <w:r>
        <w:rPr>
          <w:rFonts w:hint="eastAsia" w:eastAsia="方正仿宋_GBK" w:cs="方正仿宋_GBK"/>
          <w:b/>
          <w:bCs/>
          <w:color w:val="000000"/>
          <w:sz w:val="28"/>
          <w:szCs w:val="28"/>
        </w:rPr>
        <w:t>三公</w:t>
      </w:r>
      <w:r>
        <w:rPr>
          <w:rFonts w:eastAsia="方正仿宋_GBK"/>
          <w:b/>
          <w:bCs/>
          <w:color w:val="000000"/>
          <w:sz w:val="28"/>
          <w:szCs w:val="28"/>
        </w:rPr>
        <w:t>”</w:t>
      </w:r>
      <w:r>
        <w:rPr>
          <w:rFonts w:hint="eastAsia" w:eastAsia="方正仿宋_GBK" w:cs="方正仿宋_GBK"/>
          <w:b/>
          <w:bCs/>
          <w:color w:val="000000"/>
          <w:sz w:val="28"/>
          <w:szCs w:val="28"/>
        </w:rPr>
        <w:t>经费：</w:t>
      </w:r>
      <w:r>
        <w:rPr>
          <w:rFonts w:hint="eastAsia" w:eastAsia="方正仿宋_GBK" w:cs="方正仿宋_GBK"/>
          <w:color w:val="000000"/>
          <w:sz w:val="28"/>
          <w:szCs w:val="28"/>
        </w:rPr>
        <w:t>纳入县级财政预算管理的</w:t>
      </w:r>
      <w:r>
        <w:rPr>
          <w:rFonts w:eastAsia="方正仿宋_GBK"/>
          <w:color w:val="000000"/>
          <w:sz w:val="28"/>
          <w:szCs w:val="28"/>
        </w:rPr>
        <w:t>“</w:t>
      </w:r>
      <w:r>
        <w:rPr>
          <w:rFonts w:hint="eastAsia" w:eastAsia="方正仿宋_GBK" w:cs="方正仿宋_GBK"/>
          <w:color w:val="000000"/>
          <w:sz w:val="28"/>
          <w:szCs w:val="28"/>
        </w:rPr>
        <w:t>三公</w:t>
      </w:r>
      <w:r>
        <w:rPr>
          <w:rFonts w:eastAsia="方正仿宋_GBK"/>
          <w:color w:val="000000"/>
          <w:sz w:val="28"/>
          <w:szCs w:val="28"/>
        </w:rPr>
        <w:t>”</w:t>
      </w:r>
      <w:r>
        <w:rPr>
          <w:rFonts w:hint="eastAsia" w:eastAsia="方正仿宋_GBK" w:cs="方正仿宋_GBK"/>
          <w:color w:val="000000"/>
          <w:sz w:val="28"/>
          <w:szCs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szCs w:val="28"/>
        </w:rPr>
        <w:t>8</w:t>
      </w:r>
      <w:r>
        <w:rPr>
          <w:rFonts w:hint="eastAsia" w:eastAsia="方正仿宋_GBK" w:cs="方正仿宋_GBK"/>
          <w:color w:val="000000"/>
          <w:sz w:val="28"/>
          <w:szCs w:val="28"/>
        </w:rPr>
        <w:t>、</w:t>
      </w:r>
      <w:r>
        <w:rPr>
          <w:rFonts w:hint="eastAsia" w:eastAsia="方正仿宋_GBK" w:cs="方正仿宋_GBK"/>
          <w:b/>
          <w:bCs/>
          <w:color w:val="000000"/>
          <w:sz w:val="28"/>
          <w:szCs w:val="28"/>
        </w:rPr>
        <w:t>机关运行费：</w:t>
      </w:r>
      <w:r>
        <w:rPr>
          <w:rFonts w:hint="eastAsia" w:eastAsia="方正仿宋_GBK" w:cs="方正仿宋_GBK"/>
          <w:color w:val="000000"/>
          <w:sz w:val="28"/>
          <w:szCs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szCs w:val="28"/>
        </w:rPr>
        <w:t>9</w:t>
      </w:r>
      <w:r>
        <w:rPr>
          <w:rFonts w:hint="eastAsia" w:eastAsia="方正仿宋_GBK" w:cs="方正仿宋_GBK"/>
          <w:color w:val="000000"/>
          <w:sz w:val="28"/>
          <w:szCs w:val="28"/>
        </w:rPr>
        <w:t>、</w:t>
      </w:r>
      <w:r>
        <w:rPr>
          <w:rFonts w:hint="eastAsia" w:eastAsia="方正仿宋_GBK" w:cs="方正仿宋_GBK"/>
          <w:b/>
          <w:bCs/>
          <w:color w:val="000000"/>
          <w:sz w:val="28"/>
          <w:szCs w:val="28"/>
        </w:rPr>
        <w:t>上年结转：</w:t>
      </w:r>
      <w:r>
        <w:rPr>
          <w:rFonts w:hint="eastAsia" w:eastAsia="方正仿宋_GBK" w:cs="方正仿宋_GBK"/>
          <w:color w:val="000000"/>
          <w:sz w:val="28"/>
          <w:szCs w:val="28"/>
        </w:rPr>
        <w:t>指以前年度尚未完成、结转到本年仍按原规定用途继续使用的资金。</w:t>
      </w:r>
    </w:p>
    <w:p>
      <w:pPr>
        <w:spacing w:line="500" w:lineRule="exact"/>
        <w:ind w:firstLine="560"/>
      </w:pPr>
      <w:r>
        <w:rPr>
          <w:rFonts w:eastAsia="方正仿宋_GBK"/>
          <w:color w:val="000000"/>
          <w:sz w:val="28"/>
          <w:szCs w:val="28"/>
        </w:rPr>
        <w:t>10</w:t>
      </w:r>
      <w:r>
        <w:rPr>
          <w:rFonts w:hint="eastAsia" w:eastAsia="方正仿宋_GBK" w:cs="方正仿宋_GBK"/>
          <w:color w:val="000000"/>
          <w:sz w:val="28"/>
          <w:szCs w:val="28"/>
        </w:rPr>
        <w:t>、</w:t>
      </w:r>
      <w:r>
        <w:rPr>
          <w:rFonts w:hint="eastAsia" w:eastAsia="方正仿宋_GBK" w:cs="方正仿宋_GBK"/>
          <w:b/>
          <w:bCs/>
          <w:color w:val="000000"/>
          <w:sz w:val="28"/>
          <w:szCs w:val="28"/>
        </w:rPr>
        <w:t>事业单位经营支出：</w:t>
      </w:r>
      <w:r>
        <w:rPr>
          <w:rFonts w:hint="eastAsia" w:eastAsia="方正仿宋_GBK" w:cs="方正仿宋_GBK"/>
          <w:color w:val="000000"/>
          <w:sz w:val="28"/>
          <w:szCs w:val="28"/>
        </w:rPr>
        <w:t>指事业单位在专业业务活动及其辅助活动之外开展非独立核算经营活动发生的支出。</w:t>
      </w:r>
    </w:p>
    <w:p>
      <w:pPr>
        <w:spacing w:before="10" w:after="10"/>
        <w:ind w:firstLine="640"/>
        <w:outlineLvl w:val="5"/>
      </w:pPr>
      <w:r>
        <w:rPr>
          <w:rFonts w:hint="eastAsia" w:ascii="黑体" w:hAnsi="黑体" w:eastAsia="黑体" w:cs="黑体"/>
          <w:color w:val="000000"/>
          <w:sz w:val="32"/>
          <w:szCs w:val="32"/>
        </w:rPr>
        <w:t>九、其他需要说明的事项</w:t>
      </w:r>
    </w:p>
    <w:p>
      <w:pPr>
        <w:spacing w:line="500" w:lineRule="exact"/>
        <w:ind w:firstLine="560"/>
      </w:pPr>
      <w:r>
        <w:rPr>
          <w:rFonts w:hint="eastAsia" w:eastAsia="方正仿宋_GBK" w:cs="方正仿宋_GBK"/>
          <w:color w:val="000000"/>
          <w:sz w:val="28"/>
          <w:szCs w:val="28"/>
        </w:rPr>
        <w:t>我单位无其他需要说明的事项。</w:t>
      </w:r>
    </w:p>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YjlkNjdmMmUzMGI1NWMyYjkyMjQ2YzZmODFlZjIifQ=="/>
  </w:docVars>
  <w:rsids>
    <w:rsidRoot w:val="51956AB3"/>
    <w:rsid w:val="3C247269"/>
    <w:rsid w:val="51956AB3"/>
    <w:rsid w:val="71EC7CE6"/>
    <w:rsid w:val="BA7F513B"/>
    <w:rsid w:val="BFDFEE37"/>
    <w:rsid w:val="FF3F6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99"/>
    <w:pPr>
      <w:spacing w:before="120"/>
      <w:ind w:firstLine="560"/>
    </w:pPr>
    <w:rPr>
      <w:rFonts w:eastAsia="方正仿宋_GBK"/>
      <w:color w:val="000000"/>
      <w:sz w:val="28"/>
      <w:szCs w:val="28"/>
    </w:rPr>
  </w:style>
  <w:style w:type="paragraph" w:customStyle="1" w:styleId="5">
    <w:name w:val="单元格样式20"/>
    <w:basedOn w:val="1"/>
    <w:qFormat/>
    <w:uiPriority w:val="99"/>
    <w:rPr>
      <w:rFonts w:ascii="方正小标宋_GBK" w:hAnsi="方正小标宋_GBK" w:eastAsia="方正小标宋_GBK" w:cs="方正小标宋_GBK"/>
    </w:rPr>
  </w:style>
  <w:style w:type="paragraph" w:customStyle="1" w:styleId="6">
    <w:name w:val="单元格样式21"/>
    <w:basedOn w:val="1"/>
    <w:qFormat/>
    <w:uiPriority w:val="99"/>
    <w:pPr>
      <w:jc w:val="center"/>
    </w:pPr>
    <w:rPr>
      <w:rFonts w:ascii="方正小标宋_GBK" w:hAnsi="方正小标宋_GBK" w:eastAsia="方正小标宋_GBK" w:cs="方正小标宋_GBK"/>
    </w:rPr>
  </w:style>
  <w:style w:type="paragraph" w:customStyle="1" w:styleId="7">
    <w:name w:val="单元格样式22"/>
    <w:basedOn w:val="1"/>
    <w:qFormat/>
    <w:uiPriority w:val="99"/>
    <w:pPr>
      <w:jc w:val="right"/>
    </w:pPr>
    <w:rPr>
      <w:rFonts w:ascii="方正小标宋_GBK" w:hAnsi="方正小标宋_GBK" w:eastAsia="方正小标宋_GBK" w:cs="方正小标宋_GBK"/>
    </w:rPr>
  </w:style>
  <w:style w:type="paragraph" w:customStyle="1" w:styleId="8">
    <w:name w:val="单元格样式1"/>
    <w:basedOn w:val="1"/>
    <w:qFormat/>
    <w:uiPriority w:val="99"/>
    <w:pPr>
      <w:jc w:val="center"/>
    </w:pPr>
    <w:rPr>
      <w:rFonts w:ascii="方正书宋_GBK" w:hAnsi="方正书宋_GBK" w:eastAsia="方正书宋_GBK" w:cs="方正书宋_GBK"/>
      <w:b/>
      <w:bCs/>
      <w:sz w:val="21"/>
      <w:szCs w:val="21"/>
    </w:rPr>
  </w:style>
  <w:style w:type="paragraph" w:customStyle="1" w:styleId="9">
    <w:name w:val="单元格样式3"/>
    <w:basedOn w:val="1"/>
    <w:qFormat/>
    <w:uiPriority w:val="99"/>
    <w:pPr>
      <w:jc w:val="center"/>
    </w:pPr>
    <w:rPr>
      <w:rFonts w:ascii="方正书宋_GBK" w:hAnsi="方正书宋_GBK" w:eastAsia="方正书宋_GBK" w:cs="方正书宋_GBK"/>
      <w:sz w:val="21"/>
      <w:szCs w:val="21"/>
    </w:rPr>
  </w:style>
  <w:style w:type="paragraph" w:customStyle="1" w:styleId="10">
    <w:name w:val="单元格样式2"/>
    <w:basedOn w:val="1"/>
    <w:qFormat/>
    <w:uiPriority w:val="99"/>
    <w:rPr>
      <w:rFonts w:ascii="方正书宋_GBK" w:hAnsi="方正书宋_GBK" w:eastAsia="方正书宋_GBK" w:cs="方正书宋_GBK"/>
      <w:sz w:val="21"/>
      <w:szCs w:val="21"/>
    </w:rPr>
  </w:style>
  <w:style w:type="paragraph" w:customStyle="1" w:styleId="11">
    <w:name w:val="单元格样式4"/>
    <w:basedOn w:val="1"/>
    <w:qFormat/>
    <w:uiPriority w:val="99"/>
    <w:pPr>
      <w:jc w:val="right"/>
    </w:pPr>
    <w:rPr>
      <w:rFonts w:ascii="方正书宋_GBK" w:hAnsi="方正书宋_GBK" w:eastAsia="方正书宋_GBK" w:cs="方正书宋_GBK"/>
      <w:sz w:val="21"/>
      <w:szCs w:val="21"/>
    </w:rPr>
  </w:style>
  <w:style w:type="paragraph" w:customStyle="1" w:styleId="12">
    <w:name w:val="单元格样式6"/>
    <w:basedOn w:val="1"/>
    <w:qFormat/>
    <w:uiPriority w:val="99"/>
    <w:pPr>
      <w:jc w:val="center"/>
    </w:pPr>
    <w:rPr>
      <w:rFonts w:ascii="方正书宋_GBK" w:hAnsi="方正书宋_GBK" w:eastAsia="方正书宋_GBK" w:cs="方正书宋_GBK"/>
      <w:b/>
      <w:bCs/>
      <w:sz w:val="21"/>
      <w:szCs w:val="21"/>
    </w:rPr>
  </w:style>
  <w:style w:type="paragraph" w:customStyle="1" w:styleId="13">
    <w:name w:val="单元格样式7"/>
    <w:basedOn w:val="1"/>
    <w:qFormat/>
    <w:uiPriority w:val="99"/>
    <w:pPr>
      <w:jc w:val="right"/>
    </w:pPr>
    <w:rPr>
      <w:rFonts w:ascii="方正书宋_GBK" w:hAnsi="方正书宋_GBK" w:eastAsia="方正书宋_GBK" w:cs="方正书宋_GBK"/>
      <w:b/>
      <w:bCs/>
      <w:sz w:val="21"/>
      <w:szCs w:val="21"/>
    </w:rPr>
  </w:style>
  <w:style w:type="paragraph" w:customStyle="1" w:styleId="14">
    <w:name w:val="单元格样式5"/>
    <w:basedOn w:val="1"/>
    <w:qFormat/>
    <w:uiPriority w:val="99"/>
    <w:rPr>
      <w:rFonts w:ascii="方正书宋_GBK" w:hAnsi="方正书宋_GBK" w:eastAsia="方正书宋_GBK" w:cs="方正书宋_GBK"/>
      <w:b/>
      <w:bCs/>
      <w:sz w:val="21"/>
      <w:szCs w:val="21"/>
    </w:rPr>
  </w:style>
  <w:style w:type="paragraph" w:customStyle="1" w:styleId="15">
    <w:name w:val="插入文本样式-插入单位职责文件"/>
    <w:basedOn w:val="1"/>
    <w:qFormat/>
    <w:uiPriority w:val="99"/>
    <w:pPr>
      <w:spacing w:line="500" w:lineRule="exact"/>
      <w:ind w:firstLine="560"/>
    </w:pPr>
    <w:rPr>
      <w:rFonts w:eastAsia="方正仿宋_GBK"/>
      <w:sz w:val="28"/>
      <w:szCs w:val="28"/>
    </w:rPr>
  </w:style>
  <w:style w:type="paragraph" w:customStyle="1" w:styleId="16">
    <w:name w:val="插入文本样式-插入预算公开单位预算安排的总体情况文件"/>
    <w:basedOn w:val="1"/>
    <w:qFormat/>
    <w:uiPriority w:val="99"/>
    <w:pPr>
      <w:spacing w:line="500" w:lineRule="exact"/>
      <w:ind w:firstLine="560"/>
    </w:pPr>
    <w:rPr>
      <w:rFonts w:eastAsia="方正仿宋_GBK"/>
      <w:sz w:val="28"/>
      <w:szCs w:val="28"/>
    </w:rPr>
  </w:style>
  <w:style w:type="paragraph" w:customStyle="1" w:styleId="17">
    <w:name w:val="插入文本样式-插入预算公开部门预算安排的总体情况文件"/>
    <w:basedOn w:val="1"/>
    <w:qFormat/>
    <w:uiPriority w:val="99"/>
    <w:pPr>
      <w:spacing w:line="500" w:lineRule="exact"/>
      <w:ind w:firstLine="560"/>
    </w:pPr>
    <w:rPr>
      <w:rFonts w:eastAsia="方正仿宋_GBK"/>
      <w:sz w:val="28"/>
      <w:szCs w:val="28"/>
    </w:rPr>
  </w:style>
  <w:style w:type="paragraph" w:customStyle="1" w:styleId="18">
    <w:name w:val="插入文本样式-插入预算公开单位机关运行经费安排情况文件"/>
    <w:basedOn w:val="1"/>
    <w:qFormat/>
    <w:uiPriority w:val="99"/>
    <w:pPr>
      <w:spacing w:line="500" w:lineRule="exact"/>
      <w:ind w:firstLine="560"/>
    </w:pPr>
    <w:rPr>
      <w:rFonts w:eastAsia="方正仿宋_GBK"/>
      <w:sz w:val="28"/>
      <w:szCs w:val="28"/>
    </w:rPr>
  </w:style>
  <w:style w:type="paragraph" w:customStyle="1" w:styleId="19">
    <w:name w:val="插入文本样式-插入预算公开单位财政拨款三公经费预算情况及增减变化原因文件"/>
    <w:basedOn w:val="1"/>
    <w:qFormat/>
    <w:uiPriority w:val="99"/>
    <w:pPr>
      <w:spacing w:line="500" w:lineRule="exact"/>
      <w:ind w:firstLine="560"/>
    </w:pPr>
    <w:rPr>
      <w:rFonts w:eastAsia="方正仿宋_GBK"/>
      <w:sz w:val="28"/>
      <w:szCs w:val="28"/>
    </w:rPr>
  </w:style>
  <w:style w:type="paragraph" w:customStyle="1" w:styleId="20">
    <w:name w:val="单元格样式23"/>
    <w:basedOn w:val="1"/>
    <w:qFormat/>
    <w:uiPriority w:val="99"/>
    <w:pPr>
      <w:jc w:val="righ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5907</Words>
  <Characters>7144</Characters>
  <Lines>0</Lines>
  <Paragraphs>0</Paragraphs>
  <TotalTime>1</TotalTime>
  <ScaleCrop>false</ScaleCrop>
  <LinksUpToDate>false</LinksUpToDate>
  <CharactersWithSpaces>7260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2023-08-01T16:23:00Z</dcterms:created>
  <dc:creator>Administrator</dc:creator>
  <cp:lastModifiedBy>wxak</cp:lastModifiedBy>
  <dcterms:modified xsi:type="dcterms:W3CDTF">2026-05-21T17:03:52Z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678DCE98D15B4704A7B6DCEB0CB2DD6E_11</vt:lpwstr>
  </property>
</Properties>
</file>