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bookmarkStart w:id="18" w:name="_GoBack"/>
      <w:bookmarkEnd w:id="18"/>
      <w:r>
        <w:rPr>
          <w:rFonts w:ascii="黑体" w:hAnsi="黑体" w:eastAsia="黑体" w:cs="黑体"/>
          <w:b/>
          <w:color w:val="000000"/>
          <w:sz w:val="44"/>
        </w:rPr>
        <w:t>2022年部门预算信息公开目录</w:t>
      </w:r>
    </w:p>
    <w:p>
      <w:pPr>
        <w:jc w:val="center"/>
      </w:pPr>
      <w:r>
        <w:rPr>
          <w:rFonts w:ascii="黑体" w:hAnsi="黑体" w:eastAsia="黑体" w:cs="黑体"/>
          <w:b/>
          <w:color w:val="000000"/>
          <w:sz w:val="30"/>
        </w:rPr>
        <w:t xml:space="preserve"> </w:t>
      </w:r>
    </w:p>
    <w:p>
      <w:pPr>
        <w:jc w:val="center"/>
      </w:pPr>
      <w:r>
        <w:rPr>
          <w:rFonts w:ascii="黑体" w:hAnsi="黑体" w:eastAsia="黑体" w:cs="黑体"/>
          <w:b/>
          <w:color w:val="000000"/>
          <w:sz w:val="30"/>
        </w:rPr>
        <w:t>第一部分  部门预算</w:t>
      </w:r>
    </w:p>
    <w:p>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8</w:t>
      </w:r>
      <w:r>
        <w:fldChar w:fldCharType="end"/>
      </w:r>
      <w:r>
        <w:fldChar w:fldCharType="end"/>
      </w:r>
    </w:p>
    <w:p>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9</w:t>
      </w:r>
      <w:r>
        <w:fldChar w:fldCharType="end"/>
      </w:r>
      <w:r>
        <w:fldChar w:fldCharType="end"/>
      </w:r>
    </w:p>
    <w:p>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10</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11</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12</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13</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15</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22</w:t>
      </w:r>
      <w:r>
        <w:fldChar w:fldCharType="end"/>
      </w:r>
      <w:r>
        <w:fldChar w:fldCharType="end"/>
      </w:r>
    </w:p>
    <w:p>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22</w:t>
      </w:r>
      <w:r>
        <w:fldChar w:fldCharType="end"/>
      </w:r>
      <w:r>
        <w:fldChar w:fldCharType="end"/>
      </w:r>
    </w:p>
    <w:p>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22</w:t>
      </w:r>
      <w:r>
        <w:fldChar w:fldCharType="end"/>
      </w:r>
      <w:r>
        <w:fldChar w:fldCharType="end"/>
      </w:r>
    </w:p>
    <w:p>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23</w:t>
      </w:r>
      <w:r>
        <w:fldChar w:fldCharType="end"/>
      </w:r>
      <w:r>
        <w:fldChar w:fldCharType="end"/>
      </w:r>
    </w:p>
    <w:p>
      <w:r>
        <w:fldChar w:fldCharType="end"/>
      </w:r>
    </w:p>
    <w:p>
      <w:pPr>
        <w:sectPr>
          <w:pgSz w:w="16840" w:h="11900" w:orient="landscape"/>
          <w:pgMar w:top="1587" w:right="1134" w:bottom="1361" w:left="1134" w:header="720" w:footer="720" w:gutter="0"/>
          <w:pgNumType w:start="1"/>
          <w:cols w:space="720" w:num="1"/>
        </w:sectPr>
      </w:pP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pPr>
      <w:r>
        <w:rPr>
          <w:rFonts w:ascii="方正小标宋_GBK" w:hAnsi="方正小标宋_GBK" w:eastAsia="方正小标宋_GBK" w:cs="方正小标宋_GBK"/>
          <w:color w:val="000000"/>
          <w:sz w:val="44"/>
        </w:rPr>
        <w:t xml:space="preserve"> </w:t>
      </w: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1"/>
            </w:pPr>
            <w:r>
              <w:t>286魏县县直工委</w:t>
            </w:r>
          </w:p>
        </w:tc>
        <w:tc>
          <w:tcPr>
            <w:tcW w:w="2126" w:type="dxa"/>
            <w:tcBorders>
              <w:top w:val="single" w:color="FFFFFF" w:sz="6" w:space="0"/>
              <w:left w:val="single" w:color="FFFFFF" w:sz="6" w:space="0"/>
              <w:right w:val="single" w:color="FFFFFF" w:sz="6" w:space="0"/>
            </w:tcBorders>
            <w:vAlign w:val="center"/>
          </w:tcPr>
          <w:p>
            <w:pPr>
              <w:pStyle w:val="10"/>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66.25</w:t>
            </w:r>
          </w:p>
        </w:tc>
        <w:tc>
          <w:tcPr>
            <w:tcW w:w="4535" w:type="dxa"/>
            <w:vAlign w:val="center"/>
          </w:tcPr>
          <w:p>
            <w:pPr>
              <w:pStyle w:val="14"/>
            </w:pPr>
            <w:r>
              <w:t>一、一般公共服务支出</w:t>
            </w:r>
          </w:p>
        </w:tc>
        <w:tc>
          <w:tcPr>
            <w:tcW w:w="2126" w:type="dxa"/>
            <w:vAlign w:val="center"/>
          </w:tcPr>
          <w:p>
            <w:pPr>
              <w:pStyle w:val="13"/>
            </w:pPr>
            <w:r>
              <w:t>60.36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五、事业收入</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r>
              <w:t>六、事业单位经营收入</w:t>
            </w: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r>
              <w:t>七、上级补助收入</w:t>
            </w: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r>
              <w:t>八、附属单位上缴收入</w:t>
            </w: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3.86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r>
              <w:t>九、其他收入</w:t>
            </w: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2.03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66.25</w:t>
            </w:r>
          </w:p>
        </w:tc>
        <w:tc>
          <w:tcPr>
            <w:tcW w:w="4535" w:type="dxa"/>
            <w:vAlign w:val="center"/>
          </w:tcPr>
          <w:p>
            <w:pPr>
              <w:pStyle w:val="16"/>
            </w:pPr>
            <w:r>
              <w:t>本年支出合计</w:t>
            </w:r>
          </w:p>
        </w:tc>
        <w:tc>
          <w:tcPr>
            <w:tcW w:w="2126" w:type="dxa"/>
            <w:vAlign w:val="center"/>
          </w:tcPr>
          <w:p>
            <w:pPr>
              <w:pStyle w:val="17"/>
              <w:rPr>
                <w:rFonts w:asciiTheme="minorHAnsi" w:hAnsiTheme="minorHAnsi"/>
                <w:lang w:val="uk-UA"/>
              </w:rPr>
            </w:pPr>
            <w:r>
              <w:t>66.25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66.25</w:t>
            </w:r>
          </w:p>
        </w:tc>
        <w:tc>
          <w:tcPr>
            <w:tcW w:w="4535" w:type="dxa"/>
            <w:vAlign w:val="center"/>
          </w:tcPr>
          <w:p>
            <w:pPr>
              <w:pStyle w:val="16"/>
            </w:pPr>
            <w:r>
              <w:t>支出总计</w:t>
            </w:r>
          </w:p>
        </w:tc>
        <w:tc>
          <w:tcPr>
            <w:tcW w:w="2126" w:type="dxa"/>
            <w:vAlign w:val="center"/>
          </w:tcPr>
          <w:p>
            <w:pPr>
              <w:pStyle w:val="17"/>
            </w:pPr>
            <w:r>
              <w:t>66.25</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286魏县县直工委</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1"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66.25</w:t>
            </w:r>
          </w:p>
        </w:tc>
        <w:tc>
          <w:tcPr>
            <w:tcW w:w="1134" w:type="dxa"/>
            <w:vAlign w:val="center"/>
          </w:tcPr>
          <w:p>
            <w:pPr>
              <w:pStyle w:val="17"/>
            </w:pPr>
            <w:r>
              <w:t>66.25</w:t>
            </w:r>
          </w:p>
        </w:tc>
        <w:tc>
          <w:tcPr>
            <w:tcW w:w="1134" w:type="dxa"/>
            <w:vAlign w:val="center"/>
          </w:tcPr>
          <w:p>
            <w:pPr>
              <w:pStyle w:val="17"/>
            </w:pPr>
            <w:r>
              <w:t>66.25</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201</w:t>
            </w:r>
          </w:p>
        </w:tc>
        <w:tc>
          <w:tcPr>
            <w:tcW w:w="1559" w:type="dxa"/>
            <w:vAlign w:val="center"/>
          </w:tcPr>
          <w:p>
            <w:pPr>
              <w:pStyle w:val="14"/>
            </w:pPr>
            <w:r>
              <w:t>一般公共服务支出</w:t>
            </w:r>
          </w:p>
        </w:tc>
        <w:tc>
          <w:tcPr>
            <w:tcW w:w="1134" w:type="dxa"/>
            <w:vAlign w:val="center"/>
          </w:tcPr>
          <w:p>
            <w:pPr>
              <w:pStyle w:val="13"/>
            </w:pPr>
            <w:r>
              <w:t>60.36</w:t>
            </w:r>
          </w:p>
        </w:tc>
        <w:tc>
          <w:tcPr>
            <w:tcW w:w="1134" w:type="dxa"/>
            <w:vAlign w:val="center"/>
          </w:tcPr>
          <w:p>
            <w:pPr>
              <w:pStyle w:val="13"/>
            </w:pPr>
            <w:r>
              <w:t>60.36</w:t>
            </w:r>
          </w:p>
        </w:tc>
        <w:tc>
          <w:tcPr>
            <w:tcW w:w="1134" w:type="dxa"/>
            <w:vAlign w:val="center"/>
          </w:tcPr>
          <w:p>
            <w:pPr>
              <w:pStyle w:val="13"/>
            </w:pPr>
            <w:r>
              <w:t>60.36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20131</w:t>
            </w:r>
          </w:p>
        </w:tc>
        <w:tc>
          <w:tcPr>
            <w:tcW w:w="1559" w:type="dxa"/>
            <w:vAlign w:val="center"/>
          </w:tcPr>
          <w:p>
            <w:pPr>
              <w:pStyle w:val="14"/>
            </w:pPr>
            <w:r>
              <w:t>党委办公厅（室）及相关机构事务</w:t>
            </w:r>
          </w:p>
        </w:tc>
        <w:tc>
          <w:tcPr>
            <w:tcW w:w="1134" w:type="dxa"/>
            <w:vAlign w:val="center"/>
          </w:tcPr>
          <w:p>
            <w:pPr>
              <w:pStyle w:val="13"/>
            </w:pPr>
            <w:r>
              <w:t>60.36</w:t>
            </w:r>
          </w:p>
        </w:tc>
        <w:tc>
          <w:tcPr>
            <w:tcW w:w="1134" w:type="dxa"/>
            <w:vAlign w:val="center"/>
          </w:tcPr>
          <w:p>
            <w:pPr>
              <w:pStyle w:val="13"/>
            </w:pPr>
            <w:r>
              <w:t>60.36</w:t>
            </w:r>
          </w:p>
        </w:tc>
        <w:tc>
          <w:tcPr>
            <w:tcW w:w="1134" w:type="dxa"/>
            <w:vAlign w:val="center"/>
          </w:tcPr>
          <w:p>
            <w:pPr>
              <w:pStyle w:val="13"/>
            </w:pPr>
            <w:r>
              <w:t>60.36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2013101</w:t>
            </w:r>
          </w:p>
        </w:tc>
        <w:tc>
          <w:tcPr>
            <w:tcW w:w="1559" w:type="dxa"/>
            <w:vAlign w:val="center"/>
          </w:tcPr>
          <w:p>
            <w:pPr>
              <w:pStyle w:val="14"/>
            </w:pPr>
            <w:r>
              <w:t>行政运行</w:t>
            </w:r>
          </w:p>
        </w:tc>
        <w:tc>
          <w:tcPr>
            <w:tcW w:w="1134" w:type="dxa"/>
            <w:vAlign w:val="center"/>
          </w:tcPr>
          <w:p>
            <w:pPr>
              <w:pStyle w:val="13"/>
            </w:pPr>
            <w:r>
              <w:t>53.36</w:t>
            </w:r>
          </w:p>
        </w:tc>
        <w:tc>
          <w:tcPr>
            <w:tcW w:w="1134" w:type="dxa"/>
            <w:vAlign w:val="center"/>
          </w:tcPr>
          <w:p>
            <w:pPr>
              <w:pStyle w:val="13"/>
            </w:pPr>
            <w:r>
              <w:t>53.36</w:t>
            </w:r>
          </w:p>
        </w:tc>
        <w:tc>
          <w:tcPr>
            <w:tcW w:w="1134" w:type="dxa"/>
            <w:vAlign w:val="center"/>
          </w:tcPr>
          <w:p>
            <w:pPr>
              <w:pStyle w:val="13"/>
            </w:pPr>
            <w:r>
              <w:t>53.36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2013102</w:t>
            </w:r>
          </w:p>
        </w:tc>
        <w:tc>
          <w:tcPr>
            <w:tcW w:w="1559" w:type="dxa"/>
            <w:vAlign w:val="center"/>
          </w:tcPr>
          <w:p>
            <w:pPr>
              <w:pStyle w:val="14"/>
            </w:pPr>
            <w:r>
              <w:t>一般行政管理事务</w:t>
            </w:r>
          </w:p>
        </w:tc>
        <w:tc>
          <w:tcPr>
            <w:tcW w:w="1134" w:type="dxa"/>
            <w:vAlign w:val="center"/>
          </w:tcPr>
          <w:p>
            <w:pPr>
              <w:pStyle w:val="13"/>
            </w:pPr>
            <w:r>
              <w:t>7.00</w:t>
            </w:r>
          </w:p>
        </w:tc>
        <w:tc>
          <w:tcPr>
            <w:tcW w:w="1134" w:type="dxa"/>
            <w:vAlign w:val="center"/>
          </w:tcPr>
          <w:p>
            <w:pPr>
              <w:pStyle w:val="13"/>
            </w:pPr>
            <w:r>
              <w:t>7.00</w:t>
            </w:r>
          </w:p>
        </w:tc>
        <w:tc>
          <w:tcPr>
            <w:tcW w:w="1134" w:type="dxa"/>
            <w:vAlign w:val="center"/>
          </w:tcPr>
          <w:p>
            <w:pPr>
              <w:pStyle w:val="13"/>
            </w:pPr>
            <w:r>
              <w:t>7.00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3.86</w:t>
            </w:r>
          </w:p>
        </w:tc>
        <w:tc>
          <w:tcPr>
            <w:tcW w:w="1134" w:type="dxa"/>
            <w:vAlign w:val="center"/>
          </w:tcPr>
          <w:p>
            <w:pPr>
              <w:pStyle w:val="13"/>
            </w:pPr>
            <w:r>
              <w:t>3.86</w:t>
            </w:r>
          </w:p>
        </w:tc>
        <w:tc>
          <w:tcPr>
            <w:tcW w:w="1134" w:type="dxa"/>
            <w:vAlign w:val="center"/>
          </w:tcPr>
          <w:p>
            <w:pPr>
              <w:pStyle w:val="13"/>
            </w:pPr>
            <w:r>
              <w:t>3.86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3.86</w:t>
            </w:r>
          </w:p>
        </w:tc>
        <w:tc>
          <w:tcPr>
            <w:tcW w:w="1134" w:type="dxa"/>
            <w:vAlign w:val="center"/>
          </w:tcPr>
          <w:p>
            <w:pPr>
              <w:pStyle w:val="13"/>
            </w:pPr>
            <w:r>
              <w:t>3.86</w:t>
            </w:r>
          </w:p>
        </w:tc>
        <w:tc>
          <w:tcPr>
            <w:tcW w:w="1134" w:type="dxa"/>
            <w:vAlign w:val="center"/>
          </w:tcPr>
          <w:p>
            <w:pPr>
              <w:pStyle w:val="13"/>
            </w:pPr>
            <w:r>
              <w:t>3.86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2080501</w:t>
            </w:r>
          </w:p>
        </w:tc>
        <w:tc>
          <w:tcPr>
            <w:tcW w:w="1559" w:type="dxa"/>
            <w:vAlign w:val="center"/>
          </w:tcPr>
          <w:p>
            <w:pPr>
              <w:pStyle w:val="14"/>
            </w:pPr>
            <w:r>
              <w:t>行政单位离退休</w:t>
            </w:r>
          </w:p>
        </w:tc>
        <w:tc>
          <w:tcPr>
            <w:tcW w:w="1134" w:type="dxa"/>
            <w:vAlign w:val="center"/>
          </w:tcPr>
          <w:p>
            <w:pPr>
              <w:pStyle w:val="13"/>
            </w:pPr>
            <w:r>
              <w:t>3.86</w:t>
            </w:r>
          </w:p>
        </w:tc>
        <w:tc>
          <w:tcPr>
            <w:tcW w:w="1134" w:type="dxa"/>
            <w:vAlign w:val="center"/>
          </w:tcPr>
          <w:p>
            <w:pPr>
              <w:pStyle w:val="13"/>
            </w:pPr>
            <w:r>
              <w:t>3.86</w:t>
            </w:r>
          </w:p>
        </w:tc>
        <w:tc>
          <w:tcPr>
            <w:tcW w:w="1134" w:type="dxa"/>
            <w:vAlign w:val="center"/>
          </w:tcPr>
          <w:p>
            <w:pPr>
              <w:pStyle w:val="13"/>
            </w:pPr>
            <w:r>
              <w:t>3.86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2.03</w:t>
            </w:r>
          </w:p>
        </w:tc>
        <w:tc>
          <w:tcPr>
            <w:tcW w:w="1134" w:type="dxa"/>
            <w:vAlign w:val="center"/>
          </w:tcPr>
          <w:p>
            <w:pPr>
              <w:pStyle w:val="13"/>
            </w:pPr>
            <w:r>
              <w:t>2.03</w:t>
            </w:r>
          </w:p>
        </w:tc>
        <w:tc>
          <w:tcPr>
            <w:tcW w:w="1134" w:type="dxa"/>
            <w:vAlign w:val="center"/>
          </w:tcPr>
          <w:p>
            <w:pPr>
              <w:pStyle w:val="13"/>
            </w:pPr>
            <w:r>
              <w:t>2.03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2.03</w:t>
            </w:r>
          </w:p>
        </w:tc>
        <w:tc>
          <w:tcPr>
            <w:tcW w:w="1134" w:type="dxa"/>
            <w:vAlign w:val="center"/>
          </w:tcPr>
          <w:p>
            <w:pPr>
              <w:pStyle w:val="13"/>
            </w:pPr>
            <w:r>
              <w:t>2.03</w:t>
            </w:r>
          </w:p>
        </w:tc>
        <w:tc>
          <w:tcPr>
            <w:tcW w:w="1134" w:type="dxa"/>
            <w:vAlign w:val="center"/>
          </w:tcPr>
          <w:p>
            <w:pPr>
              <w:pStyle w:val="13"/>
            </w:pPr>
            <w:r>
              <w:t>2.03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2101199</w:t>
            </w:r>
          </w:p>
        </w:tc>
        <w:tc>
          <w:tcPr>
            <w:tcW w:w="1559" w:type="dxa"/>
            <w:vAlign w:val="center"/>
          </w:tcPr>
          <w:p>
            <w:pPr>
              <w:pStyle w:val="14"/>
            </w:pPr>
            <w:r>
              <w:t>其他行政事业单位医疗支出</w:t>
            </w:r>
          </w:p>
        </w:tc>
        <w:tc>
          <w:tcPr>
            <w:tcW w:w="1134" w:type="dxa"/>
            <w:vAlign w:val="center"/>
          </w:tcPr>
          <w:p>
            <w:pPr>
              <w:pStyle w:val="13"/>
            </w:pPr>
            <w:r>
              <w:t>2.03</w:t>
            </w:r>
          </w:p>
        </w:tc>
        <w:tc>
          <w:tcPr>
            <w:tcW w:w="1134" w:type="dxa"/>
            <w:vAlign w:val="center"/>
          </w:tcPr>
          <w:p>
            <w:pPr>
              <w:pStyle w:val="13"/>
            </w:pPr>
            <w:r>
              <w:t>2.03</w:t>
            </w:r>
          </w:p>
        </w:tc>
        <w:tc>
          <w:tcPr>
            <w:tcW w:w="1134" w:type="dxa"/>
            <w:vAlign w:val="center"/>
          </w:tcPr>
          <w:p>
            <w:pPr>
              <w:pStyle w:val="13"/>
            </w:pPr>
            <w:r>
              <w:t>2.03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1"/>
            </w:pPr>
            <w:r>
              <w:t>286魏县县直工委</w:t>
            </w:r>
          </w:p>
        </w:tc>
        <w:tc>
          <w:tcPr>
            <w:tcW w:w="2721" w:type="dxa"/>
            <w:gridSpan w:val="2"/>
            <w:tcBorders>
              <w:top w:val="single" w:color="FFFFFF" w:sz="6" w:space="0"/>
              <w:left w:val="single" w:color="FFFFFF" w:sz="6" w:space="0"/>
              <w:right w:val="single" w:color="FFFFFF" w:sz="6" w:space="0"/>
            </w:tcBorders>
            <w:vAlign w:val="center"/>
          </w:tcPr>
          <w:p>
            <w:pPr>
              <w:pStyle w:val="10"/>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8"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66.25</w:t>
            </w:r>
          </w:p>
        </w:tc>
        <w:tc>
          <w:tcPr>
            <w:tcW w:w="1361" w:type="dxa"/>
            <w:vAlign w:val="center"/>
          </w:tcPr>
          <w:p>
            <w:pPr>
              <w:pStyle w:val="17"/>
            </w:pPr>
            <w:r>
              <w:t>59.25</w:t>
            </w:r>
          </w:p>
        </w:tc>
        <w:tc>
          <w:tcPr>
            <w:tcW w:w="1361" w:type="dxa"/>
            <w:vAlign w:val="center"/>
          </w:tcPr>
          <w:p>
            <w:pPr>
              <w:pStyle w:val="17"/>
            </w:pPr>
            <w:r>
              <w:t>7.00</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201</w:t>
            </w:r>
          </w:p>
        </w:tc>
        <w:tc>
          <w:tcPr>
            <w:tcW w:w="4535" w:type="dxa"/>
            <w:vAlign w:val="center"/>
          </w:tcPr>
          <w:p>
            <w:pPr>
              <w:pStyle w:val="14"/>
            </w:pPr>
            <w:r>
              <w:t>一般公共服务支出</w:t>
            </w:r>
          </w:p>
        </w:tc>
        <w:tc>
          <w:tcPr>
            <w:tcW w:w="1361" w:type="dxa"/>
            <w:vAlign w:val="center"/>
          </w:tcPr>
          <w:p>
            <w:pPr>
              <w:pStyle w:val="13"/>
            </w:pPr>
            <w:r>
              <w:t>60.36</w:t>
            </w:r>
          </w:p>
        </w:tc>
        <w:tc>
          <w:tcPr>
            <w:tcW w:w="1361" w:type="dxa"/>
            <w:vAlign w:val="center"/>
          </w:tcPr>
          <w:p>
            <w:pPr>
              <w:pStyle w:val="13"/>
            </w:pPr>
            <w:r>
              <w:t>53.36</w:t>
            </w:r>
          </w:p>
        </w:tc>
        <w:tc>
          <w:tcPr>
            <w:tcW w:w="1361" w:type="dxa"/>
            <w:vAlign w:val="center"/>
          </w:tcPr>
          <w:p>
            <w:pPr>
              <w:pStyle w:val="13"/>
            </w:pPr>
            <w:r>
              <w:t>7.00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20131</w:t>
            </w:r>
          </w:p>
        </w:tc>
        <w:tc>
          <w:tcPr>
            <w:tcW w:w="4535" w:type="dxa"/>
            <w:vAlign w:val="center"/>
          </w:tcPr>
          <w:p>
            <w:pPr>
              <w:pStyle w:val="14"/>
            </w:pPr>
            <w:r>
              <w:t>党委办公厅（室）及相关机构事务</w:t>
            </w:r>
          </w:p>
        </w:tc>
        <w:tc>
          <w:tcPr>
            <w:tcW w:w="1361" w:type="dxa"/>
            <w:vAlign w:val="center"/>
          </w:tcPr>
          <w:p>
            <w:pPr>
              <w:pStyle w:val="13"/>
            </w:pPr>
            <w:r>
              <w:t>60.36</w:t>
            </w:r>
          </w:p>
        </w:tc>
        <w:tc>
          <w:tcPr>
            <w:tcW w:w="1361" w:type="dxa"/>
            <w:vAlign w:val="center"/>
          </w:tcPr>
          <w:p>
            <w:pPr>
              <w:pStyle w:val="13"/>
            </w:pPr>
            <w:r>
              <w:t>53.36</w:t>
            </w:r>
          </w:p>
        </w:tc>
        <w:tc>
          <w:tcPr>
            <w:tcW w:w="1361" w:type="dxa"/>
            <w:vAlign w:val="center"/>
          </w:tcPr>
          <w:p>
            <w:pPr>
              <w:pStyle w:val="13"/>
            </w:pPr>
            <w:r>
              <w:t>7.00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2013101</w:t>
            </w:r>
          </w:p>
        </w:tc>
        <w:tc>
          <w:tcPr>
            <w:tcW w:w="4535" w:type="dxa"/>
            <w:vAlign w:val="center"/>
          </w:tcPr>
          <w:p>
            <w:pPr>
              <w:pStyle w:val="14"/>
            </w:pPr>
            <w:r>
              <w:t>行政运行</w:t>
            </w:r>
          </w:p>
        </w:tc>
        <w:tc>
          <w:tcPr>
            <w:tcW w:w="1361" w:type="dxa"/>
            <w:vAlign w:val="center"/>
          </w:tcPr>
          <w:p>
            <w:pPr>
              <w:pStyle w:val="13"/>
            </w:pPr>
            <w:r>
              <w:t>53.36</w:t>
            </w:r>
          </w:p>
        </w:tc>
        <w:tc>
          <w:tcPr>
            <w:tcW w:w="1361" w:type="dxa"/>
            <w:vAlign w:val="center"/>
          </w:tcPr>
          <w:p>
            <w:pPr>
              <w:pStyle w:val="13"/>
            </w:pPr>
            <w:r>
              <w:t>53.36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2013102</w:t>
            </w:r>
          </w:p>
        </w:tc>
        <w:tc>
          <w:tcPr>
            <w:tcW w:w="4535" w:type="dxa"/>
            <w:vAlign w:val="center"/>
          </w:tcPr>
          <w:p>
            <w:pPr>
              <w:pStyle w:val="14"/>
            </w:pPr>
            <w:r>
              <w:t>一般行政管理事务</w:t>
            </w:r>
          </w:p>
        </w:tc>
        <w:tc>
          <w:tcPr>
            <w:tcW w:w="1361" w:type="dxa"/>
            <w:vAlign w:val="center"/>
          </w:tcPr>
          <w:p>
            <w:pPr>
              <w:pStyle w:val="13"/>
            </w:pPr>
            <w:r>
              <w:t>7.00</w:t>
            </w:r>
          </w:p>
        </w:tc>
        <w:tc>
          <w:tcPr>
            <w:tcW w:w="1361" w:type="dxa"/>
            <w:vAlign w:val="center"/>
          </w:tcPr>
          <w:p>
            <w:pPr>
              <w:pStyle w:val="13"/>
            </w:pPr>
          </w:p>
        </w:tc>
        <w:tc>
          <w:tcPr>
            <w:tcW w:w="1361" w:type="dxa"/>
            <w:vAlign w:val="center"/>
          </w:tcPr>
          <w:p>
            <w:pPr>
              <w:pStyle w:val="13"/>
            </w:pPr>
            <w:r>
              <w:t>7.00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3.86</w:t>
            </w:r>
          </w:p>
        </w:tc>
        <w:tc>
          <w:tcPr>
            <w:tcW w:w="1361" w:type="dxa"/>
            <w:vAlign w:val="center"/>
          </w:tcPr>
          <w:p>
            <w:pPr>
              <w:pStyle w:val="13"/>
            </w:pPr>
            <w:r>
              <w:t>3.86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3.86</w:t>
            </w:r>
          </w:p>
        </w:tc>
        <w:tc>
          <w:tcPr>
            <w:tcW w:w="1361" w:type="dxa"/>
            <w:vAlign w:val="center"/>
          </w:tcPr>
          <w:p>
            <w:pPr>
              <w:pStyle w:val="13"/>
            </w:pPr>
            <w:r>
              <w:t>3.86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2080501</w:t>
            </w:r>
          </w:p>
        </w:tc>
        <w:tc>
          <w:tcPr>
            <w:tcW w:w="4535" w:type="dxa"/>
            <w:vAlign w:val="center"/>
          </w:tcPr>
          <w:p>
            <w:pPr>
              <w:pStyle w:val="14"/>
            </w:pPr>
            <w:r>
              <w:t>行政单位离退休</w:t>
            </w:r>
          </w:p>
        </w:tc>
        <w:tc>
          <w:tcPr>
            <w:tcW w:w="1361" w:type="dxa"/>
            <w:vAlign w:val="center"/>
          </w:tcPr>
          <w:p>
            <w:pPr>
              <w:pStyle w:val="13"/>
            </w:pPr>
            <w:r>
              <w:t>3.86</w:t>
            </w:r>
          </w:p>
        </w:tc>
        <w:tc>
          <w:tcPr>
            <w:tcW w:w="1361" w:type="dxa"/>
            <w:vAlign w:val="center"/>
          </w:tcPr>
          <w:p>
            <w:pPr>
              <w:pStyle w:val="13"/>
            </w:pPr>
            <w:r>
              <w:t>3.86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2.03</w:t>
            </w:r>
          </w:p>
        </w:tc>
        <w:tc>
          <w:tcPr>
            <w:tcW w:w="1361" w:type="dxa"/>
            <w:vAlign w:val="center"/>
          </w:tcPr>
          <w:p>
            <w:pPr>
              <w:pStyle w:val="13"/>
            </w:pPr>
            <w:r>
              <w:t>2.03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2.03</w:t>
            </w:r>
          </w:p>
        </w:tc>
        <w:tc>
          <w:tcPr>
            <w:tcW w:w="1361" w:type="dxa"/>
            <w:vAlign w:val="center"/>
          </w:tcPr>
          <w:p>
            <w:pPr>
              <w:pStyle w:val="13"/>
            </w:pPr>
            <w:r>
              <w:t>2.03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2101199</w:t>
            </w:r>
          </w:p>
        </w:tc>
        <w:tc>
          <w:tcPr>
            <w:tcW w:w="4535" w:type="dxa"/>
            <w:vAlign w:val="center"/>
          </w:tcPr>
          <w:p>
            <w:pPr>
              <w:pStyle w:val="14"/>
            </w:pPr>
            <w:r>
              <w:t>其他行政事业单位医疗支出</w:t>
            </w:r>
          </w:p>
        </w:tc>
        <w:tc>
          <w:tcPr>
            <w:tcW w:w="1361" w:type="dxa"/>
            <w:vAlign w:val="center"/>
          </w:tcPr>
          <w:p>
            <w:pPr>
              <w:pStyle w:val="13"/>
            </w:pPr>
            <w:r>
              <w:t>2.03</w:t>
            </w:r>
          </w:p>
        </w:tc>
        <w:tc>
          <w:tcPr>
            <w:tcW w:w="1361" w:type="dxa"/>
            <w:vAlign w:val="center"/>
          </w:tcPr>
          <w:p>
            <w:pPr>
              <w:pStyle w:val="13"/>
            </w:pPr>
            <w:r>
              <w:t>2.03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286魏县县直工委</w:t>
            </w:r>
          </w:p>
        </w:tc>
        <w:tc>
          <w:tcPr>
            <w:tcW w:w="3402" w:type="dxa"/>
            <w:tcBorders>
              <w:top w:val="single" w:color="FFFFFF" w:sz="6" w:space="0"/>
              <w:left w:val="single" w:color="FFFFFF" w:sz="6" w:space="0"/>
              <w:right w:val="single" w:color="FFFFFF" w:sz="6" w:space="0"/>
            </w:tcBorders>
            <w:vAlign w:val="center"/>
          </w:tcPr>
          <w:p>
            <w:pPr>
              <w:pStyle w:val="10"/>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66.25</w:t>
            </w:r>
          </w:p>
        </w:tc>
        <w:tc>
          <w:tcPr>
            <w:tcW w:w="3402" w:type="dxa"/>
            <w:vAlign w:val="center"/>
          </w:tcPr>
          <w:p>
            <w:pPr>
              <w:pStyle w:val="14"/>
            </w:pPr>
            <w:r>
              <w:t>一、一般公共服务支出</w:t>
            </w:r>
          </w:p>
        </w:tc>
        <w:tc>
          <w:tcPr>
            <w:tcW w:w="1474" w:type="dxa"/>
            <w:vAlign w:val="center"/>
          </w:tcPr>
          <w:p>
            <w:pPr>
              <w:pStyle w:val="13"/>
            </w:pPr>
            <w:r>
              <w:t>60.36</w:t>
            </w:r>
          </w:p>
        </w:tc>
        <w:tc>
          <w:tcPr>
            <w:tcW w:w="1474" w:type="dxa"/>
            <w:vAlign w:val="center"/>
          </w:tcPr>
          <w:p>
            <w:pPr>
              <w:pStyle w:val="13"/>
            </w:pPr>
            <w:r>
              <w:t>60.36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3.86</w:t>
            </w:r>
          </w:p>
        </w:tc>
        <w:tc>
          <w:tcPr>
            <w:tcW w:w="1474" w:type="dxa"/>
            <w:vAlign w:val="center"/>
          </w:tcPr>
          <w:p>
            <w:pPr>
              <w:pStyle w:val="13"/>
            </w:pPr>
            <w:r>
              <w:t>3.86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2.03</w:t>
            </w:r>
          </w:p>
        </w:tc>
        <w:tc>
          <w:tcPr>
            <w:tcW w:w="1474" w:type="dxa"/>
            <w:vAlign w:val="center"/>
          </w:tcPr>
          <w:p>
            <w:pPr>
              <w:pStyle w:val="13"/>
            </w:pPr>
            <w:r>
              <w:t>2.03</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66.25</w:t>
            </w:r>
          </w:p>
        </w:tc>
        <w:tc>
          <w:tcPr>
            <w:tcW w:w="3402" w:type="dxa"/>
            <w:vAlign w:val="center"/>
          </w:tcPr>
          <w:p>
            <w:pPr>
              <w:pStyle w:val="16"/>
            </w:pPr>
            <w:r>
              <w:t>本年支出合计</w:t>
            </w:r>
          </w:p>
        </w:tc>
        <w:tc>
          <w:tcPr>
            <w:tcW w:w="1474" w:type="dxa"/>
            <w:vAlign w:val="center"/>
          </w:tcPr>
          <w:p>
            <w:pPr>
              <w:pStyle w:val="17"/>
            </w:pPr>
            <w:r>
              <w:t>66.25</w:t>
            </w:r>
          </w:p>
        </w:tc>
        <w:tc>
          <w:tcPr>
            <w:tcW w:w="1474" w:type="dxa"/>
            <w:vAlign w:val="center"/>
          </w:tcPr>
          <w:p>
            <w:pPr>
              <w:pStyle w:val="17"/>
            </w:pPr>
            <w:r>
              <w:t>66.25</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66.25</w:t>
            </w:r>
          </w:p>
        </w:tc>
        <w:tc>
          <w:tcPr>
            <w:tcW w:w="3402" w:type="dxa"/>
            <w:vAlign w:val="center"/>
          </w:tcPr>
          <w:p>
            <w:pPr>
              <w:pStyle w:val="16"/>
            </w:pPr>
            <w:r>
              <w:t>支出总计</w:t>
            </w:r>
          </w:p>
        </w:tc>
        <w:tc>
          <w:tcPr>
            <w:tcW w:w="1474" w:type="dxa"/>
            <w:vAlign w:val="center"/>
          </w:tcPr>
          <w:p>
            <w:pPr>
              <w:pStyle w:val="17"/>
            </w:pPr>
            <w:r>
              <w:t>66.25</w:t>
            </w:r>
          </w:p>
        </w:tc>
        <w:tc>
          <w:tcPr>
            <w:tcW w:w="1474" w:type="dxa"/>
            <w:vAlign w:val="center"/>
          </w:tcPr>
          <w:p>
            <w:pPr>
              <w:pStyle w:val="17"/>
            </w:pPr>
            <w:r>
              <w:t>66.25</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286魏县县直工委</w:t>
            </w:r>
          </w:p>
        </w:tc>
        <w:tc>
          <w:tcPr>
            <w:tcW w:w="2551" w:type="dxa"/>
            <w:tcBorders>
              <w:top w:val="single" w:color="FFFFFF" w:sz="6" w:space="0"/>
              <w:left w:val="single" w:color="FFFFFF" w:sz="6" w:space="0"/>
              <w:right w:val="single" w:color="FFFFFF" w:sz="6" w:space="0"/>
            </w:tcBorders>
            <w:vAlign w:val="center"/>
          </w:tcPr>
          <w:p>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66.25</w:t>
            </w:r>
          </w:p>
        </w:tc>
        <w:tc>
          <w:tcPr>
            <w:tcW w:w="2551" w:type="dxa"/>
            <w:vAlign w:val="center"/>
          </w:tcPr>
          <w:p>
            <w:pPr>
              <w:pStyle w:val="17"/>
            </w:pPr>
            <w:r>
              <w:t>59.25</w:t>
            </w:r>
          </w:p>
        </w:tc>
        <w:tc>
          <w:tcPr>
            <w:tcW w:w="2551" w:type="dxa"/>
            <w:vAlign w:val="center"/>
          </w:tcPr>
          <w:p>
            <w:pPr>
              <w:pStyle w:val="17"/>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201</w:t>
            </w:r>
          </w:p>
        </w:tc>
        <w:tc>
          <w:tcPr>
            <w:tcW w:w="4535" w:type="dxa"/>
            <w:vAlign w:val="center"/>
          </w:tcPr>
          <w:p>
            <w:pPr>
              <w:pStyle w:val="14"/>
            </w:pPr>
            <w:r>
              <w:t>一般公共服务支出</w:t>
            </w:r>
          </w:p>
        </w:tc>
        <w:tc>
          <w:tcPr>
            <w:tcW w:w="2551" w:type="dxa"/>
            <w:vAlign w:val="center"/>
          </w:tcPr>
          <w:p>
            <w:pPr>
              <w:pStyle w:val="13"/>
            </w:pPr>
            <w:r>
              <w:t>60.36</w:t>
            </w:r>
          </w:p>
        </w:tc>
        <w:tc>
          <w:tcPr>
            <w:tcW w:w="2551" w:type="dxa"/>
            <w:vAlign w:val="center"/>
          </w:tcPr>
          <w:p>
            <w:pPr>
              <w:pStyle w:val="13"/>
            </w:pPr>
            <w:r>
              <w:t>53.36</w:t>
            </w:r>
          </w:p>
        </w:tc>
        <w:tc>
          <w:tcPr>
            <w:tcW w:w="2551" w:type="dxa"/>
            <w:vAlign w:val="center"/>
          </w:tcPr>
          <w:p>
            <w:pPr>
              <w:pStyle w:val="13"/>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20131</w:t>
            </w:r>
          </w:p>
        </w:tc>
        <w:tc>
          <w:tcPr>
            <w:tcW w:w="4535" w:type="dxa"/>
            <w:vAlign w:val="center"/>
          </w:tcPr>
          <w:p>
            <w:pPr>
              <w:pStyle w:val="14"/>
            </w:pPr>
            <w:r>
              <w:t>党委办公厅（室）及相关机构事务</w:t>
            </w:r>
          </w:p>
        </w:tc>
        <w:tc>
          <w:tcPr>
            <w:tcW w:w="2551" w:type="dxa"/>
            <w:vAlign w:val="center"/>
          </w:tcPr>
          <w:p>
            <w:pPr>
              <w:pStyle w:val="13"/>
            </w:pPr>
            <w:r>
              <w:t>60.36</w:t>
            </w:r>
          </w:p>
        </w:tc>
        <w:tc>
          <w:tcPr>
            <w:tcW w:w="2551" w:type="dxa"/>
            <w:vAlign w:val="center"/>
          </w:tcPr>
          <w:p>
            <w:pPr>
              <w:pStyle w:val="13"/>
            </w:pPr>
            <w:r>
              <w:t>53.36</w:t>
            </w:r>
          </w:p>
        </w:tc>
        <w:tc>
          <w:tcPr>
            <w:tcW w:w="2551" w:type="dxa"/>
            <w:vAlign w:val="center"/>
          </w:tcPr>
          <w:p>
            <w:pPr>
              <w:pStyle w:val="13"/>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2013101</w:t>
            </w:r>
          </w:p>
        </w:tc>
        <w:tc>
          <w:tcPr>
            <w:tcW w:w="4535" w:type="dxa"/>
            <w:vAlign w:val="center"/>
          </w:tcPr>
          <w:p>
            <w:pPr>
              <w:pStyle w:val="14"/>
            </w:pPr>
            <w:r>
              <w:t>行政运行</w:t>
            </w:r>
          </w:p>
        </w:tc>
        <w:tc>
          <w:tcPr>
            <w:tcW w:w="2551" w:type="dxa"/>
            <w:vAlign w:val="center"/>
          </w:tcPr>
          <w:p>
            <w:pPr>
              <w:pStyle w:val="13"/>
            </w:pPr>
            <w:r>
              <w:t>53.36</w:t>
            </w:r>
          </w:p>
        </w:tc>
        <w:tc>
          <w:tcPr>
            <w:tcW w:w="2551" w:type="dxa"/>
            <w:vAlign w:val="center"/>
          </w:tcPr>
          <w:p>
            <w:pPr>
              <w:pStyle w:val="13"/>
            </w:pPr>
            <w:r>
              <w:t>53.36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2013102</w:t>
            </w:r>
          </w:p>
        </w:tc>
        <w:tc>
          <w:tcPr>
            <w:tcW w:w="4535" w:type="dxa"/>
            <w:vAlign w:val="center"/>
          </w:tcPr>
          <w:p>
            <w:pPr>
              <w:pStyle w:val="14"/>
            </w:pPr>
            <w:r>
              <w:t>一般行政管理事务</w:t>
            </w:r>
          </w:p>
        </w:tc>
        <w:tc>
          <w:tcPr>
            <w:tcW w:w="2551" w:type="dxa"/>
            <w:vAlign w:val="center"/>
          </w:tcPr>
          <w:p>
            <w:pPr>
              <w:pStyle w:val="13"/>
            </w:pPr>
            <w:r>
              <w:t>7.00</w:t>
            </w:r>
          </w:p>
        </w:tc>
        <w:tc>
          <w:tcPr>
            <w:tcW w:w="2551" w:type="dxa"/>
            <w:vAlign w:val="center"/>
          </w:tcPr>
          <w:p>
            <w:pPr>
              <w:pStyle w:val="13"/>
            </w:pPr>
          </w:p>
        </w:tc>
        <w:tc>
          <w:tcPr>
            <w:tcW w:w="2551" w:type="dxa"/>
            <w:vAlign w:val="center"/>
          </w:tcPr>
          <w:p>
            <w:pPr>
              <w:pStyle w:val="13"/>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3.86</w:t>
            </w:r>
          </w:p>
        </w:tc>
        <w:tc>
          <w:tcPr>
            <w:tcW w:w="2551" w:type="dxa"/>
            <w:vAlign w:val="center"/>
          </w:tcPr>
          <w:p>
            <w:pPr>
              <w:pStyle w:val="13"/>
            </w:pPr>
            <w:r>
              <w:t>3.86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3.86</w:t>
            </w:r>
          </w:p>
        </w:tc>
        <w:tc>
          <w:tcPr>
            <w:tcW w:w="2551" w:type="dxa"/>
            <w:vAlign w:val="center"/>
          </w:tcPr>
          <w:p>
            <w:pPr>
              <w:pStyle w:val="13"/>
            </w:pPr>
            <w:r>
              <w:t>3.86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2080501</w:t>
            </w:r>
          </w:p>
        </w:tc>
        <w:tc>
          <w:tcPr>
            <w:tcW w:w="4535" w:type="dxa"/>
            <w:vAlign w:val="center"/>
          </w:tcPr>
          <w:p>
            <w:pPr>
              <w:pStyle w:val="14"/>
            </w:pPr>
            <w:r>
              <w:t>行政单位离退休</w:t>
            </w:r>
          </w:p>
        </w:tc>
        <w:tc>
          <w:tcPr>
            <w:tcW w:w="2551" w:type="dxa"/>
            <w:vAlign w:val="center"/>
          </w:tcPr>
          <w:p>
            <w:pPr>
              <w:pStyle w:val="13"/>
            </w:pPr>
            <w:r>
              <w:t>3.86</w:t>
            </w:r>
          </w:p>
        </w:tc>
        <w:tc>
          <w:tcPr>
            <w:tcW w:w="2551" w:type="dxa"/>
            <w:vAlign w:val="center"/>
          </w:tcPr>
          <w:p>
            <w:pPr>
              <w:pStyle w:val="13"/>
            </w:pPr>
            <w:r>
              <w:t>3.86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2.03</w:t>
            </w:r>
          </w:p>
        </w:tc>
        <w:tc>
          <w:tcPr>
            <w:tcW w:w="2551" w:type="dxa"/>
            <w:vAlign w:val="center"/>
          </w:tcPr>
          <w:p>
            <w:pPr>
              <w:pStyle w:val="13"/>
            </w:pPr>
            <w:r>
              <w:t>2.03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2.03</w:t>
            </w:r>
          </w:p>
        </w:tc>
        <w:tc>
          <w:tcPr>
            <w:tcW w:w="2551" w:type="dxa"/>
            <w:vAlign w:val="center"/>
          </w:tcPr>
          <w:p>
            <w:pPr>
              <w:pStyle w:val="13"/>
            </w:pPr>
            <w:r>
              <w:t>2.03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2101199</w:t>
            </w:r>
          </w:p>
        </w:tc>
        <w:tc>
          <w:tcPr>
            <w:tcW w:w="4535" w:type="dxa"/>
            <w:vAlign w:val="center"/>
          </w:tcPr>
          <w:p>
            <w:pPr>
              <w:pStyle w:val="14"/>
            </w:pPr>
            <w:r>
              <w:t>其他行政事业单位医疗支出</w:t>
            </w:r>
          </w:p>
        </w:tc>
        <w:tc>
          <w:tcPr>
            <w:tcW w:w="2551" w:type="dxa"/>
            <w:vAlign w:val="center"/>
          </w:tcPr>
          <w:p>
            <w:pPr>
              <w:pStyle w:val="13"/>
            </w:pPr>
            <w:r>
              <w:t>2.03</w:t>
            </w:r>
          </w:p>
        </w:tc>
        <w:tc>
          <w:tcPr>
            <w:tcW w:w="2551" w:type="dxa"/>
            <w:vAlign w:val="center"/>
          </w:tcPr>
          <w:p>
            <w:pPr>
              <w:pStyle w:val="13"/>
            </w:pPr>
            <w:r>
              <w:t>2.03</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286魏县县直工委</w:t>
            </w:r>
          </w:p>
        </w:tc>
        <w:tc>
          <w:tcPr>
            <w:tcW w:w="2551" w:type="dxa"/>
            <w:tcBorders>
              <w:top w:val="single" w:color="FFFFFF" w:sz="6" w:space="0"/>
              <w:left w:val="single" w:color="FFFFFF" w:sz="6" w:space="0"/>
              <w:right w:val="single" w:color="FFFFFF" w:sz="6" w:space="0"/>
            </w:tcBorders>
            <w:vAlign w:val="center"/>
          </w:tcPr>
          <w:p>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4"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59.25</w:t>
            </w:r>
          </w:p>
        </w:tc>
        <w:tc>
          <w:tcPr>
            <w:tcW w:w="2551" w:type="dxa"/>
            <w:vAlign w:val="center"/>
          </w:tcPr>
          <w:p>
            <w:pPr>
              <w:pStyle w:val="17"/>
            </w:pPr>
            <w:r>
              <w:t>52.31</w:t>
            </w:r>
          </w:p>
        </w:tc>
        <w:tc>
          <w:tcPr>
            <w:tcW w:w="2551" w:type="dxa"/>
            <w:vAlign w:val="center"/>
          </w:tcPr>
          <w:p>
            <w:pPr>
              <w:pStyle w:val="17"/>
            </w:pPr>
            <w:r>
              <w:t>6.94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46.81</w:t>
            </w:r>
          </w:p>
        </w:tc>
        <w:tc>
          <w:tcPr>
            <w:tcW w:w="2551" w:type="dxa"/>
            <w:vAlign w:val="center"/>
          </w:tcPr>
          <w:p>
            <w:pPr>
              <w:pStyle w:val="13"/>
            </w:pPr>
            <w:r>
              <w:t>46.81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28.57</w:t>
            </w:r>
          </w:p>
        </w:tc>
        <w:tc>
          <w:tcPr>
            <w:tcW w:w="2551" w:type="dxa"/>
            <w:vAlign w:val="center"/>
          </w:tcPr>
          <w:p>
            <w:pPr>
              <w:pStyle w:val="13"/>
            </w:pPr>
            <w:r>
              <w:t>28.57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0.16</w:t>
            </w:r>
          </w:p>
        </w:tc>
        <w:tc>
          <w:tcPr>
            <w:tcW w:w="2551" w:type="dxa"/>
            <w:vAlign w:val="center"/>
          </w:tcPr>
          <w:p>
            <w:pPr>
              <w:pStyle w:val="13"/>
            </w:pPr>
            <w:r>
              <w:t>0.16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1.64</w:t>
            </w:r>
          </w:p>
        </w:tc>
        <w:tc>
          <w:tcPr>
            <w:tcW w:w="2551" w:type="dxa"/>
            <w:vAlign w:val="center"/>
          </w:tcPr>
          <w:p>
            <w:pPr>
              <w:pStyle w:val="13"/>
            </w:pPr>
            <w:r>
              <w:t>1.64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4.23</w:t>
            </w:r>
          </w:p>
        </w:tc>
        <w:tc>
          <w:tcPr>
            <w:tcW w:w="2551" w:type="dxa"/>
            <w:vAlign w:val="center"/>
          </w:tcPr>
          <w:p>
            <w:pPr>
              <w:pStyle w:val="13"/>
            </w:pPr>
            <w:r>
              <w:t>4.23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pStyle w:val="13"/>
            </w:pPr>
            <w:r>
              <w:t>2.11</w:t>
            </w:r>
          </w:p>
        </w:tc>
        <w:tc>
          <w:tcPr>
            <w:tcW w:w="2551" w:type="dxa"/>
            <w:vAlign w:val="center"/>
          </w:tcPr>
          <w:p>
            <w:pPr>
              <w:pStyle w:val="13"/>
            </w:pPr>
            <w:r>
              <w:t>2.11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2.03</w:t>
            </w:r>
          </w:p>
        </w:tc>
        <w:tc>
          <w:tcPr>
            <w:tcW w:w="2551" w:type="dxa"/>
            <w:vAlign w:val="center"/>
          </w:tcPr>
          <w:p>
            <w:pPr>
              <w:pStyle w:val="13"/>
            </w:pPr>
            <w:r>
              <w:t>2.03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30199</w:t>
            </w:r>
          </w:p>
        </w:tc>
        <w:tc>
          <w:tcPr>
            <w:tcW w:w="4535" w:type="dxa"/>
            <w:vAlign w:val="center"/>
          </w:tcPr>
          <w:p>
            <w:pPr>
              <w:pStyle w:val="14"/>
            </w:pPr>
            <w:r>
              <w:t>其他工资福利支出</w:t>
            </w:r>
          </w:p>
        </w:tc>
        <w:tc>
          <w:tcPr>
            <w:tcW w:w="2551" w:type="dxa"/>
            <w:vAlign w:val="center"/>
          </w:tcPr>
          <w:p>
            <w:pPr>
              <w:pStyle w:val="13"/>
            </w:pPr>
            <w:r>
              <w:t>8.07</w:t>
            </w:r>
          </w:p>
        </w:tc>
        <w:tc>
          <w:tcPr>
            <w:tcW w:w="2551" w:type="dxa"/>
            <w:vAlign w:val="center"/>
          </w:tcPr>
          <w:p>
            <w:pPr>
              <w:pStyle w:val="13"/>
            </w:pPr>
            <w:r>
              <w:t>8.07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6.94</w:t>
            </w:r>
          </w:p>
        </w:tc>
        <w:tc>
          <w:tcPr>
            <w:tcW w:w="2551" w:type="dxa"/>
            <w:vAlign w:val="center"/>
          </w:tcPr>
          <w:p>
            <w:pPr>
              <w:pStyle w:val="13"/>
            </w:pPr>
          </w:p>
        </w:tc>
        <w:tc>
          <w:tcPr>
            <w:tcW w:w="2551" w:type="dxa"/>
            <w:vAlign w:val="center"/>
          </w:tcPr>
          <w:p>
            <w:pPr>
              <w:pStyle w:val="13"/>
            </w:pPr>
            <w:r>
              <w:t>6.94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4.00</w:t>
            </w:r>
          </w:p>
        </w:tc>
        <w:tc>
          <w:tcPr>
            <w:tcW w:w="2551" w:type="dxa"/>
            <w:vAlign w:val="center"/>
          </w:tcPr>
          <w:p>
            <w:pPr>
              <w:pStyle w:val="13"/>
            </w:pPr>
          </w:p>
        </w:tc>
        <w:tc>
          <w:tcPr>
            <w:tcW w:w="2551" w:type="dxa"/>
            <w:vAlign w:val="center"/>
          </w:tcPr>
          <w:p>
            <w:pPr>
              <w:pStyle w:val="13"/>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2.94</w:t>
            </w:r>
          </w:p>
        </w:tc>
        <w:tc>
          <w:tcPr>
            <w:tcW w:w="2551" w:type="dxa"/>
            <w:vAlign w:val="center"/>
          </w:tcPr>
          <w:p>
            <w:pPr>
              <w:pStyle w:val="13"/>
            </w:pPr>
          </w:p>
        </w:tc>
        <w:tc>
          <w:tcPr>
            <w:tcW w:w="2551" w:type="dxa"/>
            <w:vAlign w:val="center"/>
          </w:tcPr>
          <w:p>
            <w:pPr>
              <w:pStyle w:val="13"/>
            </w:pPr>
            <w:r>
              <w:t>2.94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5.50</w:t>
            </w:r>
          </w:p>
        </w:tc>
        <w:tc>
          <w:tcPr>
            <w:tcW w:w="2551" w:type="dxa"/>
            <w:vAlign w:val="center"/>
          </w:tcPr>
          <w:p>
            <w:pPr>
              <w:pStyle w:val="13"/>
            </w:pPr>
            <w:r>
              <w:t>5.50</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3.86</w:t>
            </w:r>
          </w:p>
        </w:tc>
        <w:tc>
          <w:tcPr>
            <w:tcW w:w="2551" w:type="dxa"/>
            <w:vAlign w:val="center"/>
          </w:tcPr>
          <w:p>
            <w:pPr>
              <w:pStyle w:val="13"/>
            </w:pPr>
            <w:r>
              <w:t>3.86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1.64</w:t>
            </w:r>
          </w:p>
        </w:tc>
        <w:tc>
          <w:tcPr>
            <w:tcW w:w="2551" w:type="dxa"/>
            <w:vAlign w:val="center"/>
          </w:tcPr>
          <w:p>
            <w:pPr>
              <w:pStyle w:val="13"/>
            </w:pPr>
            <w:r>
              <w:t>1.64</w:t>
            </w:r>
          </w:p>
        </w:tc>
        <w:tc>
          <w:tcPr>
            <w:tcW w:w="2551" w:type="dxa"/>
            <w:vAlign w:val="center"/>
          </w:tcPr>
          <w:p>
            <w:pPr>
              <w:pStyle w:val="13"/>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286魏县县直工委</w:t>
            </w:r>
          </w:p>
        </w:tc>
        <w:tc>
          <w:tcPr>
            <w:tcW w:w="2551" w:type="dxa"/>
            <w:tcBorders>
              <w:top w:val="single" w:color="FFFFFF" w:sz="6" w:space="0"/>
              <w:left w:val="single" w:color="FFFFFF" w:sz="6" w:space="0"/>
              <w:right w:val="single" w:color="FFFFFF" w:sz="6" w:space="0"/>
            </w:tcBorders>
            <w:vAlign w:val="center"/>
          </w:tcPr>
          <w:p>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286魏县县直工委</w:t>
            </w:r>
          </w:p>
        </w:tc>
        <w:tc>
          <w:tcPr>
            <w:tcW w:w="2551" w:type="dxa"/>
            <w:tcBorders>
              <w:top w:val="single" w:color="FFFFFF" w:sz="6" w:space="0"/>
              <w:left w:val="single" w:color="FFFFFF" w:sz="6" w:space="0"/>
              <w:right w:val="single" w:color="FFFFFF" w:sz="6" w:space="0"/>
            </w:tcBorders>
            <w:vAlign w:val="center"/>
          </w:tcPr>
          <w:p>
            <w:pPr>
              <w:pStyle w:val="10"/>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1"/>
            </w:pPr>
            <w:r>
              <w:t>286魏县县直工委</w:t>
            </w:r>
          </w:p>
        </w:tc>
        <w:tc>
          <w:tcPr>
            <w:tcW w:w="2381" w:type="dxa"/>
            <w:tcBorders>
              <w:top w:val="single" w:color="FFFFFF" w:sz="6" w:space="0"/>
              <w:left w:val="single" w:color="FFFFFF" w:sz="6" w:space="0"/>
              <w:right w:val="single" w:color="FFFFFF" w:sz="6" w:space="0"/>
            </w:tcBorders>
            <w:vAlign w:val="center"/>
          </w:tcPr>
          <w:p>
            <w:pPr>
              <w:pStyle w:val="10"/>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p>
        </w:tc>
        <w:tc>
          <w:tcPr>
            <w:tcW w:w="3798" w:type="dxa"/>
            <w:vAlign w:val="center"/>
          </w:tcPr>
          <w:p>
            <w:pPr>
              <w:pStyle w:val="14"/>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ind w:firstLine="420"/>
      </w:pPr>
      <w:r>
        <w:rPr>
          <w:rFonts w:ascii="方正书宋_GBK" w:hAnsi="方正书宋_GBK" w:eastAsia="方正书宋_GBK" w:cs="方正书宋_GBK"/>
          <w:color w:val="000000"/>
          <w:sz w:val="21"/>
        </w:rPr>
        <w:t>注：无财政拨款“三公”经费支出表预算，空表列示。</w:t>
      </w:r>
    </w:p>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魏县县直工委2022年部门预算信息公开情况说明</w:t>
      </w:r>
    </w:p>
    <w:p>
      <w:pPr>
        <w:jc w:val="center"/>
      </w:pPr>
      <w:r>
        <w:rPr>
          <w:rFonts w:ascii="方正小标宋_GBK" w:hAnsi="方正小标宋_GBK" w:eastAsia="方正小标宋_GBK" w:cs="方正小标宋_GBK"/>
          <w:color w:val="000000"/>
          <w:sz w:val="44"/>
        </w:rPr>
        <w:t>魏县县直工委2022年部门预算信息公开情况说明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、《地方预决算公开操作规程》和《关于进一步推进预算公开工作的实施意见》规定，现将魏县县直工委2022年部门预算公开如下：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9"/>
        <w:rPr>
          <w:rFonts w:hint="eastAsia"/>
          <w:lang w:eastAsia="zh-CN"/>
        </w:rPr>
      </w:pPr>
      <w:r>
        <w:t>中共魏县县委县直机关工作委员会（简称县直工委）是负责县直党的建设工作的县委派出机构。主要职责是领导和管理县直机关各级党组织；指导和审批县直单位党组织的设置、隶属关系和直属单位党组织成员职务任免；指导县直单位党组织抓好思想、组织、作风建设和党员干部的政治理论培训；指导县直机关党的组织开展活动；负责县直单位党员管理，搞好党建目标管理；负责县直机关发展党员、党费收缴、党员统计、组织关系转接、县直武装等日常业务工作。主要职责有：</w:t>
      </w:r>
    </w:p>
    <w:p>
      <w:pPr>
        <w:pStyle w:val="19"/>
      </w:pPr>
      <w:r>
        <w:t>1、贯彻执行《中国共产党党和国家机关基层组织工作条例》，规划县直机关党的建设，分类指导县直各部门机关、企业、事业单位党的建设工作。</w:t>
      </w:r>
    </w:p>
    <w:p>
      <w:pPr>
        <w:pStyle w:val="19"/>
      </w:pPr>
      <w:r>
        <w:t>2、负责县直机关各级党组织的设立和撤并；负责审批由选举产生的党的基层委员会、总支部委员会、支部委员会书记、副书记；对县直机关党组织专职书记、副书记、在任期内的调整，提出意见；考察任命县直机关下属支部委员会书记、副书记。</w:t>
      </w:r>
    </w:p>
    <w:p>
      <w:pPr>
        <w:pStyle w:val="19"/>
      </w:pPr>
      <w:r>
        <w:t>3、指导县直机关党组织对入党积极分子进行教育、培养、考察，审批预备党员，做好发展党员工作。</w:t>
      </w:r>
    </w:p>
    <w:p>
      <w:pPr>
        <w:pStyle w:val="19"/>
      </w:pPr>
      <w:r>
        <w:t>4、指导督促县直机关党组织对党员严格管理，严格党的组织生活，增强党内生活的原则性，健全党内生活制度。认真开展民主评议党员工作，表彰优秀党员，严肃处理不合格党员。负责办理党员组织关系转移手续和</w:t>
      </w:r>
      <w:r>
        <w:rPr>
          <w:rFonts w:hint="eastAsia"/>
          <w:lang w:eastAsia="zh-CN"/>
        </w:rPr>
        <w:t>党费交纳</w:t>
      </w:r>
      <w:r>
        <w:t>、管理和使用。</w:t>
      </w:r>
    </w:p>
    <w:p>
      <w:pPr>
        <w:pStyle w:val="19"/>
      </w:pPr>
      <w:r>
        <w:t>5、指导督促县直机关党组织实施党内监督，定期检查党员参加组织生活的情况，督促定期开好党员领导干部民主生活会，了解并掌握机关党员以及领导干部的思想、作风和工作情况，及时向县委反映，并采取措施处理。参与组织人事部门对县直机关领导班子、领导干部的考核考察和民主评议、提出意见。</w:t>
      </w:r>
    </w:p>
    <w:p>
      <w:pPr>
        <w:pStyle w:val="19"/>
      </w:pPr>
      <w:r>
        <w:t>6、指导督促县直机关党组织对党员进行党的理论、基本路线、方针政策教育，党的基本知识教育，学习掌握社会主义市场经济知识、科学文化知识、法律知识和各种业务知识，不断增强党性，提高素质。</w:t>
      </w:r>
    </w:p>
    <w:p>
      <w:pPr>
        <w:pStyle w:val="19"/>
      </w:pPr>
      <w:r>
        <w:t>7、指导督促县直机关党组织认真履行思想政治工作方面的职责，围绕党和国家重点工作部署以及本部门的业务工作，针对机关工作人员的思想政治状况，做好经常性的思想工作，帮助、引导机关工作人员树立正确的世界观、人生观、价值观，转变作风，更好地为基层为群众服务。</w:t>
      </w:r>
    </w:p>
    <w:p>
      <w:pPr>
        <w:pStyle w:val="19"/>
      </w:pPr>
      <w:r>
        <w:t>8、抓好县直机关党务工作人员队伍的配备及变动情况，提出意见和建议；不断培训，努力提高党务工作人员的思想政治素质和业务素质；建立健全党务工作运行机制，加强交流，提高机关党建工作水平。</w:t>
      </w:r>
    </w:p>
    <w:p>
      <w:pPr>
        <w:pStyle w:val="19"/>
      </w:pPr>
      <w:r>
        <w:t>9、领导县直纪委、县直武装部的工作，指导并督促其完成所担负的职责任务。</w:t>
      </w:r>
    </w:p>
    <w:p>
      <w:pPr>
        <w:pStyle w:val="19"/>
      </w:pPr>
      <w:r>
        <w:t>10、与各县直机关党组织加强沟通和联系，加强对机关党的工作的指导。</w:t>
      </w:r>
    </w:p>
    <w:p>
      <w:pPr>
        <w:pStyle w:val="19"/>
      </w:pPr>
      <w:r>
        <w:t>11、完成县委交办的任务。</w:t>
      </w:r>
    </w:p>
    <w:p>
      <w:pPr>
        <w:ind w:firstLine="640"/>
        <w:rPr>
          <w:rFonts w:hint="eastAsia" w:ascii="方正楷体_GBK" w:hAnsi="方正楷体_GBK" w:eastAsia="方正楷体_GBK" w:cs="方正楷体_GBK"/>
          <w:b/>
          <w:color w:val="000000"/>
          <w:sz w:val="32"/>
          <w:lang w:eastAsia="zh-CN"/>
        </w:rPr>
      </w:pP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魏县县直工委本级</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pStyle w:val="20"/>
      </w:pPr>
      <w:r>
        <w:t>按照预算管理有关规定，目前我县部门预算的编制实行综合预算管理，即全部收入和支出都反映在预算中。魏县县直工委机关及所属事业单位的收支包含在部门预算中。</w:t>
      </w:r>
    </w:p>
    <w:p>
      <w:pPr>
        <w:pStyle w:val="20"/>
      </w:pPr>
      <w:r>
        <w:t>1、收入说明：2022年收入预算共计6</w:t>
      </w:r>
      <w:r>
        <w:rPr>
          <w:rFonts w:hint="eastAsia"/>
          <w:lang w:eastAsia="zh-CN"/>
        </w:rPr>
        <w:t>6.25</w:t>
      </w:r>
      <w:r>
        <w:t>万元，全部为财政拨款收入。</w:t>
      </w:r>
    </w:p>
    <w:p>
      <w:pPr>
        <w:pStyle w:val="20"/>
      </w:pPr>
      <w:r>
        <w:t>2、支出说明：2022年支出预算共计6</w:t>
      </w:r>
      <w:r>
        <w:rPr>
          <w:rFonts w:hint="eastAsia"/>
          <w:lang w:eastAsia="zh-CN"/>
        </w:rPr>
        <w:t>6.25</w:t>
      </w:r>
      <w:r>
        <w:t>万元，其中：人员经费支出预算52.3</w:t>
      </w:r>
      <w:r>
        <w:rPr>
          <w:rFonts w:hint="eastAsia"/>
          <w:lang w:eastAsia="zh-CN"/>
        </w:rPr>
        <w:t>1</w:t>
      </w:r>
      <w:r>
        <w:t>万元，日常公用经费支出预算</w:t>
      </w:r>
      <w:r>
        <w:rPr>
          <w:rFonts w:hint="eastAsia"/>
          <w:lang w:eastAsia="zh-CN"/>
        </w:rPr>
        <w:t>6.94</w:t>
      </w:r>
      <w:r>
        <w:t>万元，项目支出7万元。</w:t>
      </w:r>
    </w:p>
    <w:p>
      <w:pPr>
        <w:pStyle w:val="20"/>
      </w:pPr>
      <w:r>
        <w:t>3、比上年增减情况：经过对比测算，2022年财政拨款预算比2021年减少15.72万元。其中：人员经费部分减少了11.72万元，主要原因是人员减少1人；公用经费减少1万元，主要原因是我县按照“过紧日子”思想要求，对一般性支出进行了压减；项目经费减少3万元，主要原因是减少了防疫经费的支出。</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21"/>
      </w:pPr>
      <w:r>
        <w:t>机关运行经费安排</w:t>
      </w:r>
      <w:r>
        <w:rPr>
          <w:rFonts w:hint="eastAsia"/>
          <w:lang w:eastAsia="zh-CN"/>
        </w:rPr>
        <w:t>6.97</w:t>
      </w:r>
      <w:r>
        <w:t>万元。机关运行经费主要用于保证正常办公的基本需要和维持单位日常业务运转，包括：办公费、邮电费、差旅费、福利费、手续费、电脑耗材、公务接待费、公务用车租车费和离退休干部经费、大学生见习岗位费用支出等。</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2"/>
      </w:pPr>
      <w:r>
        <w:t>2022年，财政拨款“三公”经费预算安排0万元</w:t>
      </w:r>
      <w:r>
        <w:rPr>
          <w:rFonts w:hint="eastAsia"/>
          <w:lang w:eastAsia="zh-CN"/>
        </w:rPr>
        <w:t>。</w:t>
      </w:r>
      <w:r>
        <w:t>其中</w:t>
      </w:r>
      <w:r>
        <w:rPr>
          <w:rFonts w:hint="eastAsia"/>
          <w:lang w:eastAsia="zh-CN"/>
        </w:rPr>
        <w:t>：</w:t>
      </w:r>
      <w:r>
        <w:t>因公出国（境）费0万元；公务用车购置及运维费0万元（其中：公务用车购置费0万元，公务用车运行费0万元）；公务接待费0万元。与2021年相比，因公出国（境）费0万元，与上年持平；公务用车运行费0万元，与上年持平；公务接待费0万元，与上年持平。原因是我单位严格按照政府过</w:t>
      </w:r>
      <w:r>
        <w:rPr>
          <w:rFonts w:hint="eastAsia"/>
          <w:lang w:eastAsia="zh-CN"/>
        </w:rPr>
        <w:t>“</w:t>
      </w:r>
      <w:r>
        <w:t>紧日子</w:t>
      </w:r>
      <w:r>
        <w:rPr>
          <w:rFonts w:hint="eastAsia"/>
          <w:lang w:eastAsia="zh-CN"/>
        </w:rPr>
        <w:t>”</w:t>
      </w:r>
      <w:r>
        <w:t>的要求，从严控制</w:t>
      </w:r>
      <w:r>
        <w:rPr>
          <w:rFonts w:hint="eastAsia"/>
          <w:lang w:eastAsia="zh-CN"/>
        </w:rPr>
        <w:t>“</w:t>
      </w:r>
      <w:r>
        <w:t>三公</w:t>
      </w:r>
      <w:r>
        <w:rPr>
          <w:rFonts w:hint="eastAsia"/>
          <w:lang w:eastAsia="zh-CN"/>
        </w:rPr>
        <w:t>”</w:t>
      </w:r>
      <w:r>
        <w:t>等一般性支出，对可以压减的一律压减，未予以安排。</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3"/>
      </w:pPr>
      <w:r>
        <w:t>（1）统一组织、规划、部署县直机关党的工作，提出加强和改进机关党的建设的意见和建议，研究制定工作规划，并抓好组织实施。</w:t>
      </w:r>
    </w:p>
    <w:p>
      <w:pPr>
        <w:pStyle w:val="23"/>
      </w:pPr>
      <w:r>
        <w:t>（2）指导县直机关党的政治建设、思想建设、组织建设、作风建设、纪律建设，把制度建设贯穿其中，深入推进反腐败斗争。</w:t>
      </w:r>
    </w:p>
    <w:p>
      <w:pPr>
        <w:pStyle w:val="23"/>
      </w:pPr>
      <w:r>
        <w:t>（3）指导县直机关各级党组织和广大党员学习马克思列宁主义、毛泽东思想、邓小平理论、“三个代表”重要思想、科学发展观、习近平新时代中国特色社会主义思想。</w:t>
      </w:r>
    </w:p>
    <w:p>
      <w:pPr>
        <w:pStyle w:val="23"/>
      </w:pPr>
      <w:r>
        <w:t>（4）对县直机关各级党组织、党员领导干部落实党建责任制、遵守政治纪律和政治规矩情况进行监督检查，并向县委报告。</w:t>
      </w:r>
    </w:p>
    <w:p>
      <w:pPr>
        <w:pStyle w:val="23"/>
      </w:pPr>
      <w:r>
        <w:t>（5）指导县直机关各级党组织实施对党员特别是党员领导干部的监督和管理，定期了解各部门党员和群众对领导干部的意见，及时向县委反映各部门领导班子、领导干部的情况。</w:t>
      </w:r>
    </w:p>
    <w:p>
      <w:pPr>
        <w:pStyle w:val="23"/>
      </w:pPr>
      <w:r>
        <w:t>（6）配合县委有关部门抓好县直机关各部门领导班子思想政治建设，参与对党员领导干部民主生活会和县直机关各部门党组（党委）理论学习中心组学习的督促检查和指导，了解掌握情况，按规定报送情况报告。</w:t>
      </w:r>
    </w:p>
    <w:p>
      <w:pPr>
        <w:pStyle w:val="23"/>
      </w:pPr>
      <w:r>
        <w:t>（7）督促指导县直机关各部门机关党委（总支、支部）按期换届，审批关于召开党员大会或党员代表大会的请示，审批县直机关各部门机关党委（总支、支部）和机关纪委领导班子的组成及书记、副书记的任免。</w:t>
      </w:r>
    </w:p>
    <w:p>
      <w:pPr>
        <w:pStyle w:val="23"/>
      </w:pPr>
      <w:r>
        <w:t>（8）指导党组织加强基层组织建设，做好党员发展、教育和管理等工作。</w:t>
      </w:r>
    </w:p>
    <w:p>
      <w:pPr>
        <w:pStyle w:val="23"/>
      </w:pPr>
      <w:r>
        <w:t>（9）领导县直机关各部门机关党的纪律检</w:t>
      </w:r>
      <w:r>
        <w:rPr>
          <w:rFonts w:hint="eastAsia"/>
          <w:lang w:eastAsia="zh-CN"/>
        </w:rPr>
        <w:t>查</w:t>
      </w:r>
      <w:r>
        <w:t>工作。</w:t>
      </w:r>
    </w:p>
    <w:p>
      <w:pPr>
        <w:pStyle w:val="23"/>
      </w:pPr>
      <w:r>
        <w:t>（10）了解掌握县直机关工作人员的思想状况，指导县直机关各级党组织加强思想政治工作和精神文明建设。</w:t>
      </w:r>
    </w:p>
    <w:p>
      <w:pPr>
        <w:pStyle w:val="23"/>
      </w:pPr>
      <w:r>
        <w:t>（11）指导县直机关各级党组织做好党的群众工作、人民武装工作。</w:t>
      </w:r>
    </w:p>
    <w:p>
      <w:pPr>
        <w:pStyle w:val="23"/>
      </w:pPr>
      <w:r>
        <w:t>（12）协同有关部门指导、规划、协调、监督、检查县直机关干部教育培训工作，组织实施有关干部教育培训重点任务。</w:t>
      </w:r>
    </w:p>
    <w:p>
      <w:pPr>
        <w:pStyle w:val="23"/>
      </w:pPr>
      <w:r>
        <w:t>（13）协助有关部门协调县直机关各部门做好维护稳定、离退休干部和老龄等工作。</w:t>
      </w:r>
    </w:p>
    <w:p>
      <w:pPr>
        <w:pStyle w:val="23"/>
      </w:pPr>
      <w:r>
        <w:t>（14）完成县委交办的其他任务</w:t>
      </w:r>
    </w:p>
    <w:p>
      <w:pPr>
        <w:spacing w:line="500" w:lineRule="exact"/>
        <w:ind w:firstLine="560"/>
      </w:pPr>
      <w:r>
        <w:rPr>
          <w:rFonts w:eastAsia="方正仿宋_GBK"/>
          <w:color w:val="000000"/>
          <w:sz w:val="28"/>
        </w:rPr>
        <w:t>（二）分项绩效目标</w:t>
      </w:r>
    </w:p>
    <w:p>
      <w:pPr>
        <w:pStyle w:val="24"/>
      </w:pPr>
      <w:r>
        <w:t>（1）党建工作目标</w:t>
      </w:r>
      <w:r>
        <w:rPr>
          <w:rFonts w:hint="eastAsia"/>
          <w:lang w:eastAsia="zh-CN"/>
        </w:rPr>
        <w:t>：</w:t>
      </w:r>
    </w:p>
    <w:p>
      <w:pPr>
        <w:pStyle w:val="24"/>
      </w:pPr>
      <w:r>
        <w:t>加强党的思想政治建设、组织建设、县直机关党风廉政建设，做好县直机关统战、群团和县直人民武装工作。政治觉悟和思想道德素质明显提高。</w:t>
      </w:r>
    </w:p>
    <w:p>
      <w:pPr>
        <w:pStyle w:val="24"/>
      </w:pPr>
      <w:r>
        <w:t>（2）征兵工作目标</w:t>
      </w:r>
      <w:r>
        <w:rPr>
          <w:rFonts w:hint="eastAsia"/>
          <w:lang w:eastAsia="zh-CN"/>
        </w:rPr>
        <w:t>：</w:t>
      </w:r>
    </w:p>
    <w:p>
      <w:pPr>
        <w:pStyle w:val="24"/>
      </w:pPr>
      <w:r>
        <w:t>指导县直机关群团积极开展活动，做好征兵政审和人民武装工作，发挥各自职能作用，服务中心工作。教育引导县直干部职工学习国防知识，增强国防理念，支持国防建设，加强专武干部、国防教育宣传员培训和民兵组织建设，提高工作能力和民兵组织战斗力</w:t>
      </w:r>
    </w:p>
    <w:p>
      <w:pPr>
        <w:pStyle w:val="24"/>
      </w:pPr>
      <w:r>
        <w:t>（3）党风廉政建设</w:t>
      </w:r>
      <w:r>
        <w:rPr>
          <w:rFonts w:hint="eastAsia"/>
          <w:lang w:eastAsia="zh-CN"/>
        </w:rPr>
        <w:t>目标：</w:t>
      </w:r>
    </w:p>
    <w:p>
      <w:pPr>
        <w:pStyle w:val="24"/>
      </w:pPr>
      <w:r>
        <w:t>指导各级党组织加强学习型党组织建设，对党员特别是党员领导干部的监督，定期了解各部门党员和群众对部门领导干部的意见，及时向县委反映县直各部门领导班子和领导干部的情况和问题。</w:t>
      </w:r>
    </w:p>
    <w:p>
      <w:pPr>
        <w:spacing w:line="500" w:lineRule="exact"/>
        <w:ind w:firstLine="560"/>
      </w:pPr>
      <w:r>
        <w:rPr>
          <w:rFonts w:eastAsia="方正仿宋_GBK"/>
          <w:color w:val="000000"/>
          <w:sz w:val="28"/>
        </w:rPr>
        <w:t>（三）工作保障措施</w:t>
      </w:r>
    </w:p>
    <w:p>
      <w:pPr>
        <w:pStyle w:val="25"/>
      </w:pPr>
      <w:r>
        <w:t>（1）政治觉悟和思想道德素质明显提高。</w:t>
      </w:r>
    </w:p>
    <w:p>
      <w:pPr>
        <w:pStyle w:val="25"/>
      </w:pPr>
      <w:r>
        <w:t>（2）利用各种有效载体开展宣传教育活动,效果明显;学习制度得到普遍落实，各项活动普遍参加;精神文明创建活动参与广泛，公民道德素质、各项活动满意率明显提高。</w:t>
      </w:r>
    </w:p>
    <w:p>
      <w:pPr>
        <w:pStyle w:val="25"/>
      </w:pPr>
      <w:r>
        <w:t>（3）利用各种有效载体开展宣传教育活动,效果明显;学习制度得到普遍落实，各项活动普遍参加;精神文明创建活动参与广泛，公民道德素质、各项活动满意率明显提高</w:t>
      </w:r>
    </w:p>
    <w:p>
      <w:pPr>
        <w:pStyle w:val="25"/>
      </w:pPr>
      <w:r>
        <w:t>（4）利用各种有效载体开展宣传教育活动,效果明显;学习制度得到普遍落实，各项活动普遍参加;精神文明创建活动参与广泛，公民道德素质、各项活动满意率明显提高</w:t>
      </w:r>
    </w:p>
    <w:p>
      <w:pPr>
        <w:pStyle w:val="25"/>
        <w:rPr>
          <w:rFonts w:hint="eastAsia"/>
          <w:lang w:eastAsia="zh-CN"/>
        </w:rPr>
      </w:pPr>
      <w:r>
        <w:t>（5）党组织、党员作用发挥突出。</w:t>
      </w:r>
    </w:p>
    <w:p>
      <w:pPr>
        <w:ind w:firstLine="640"/>
        <w:rPr>
          <w:rFonts w:hint="eastAsia" w:ascii="方正楷体_GBK" w:hAnsi="方正楷体_GBK" w:eastAsia="方正楷体_GBK" w:cs="方正楷体_GBK"/>
          <w:b/>
          <w:color w:val="000000"/>
          <w:sz w:val="32"/>
          <w:lang w:eastAsia="zh-CN"/>
        </w:rPr>
      </w:pPr>
      <w:r>
        <w:rPr>
          <w:rFonts w:ascii="方正楷体_GBK" w:hAnsi="方正楷体_GBK" w:eastAsia="方正楷体_GBK" w:cs="方正楷体_GBK"/>
          <w:b/>
          <w:color w:val="000000"/>
          <w:sz w:val="32"/>
        </w:rPr>
        <w:t>第二部分  专项资金绩效目标</w:t>
      </w:r>
    </w:p>
    <w:p>
      <w:pPr>
        <w:ind w:firstLine="640"/>
        <w:rPr>
          <w:rFonts w:hint="eastAsia" w:ascii="方正楷体_GBK" w:hAnsi="方正楷体_GBK" w:eastAsia="方正楷体_GBK" w:cs="方正楷体_GBK"/>
          <w:b/>
          <w:color w:val="000000"/>
          <w:sz w:val="32"/>
          <w:lang w:eastAsia="zh-CN"/>
        </w:rPr>
      </w:pPr>
    </w:p>
    <w:p>
      <w:pPr>
        <w:ind w:firstLine="640"/>
        <w:rPr>
          <w:rFonts w:hint="eastAsia" w:asciiTheme="minorEastAsia" w:hAnsiTheme="minorEastAsia" w:eastAsiaTheme="minorEastAsia"/>
          <w:sz w:val="28"/>
          <w:szCs w:val="28"/>
          <w:lang w:eastAsia="zh-CN"/>
        </w:rPr>
        <w:sectPr>
          <w:pgSz w:w="16840" w:h="11900" w:orient="landscape"/>
          <w:pgMar w:top="1361" w:right="1020" w:bottom="1361" w:left="1020" w:header="720" w:footer="720" w:gutter="0"/>
          <w:cols w:space="720" w:num="1"/>
        </w:sectPr>
      </w:pPr>
      <w:r>
        <w:rPr>
          <w:rFonts w:hint="eastAsia" w:cs="方正楷体_GBK" w:asciiTheme="minorEastAsia" w:hAnsiTheme="minorEastAsia" w:eastAsiaTheme="minorEastAsia"/>
          <w:color w:val="000000"/>
          <w:sz w:val="28"/>
          <w:szCs w:val="28"/>
          <w:lang w:eastAsia="zh-CN"/>
        </w:rPr>
        <w:t>不涉级此项，无。</w:t>
      </w:r>
    </w:p>
    <w:p>
      <w:pPr>
        <w:ind w:firstLine="640"/>
        <w:rPr>
          <w:rFonts w:hint="eastAsia" w:ascii="方正楷体_GBK" w:hAnsi="方正楷体_GBK" w:eastAsia="方正楷体_GBK" w:cs="方正楷体_GBK"/>
          <w:b/>
          <w:color w:val="000000"/>
          <w:sz w:val="32"/>
          <w:lang w:eastAsia="zh-CN"/>
        </w:rPr>
      </w:pPr>
      <w:r>
        <w:rPr>
          <w:rFonts w:ascii="方正楷体_GBK" w:hAnsi="方正楷体_GBK" w:eastAsia="方正楷体_GBK" w:cs="方正楷体_GBK"/>
          <w:b/>
          <w:color w:val="000000"/>
          <w:sz w:val="32"/>
        </w:rPr>
        <w:t>第三部分  预算项目绩效目标</w:t>
      </w:r>
    </w:p>
    <w:p>
      <w:pPr>
        <w:ind w:firstLine="640"/>
      </w:pPr>
      <w:r>
        <w:rPr>
          <w:rFonts w:ascii="方正仿宋_GBK" w:hAnsi="方正仿宋_GBK" w:eastAsia="方正仿宋_GBK" w:cs="方正仿宋_GBK"/>
          <w:b/>
          <w:color w:val="000000"/>
          <w:sz w:val="28"/>
        </w:rPr>
        <w:t>1、2022年党建、廉政建设活动经费绩效目标表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1.保障县直机关党建业务顺利开展，党员发展培养达到相关要求，确保党员发展培训工作完成率达到90%，发展党员数量至少80名</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发展党员数量</w:t>
            </w:r>
          </w:p>
        </w:tc>
        <w:tc>
          <w:tcPr>
            <w:tcW w:w="2835" w:type="dxa"/>
            <w:vAlign w:val="center"/>
          </w:tcPr>
          <w:p>
            <w:pPr>
              <w:pStyle w:val="14"/>
            </w:pPr>
            <w:r>
              <w:t>按照相关文件要求完成规定的党员数量</w:t>
            </w:r>
          </w:p>
        </w:tc>
        <w:tc>
          <w:tcPr>
            <w:tcW w:w="2551" w:type="dxa"/>
            <w:vAlign w:val="center"/>
          </w:tcPr>
          <w:p>
            <w:pPr>
              <w:pStyle w:val="14"/>
            </w:pPr>
            <w:r>
              <w:t>≥80名</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党建工作完成率</w:t>
            </w:r>
          </w:p>
        </w:tc>
        <w:tc>
          <w:tcPr>
            <w:tcW w:w="2835" w:type="dxa"/>
            <w:vAlign w:val="center"/>
          </w:tcPr>
          <w:p>
            <w:pPr>
              <w:pStyle w:val="14"/>
            </w:pPr>
            <w:r>
              <w:t>按照相关文件组织开展党建工作，确保年度目标顺利完成</w:t>
            </w:r>
          </w:p>
        </w:tc>
        <w:tc>
          <w:tcPr>
            <w:tcW w:w="2551" w:type="dxa"/>
            <w:vAlign w:val="center"/>
          </w:tcPr>
          <w:p>
            <w:pPr>
              <w:pStyle w:val="14"/>
            </w:pPr>
            <w:r>
              <w:t>≥90%</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按期完成发展党员计划</w:t>
            </w:r>
          </w:p>
        </w:tc>
        <w:tc>
          <w:tcPr>
            <w:tcW w:w="2835" w:type="dxa"/>
            <w:vAlign w:val="center"/>
          </w:tcPr>
          <w:p>
            <w:pPr>
              <w:pStyle w:val="14"/>
            </w:pPr>
            <w:r>
              <w:t>按照党员发展计划，分阶段完成</w:t>
            </w:r>
          </w:p>
        </w:tc>
        <w:tc>
          <w:tcPr>
            <w:tcW w:w="2551" w:type="dxa"/>
            <w:vAlign w:val="center"/>
          </w:tcPr>
          <w:p>
            <w:pPr>
              <w:pStyle w:val="14"/>
            </w:pPr>
            <w:r>
              <w:t>≥95%</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经费保障</w:t>
            </w:r>
          </w:p>
        </w:tc>
        <w:tc>
          <w:tcPr>
            <w:tcW w:w="2835" w:type="dxa"/>
            <w:vAlign w:val="center"/>
          </w:tcPr>
          <w:p>
            <w:pPr>
              <w:pStyle w:val="14"/>
            </w:pPr>
            <w:r>
              <w:t>发展党员及党建工作所需资料费</w:t>
            </w:r>
          </w:p>
        </w:tc>
        <w:tc>
          <w:tcPr>
            <w:tcW w:w="2551" w:type="dxa"/>
            <w:vAlign w:val="center"/>
          </w:tcPr>
          <w:p>
            <w:pPr>
              <w:pStyle w:val="14"/>
            </w:pPr>
            <w:r>
              <w:t>≤5万元</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用护共产党，为社会发展做贡献</w:t>
            </w:r>
          </w:p>
        </w:tc>
        <w:tc>
          <w:tcPr>
            <w:tcW w:w="2835" w:type="dxa"/>
            <w:vAlign w:val="center"/>
          </w:tcPr>
          <w:p>
            <w:pPr>
              <w:pStyle w:val="14"/>
            </w:pPr>
            <w:r>
              <w:t>用护共产党，为社会发展做贡献</w:t>
            </w:r>
          </w:p>
        </w:tc>
        <w:tc>
          <w:tcPr>
            <w:tcW w:w="2551" w:type="dxa"/>
            <w:vAlign w:val="center"/>
          </w:tcPr>
          <w:p>
            <w:pPr>
              <w:pStyle w:val="14"/>
            </w:pPr>
            <w:r>
              <w:t>≥90%</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保证为共产党的长期执政</w:t>
            </w:r>
          </w:p>
        </w:tc>
        <w:tc>
          <w:tcPr>
            <w:tcW w:w="2835" w:type="dxa"/>
            <w:vAlign w:val="center"/>
          </w:tcPr>
          <w:p>
            <w:pPr>
              <w:pStyle w:val="14"/>
            </w:pPr>
            <w:r>
              <w:t>保证为共产党的长期执政</w:t>
            </w:r>
          </w:p>
        </w:tc>
        <w:tc>
          <w:tcPr>
            <w:tcW w:w="2551" w:type="dxa"/>
            <w:vAlign w:val="center"/>
          </w:tcPr>
          <w:p>
            <w:pPr>
              <w:pStyle w:val="14"/>
            </w:pPr>
            <w:r>
              <w:t>≥90%</w:t>
            </w:r>
          </w:p>
        </w:tc>
        <w:tc>
          <w:tcPr>
            <w:tcW w:w="2268" w:type="dxa"/>
            <w:vAlign w:val="center"/>
          </w:tcPr>
          <w:p>
            <w:pPr>
              <w:pStyle w:val="14"/>
            </w:pPr>
            <w:r>
              <w:t>相关文件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群众满意度</w:t>
            </w:r>
          </w:p>
        </w:tc>
        <w:tc>
          <w:tcPr>
            <w:tcW w:w="2835" w:type="dxa"/>
            <w:vAlign w:val="center"/>
          </w:tcPr>
          <w:p>
            <w:pPr>
              <w:pStyle w:val="14"/>
            </w:pPr>
            <w:r>
              <w:t>受益党员满意度</w:t>
            </w:r>
          </w:p>
        </w:tc>
        <w:tc>
          <w:tcPr>
            <w:tcW w:w="2551" w:type="dxa"/>
            <w:vAlign w:val="center"/>
          </w:tcPr>
          <w:p>
            <w:pPr>
              <w:pStyle w:val="14"/>
            </w:pPr>
            <w:r>
              <w:t>≥90%</w:t>
            </w:r>
          </w:p>
        </w:tc>
        <w:tc>
          <w:tcPr>
            <w:tcW w:w="2268" w:type="dxa"/>
            <w:vAlign w:val="center"/>
          </w:tcPr>
          <w:p>
            <w:pPr>
              <w:pStyle w:val="14"/>
            </w:pPr>
            <w:r>
              <w:t>相关文件</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b/>
          <w:color w:val="000000"/>
          <w:sz w:val="28"/>
        </w:rPr>
        <w:t>2、2022年民办整租及征兵宣传绩效目标表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1.目标内容1保障征兵宣传、民兵训练工作顺利开展，确保年度民兵训练、征兵工作如期完成，按照相关要求完成征兵人数150名</w:t>
            </w:r>
          </w:p>
        </w:tc>
      </w:tr>
    </w:tbl>
    <w:p>
      <w:pPr>
        <w:spacing w:line="2" w:lineRule="exact"/>
        <w:jc w:val="center"/>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征兵数量</w:t>
            </w:r>
          </w:p>
        </w:tc>
        <w:tc>
          <w:tcPr>
            <w:tcW w:w="2835" w:type="dxa"/>
            <w:vAlign w:val="center"/>
          </w:tcPr>
          <w:p>
            <w:pPr>
              <w:pStyle w:val="14"/>
            </w:pPr>
            <w:r>
              <w:t>按照相关要求完成征兵人数150名</w:t>
            </w:r>
          </w:p>
        </w:tc>
        <w:tc>
          <w:tcPr>
            <w:tcW w:w="2551" w:type="dxa"/>
            <w:vAlign w:val="center"/>
          </w:tcPr>
          <w:p>
            <w:pPr>
              <w:pStyle w:val="14"/>
            </w:pPr>
            <w:r>
              <w:t>≥150名</w:t>
            </w:r>
          </w:p>
        </w:tc>
        <w:tc>
          <w:tcPr>
            <w:tcW w:w="2268" w:type="dxa"/>
            <w:vAlign w:val="center"/>
          </w:tcPr>
          <w:p>
            <w:pPr>
              <w:pStyle w:val="14"/>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民兵训练达标率</w:t>
            </w:r>
          </w:p>
        </w:tc>
        <w:tc>
          <w:tcPr>
            <w:tcW w:w="2835" w:type="dxa"/>
            <w:vAlign w:val="center"/>
          </w:tcPr>
          <w:p>
            <w:pPr>
              <w:pStyle w:val="14"/>
            </w:pPr>
            <w:r>
              <w:t>按照相关文件要求完成征兵训练科目达标率</w:t>
            </w:r>
          </w:p>
        </w:tc>
        <w:tc>
          <w:tcPr>
            <w:tcW w:w="2551" w:type="dxa"/>
            <w:vAlign w:val="center"/>
          </w:tcPr>
          <w:p>
            <w:pPr>
              <w:pStyle w:val="14"/>
            </w:pPr>
            <w:r>
              <w:t>≥90%</w:t>
            </w:r>
          </w:p>
        </w:tc>
        <w:tc>
          <w:tcPr>
            <w:tcW w:w="2268" w:type="dxa"/>
            <w:vAlign w:val="center"/>
          </w:tcPr>
          <w:p>
            <w:pPr>
              <w:pStyle w:val="14"/>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完成时限</w:t>
            </w:r>
          </w:p>
        </w:tc>
        <w:tc>
          <w:tcPr>
            <w:tcW w:w="2835" w:type="dxa"/>
            <w:vAlign w:val="center"/>
          </w:tcPr>
          <w:p>
            <w:pPr>
              <w:pStyle w:val="14"/>
            </w:pPr>
            <w:r>
              <w:t>按照计划完成规定的民兵训练科目</w:t>
            </w:r>
          </w:p>
        </w:tc>
        <w:tc>
          <w:tcPr>
            <w:tcW w:w="2551" w:type="dxa"/>
            <w:vAlign w:val="center"/>
          </w:tcPr>
          <w:p>
            <w:pPr>
              <w:pStyle w:val="14"/>
            </w:pPr>
            <w:r>
              <w:t>2022年底前完成</w:t>
            </w:r>
          </w:p>
        </w:tc>
        <w:tc>
          <w:tcPr>
            <w:tcW w:w="2268" w:type="dxa"/>
            <w:vAlign w:val="center"/>
          </w:tcPr>
          <w:p>
            <w:pPr>
              <w:pStyle w:val="14"/>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宣传费用</w:t>
            </w:r>
          </w:p>
        </w:tc>
        <w:tc>
          <w:tcPr>
            <w:tcW w:w="2835" w:type="dxa"/>
            <w:vAlign w:val="center"/>
          </w:tcPr>
          <w:p>
            <w:pPr>
              <w:pStyle w:val="14"/>
            </w:pPr>
            <w:r>
              <w:t>根据相关文件要求发放宣传单资料费</w:t>
            </w:r>
          </w:p>
        </w:tc>
        <w:tc>
          <w:tcPr>
            <w:tcW w:w="2551" w:type="dxa"/>
            <w:vAlign w:val="center"/>
          </w:tcPr>
          <w:p>
            <w:pPr>
              <w:pStyle w:val="14"/>
            </w:pPr>
            <w:r>
              <w:t>≤2万元</w:t>
            </w:r>
          </w:p>
        </w:tc>
        <w:tc>
          <w:tcPr>
            <w:tcW w:w="2268" w:type="dxa"/>
            <w:vAlign w:val="center"/>
          </w:tcPr>
          <w:p>
            <w:pPr>
              <w:pStyle w:val="14"/>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提高民兵防灾、救援能力</w:t>
            </w:r>
          </w:p>
        </w:tc>
        <w:tc>
          <w:tcPr>
            <w:tcW w:w="2835" w:type="dxa"/>
            <w:vAlign w:val="center"/>
          </w:tcPr>
          <w:p>
            <w:pPr>
              <w:pStyle w:val="14"/>
            </w:pPr>
            <w:r>
              <w:t>提高民兵防灾、救援能力</w:t>
            </w:r>
          </w:p>
        </w:tc>
        <w:tc>
          <w:tcPr>
            <w:tcW w:w="2551" w:type="dxa"/>
            <w:vAlign w:val="center"/>
          </w:tcPr>
          <w:p>
            <w:pPr>
              <w:pStyle w:val="14"/>
            </w:pPr>
            <w:r>
              <w:t>提高民兵防灾、救援能力</w:t>
            </w:r>
          </w:p>
        </w:tc>
        <w:tc>
          <w:tcPr>
            <w:tcW w:w="2268" w:type="dxa"/>
            <w:vAlign w:val="center"/>
          </w:tcPr>
          <w:p>
            <w:pPr>
              <w:pStyle w:val="14"/>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社会稳定水平</w:t>
            </w:r>
          </w:p>
        </w:tc>
        <w:tc>
          <w:tcPr>
            <w:tcW w:w="2835" w:type="dxa"/>
            <w:vAlign w:val="center"/>
          </w:tcPr>
          <w:p>
            <w:pPr>
              <w:pStyle w:val="14"/>
            </w:pPr>
            <w:r>
              <w:t>拨付到位，维护社会稳定提高工作积极性</w:t>
            </w:r>
          </w:p>
        </w:tc>
        <w:tc>
          <w:tcPr>
            <w:tcW w:w="2551" w:type="dxa"/>
            <w:vAlign w:val="center"/>
          </w:tcPr>
          <w:p>
            <w:pPr>
              <w:pStyle w:val="14"/>
            </w:pPr>
            <w:r>
              <w:t>拨付到位，维护社会稳定提高工作积极性</w:t>
            </w:r>
          </w:p>
        </w:tc>
        <w:tc>
          <w:tcPr>
            <w:tcW w:w="2268" w:type="dxa"/>
            <w:vAlign w:val="center"/>
          </w:tcPr>
          <w:p>
            <w:pPr>
              <w:pStyle w:val="14"/>
            </w:pPr>
            <w:r>
              <w:t>根据政府工作要求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2835" w:type="dxa"/>
            <w:vAlign w:val="center"/>
          </w:tcPr>
          <w:p>
            <w:pPr>
              <w:pStyle w:val="14"/>
            </w:pPr>
            <w:r>
              <w:t>服务群众占全部调查群众的比例</w:t>
            </w:r>
          </w:p>
        </w:tc>
        <w:tc>
          <w:tcPr>
            <w:tcW w:w="2551" w:type="dxa"/>
            <w:vAlign w:val="center"/>
          </w:tcPr>
          <w:p>
            <w:pPr>
              <w:pStyle w:val="14"/>
            </w:pPr>
            <w:r>
              <w:t>≥90%</w:t>
            </w:r>
          </w:p>
        </w:tc>
        <w:tc>
          <w:tcPr>
            <w:tcW w:w="2268" w:type="dxa"/>
            <w:vAlign w:val="center"/>
          </w:tcPr>
          <w:p>
            <w:pPr>
              <w:pStyle w:val="14"/>
            </w:pPr>
            <w:r>
              <w:t>根据政府工作要求</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2022年，魏县县直工委安排政府采购预算0.00万元。具体内容见下表。</w:t>
      </w:r>
    </w:p>
    <w:p>
      <w:pPr>
        <w:jc w:val="center"/>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286魏县县直工委</w:t>
            </w:r>
          </w:p>
        </w:tc>
        <w:tc>
          <w:tcPr>
            <w:tcW w:w="8674"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0" w:type="dxa"/>
            <w:gridSpan w:val="8"/>
            <w:vAlign w:val="center"/>
          </w:tcPr>
          <w:p>
            <w:pPr>
              <w:pStyle w:val="12"/>
            </w:pPr>
            <w:r>
              <w:t>政府采购金额（当年部门预算安排资金）</w:t>
            </w:r>
          </w:p>
        </w:tc>
        <w:tc>
          <w:tcPr>
            <w:tcW w:w="964" w:type="dxa"/>
            <w:vMerge w:val="restart"/>
            <w:vAlign w:val="center"/>
          </w:tcPr>
          <w:p>
            <w:pPr>
              <w:pStyle w:val="12"/>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    款结转</w:t>
            </w:r>
          </w:p>
        </w:tc>
        <w:tc>
          <w:tcPr>
            <w:tcW w:w="964" w:type="dxa"/>
            <w:vAlign w:val="center"/>
          </w:tcPr>
          <w:p>
            <w:pPr>
              <w:pStyle w:val="12"/>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魏县县直工委（含所属单位）上年末固定资产金额为1.23万元（详见下表）。本年度拟购置固定资产总额为0.00万元，已按要求列入政府采购预算，详见政府采购预算表。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286魏县县直工委</w:t>
            </w:r>
          </w:p>
        </w:tc>
        <w:tc>
          <w:tcPr>
            <w:tcW w:w="5669" w:type="dxa"/>
            <w:gridSpan w:val="2"/>
            <w:tcBorders>
              <w:top w:val="single" w:color="FFFFFF" w:sz="6" w:space="0"/>
              <w:left w:val="single" w:color="FFFFFF" w:sz="6" w:space="0"/>
              <w:right w:val="single" w:color="FFFFFF" w:sz="6" w:space="0"/>
            </w:tcBorders>
            <w:vAlign w:val="center"/>
          </w:tcPr>
          <w:p>
            <w:pPr>
              <w:pStyle w:val="9"/>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1.23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4"/>
            </w:pPr>
            <w:r>
              <w:t>1、房屋（平方米）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　　其中：办公用房（平方米）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2、车辆（台、辆）</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3、单价在20万元以上的设备</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4"/>
            </w:pPr>
            <w:r>
              <w:t>4、其他固定资产</w:t>
            </w:r>
          </w:p>
        </w:tc>
        <w:tc>
          <w:tcPr>
            <w:tcW w:w="2835" w:type="dxa"/>
            <w:vAlign w:val="center"/>
          </w:tcPr>
          <w:p>
            <w:pPr>
              <w:pStyle w:val="15"/>
            </w:pPr>
            <w:r>
              <w:t>4</w:t>
            </w:r>
          </w:p>
        </w:tc>
        <w:tc>
          <w:tcPr>
            <w:tcW w:w="2835" w:type="dxa"/>
            <w:vAlign w:val="center"/>
          </w:tcPr>
          <w:p>
            <w:pPr>
              <w:pStyle w:val="13"/>
            </w:pPr>
            <w:r>
              <w:t>1.23</w:t>
            </w:r>
          </w:p>
        </w:tc>
      </w:tr>
    </w:tbl>
    <w:p>
      <w:pPr>
        <w:ind w:firstLine="640"/>
      </w:pPr>
      <w:r>
        <w:rPr>
          <w:rFonts w:eastAsia="方正仿宋_GBK"/>
          <w:color w:val="000000"/>
          <w:sz w:val="32"/>
        </w:rPr>
        <w:t xml:space="preserve"> </w:t>
      </w: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w:t>
      </w:r>
      <w:r>
        <w:rPr>
          <w:rFonts w:hint="eastAsia" w:eastAsia="方正仿宋_GBK"/>
          <w:color w:val="000000"/>
          <w:sz w:val="28"/>
          <w:lang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spacing w:line="500" w:lineRule="exact"/>
        <w:ind w:firstLine="560"/>
        <w:rPr>
          <w:rFonts w:hint="eastAsia" w:eastAsia="方正仿宋_GBK"/>
          <w:lang w:eastAsia="zh-CN"/>
        </w:rPr>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r>
        <w:rPr>
          <w:rFonts w:hint="eastAsia" w:eastAsia="方正仿宋_GBK"/>
          <w:color w:val="000000"/>
          <w:sz w:val="28"/>
          <w:lang w:eastAsia="zh-CN"/>
        </w:rPr>
        <w:t>。</w:t>
      </w:r>
    </w:p>
    <w:p>
      <w:pPr>
        <w:jc w:val="both"/>
      </w:pPr>
    </w:p>
    <w:p>
      <w:pPr>
        <w:spacing w:line="500" w:lineRule="exact"/>
        <w:ind w:firstLine="560"/>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720"/>
  <w:evenAndOddHeaders w:val="true"/>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zNWJkMjI4ZDIwZDBmZTBmODVjMzAxMjE3YjBiYzQifQ=="/>
  </w:docVars>
  <w:rsids>
    <w:rsidRoot w:val="0099559F"/>
    <w:rsid w:val="0011032B"/>
    <w:rsid w:val="00402578"/>
    <w:rsid w:val="00476F2A"/>
    <w:rsid w:val="005A284E"/>
    <w:rsid w:val="00676BFB"/>
    <w:rsid w:val="00695D95"/>
    <w:rsid w:val="00702776"/>
    <w:rsid w:val="008338BA"/>
    <w:rsid w:val="00857150"/>
    <w:rsid w:val="0099559F"/>
    <w:rsid w:val="00A96EC6"/>
    <w:rsid w:val="00B04A39"/>
    <w:rsid w:val="00CE0304"/>
    <w:rsid w:val="00CF2B3B"/>
    <w:rsid w:val="00E32287"/>
    <w:rsid w:val="00E37FE7"/>
    <w:rsid w:val="06492BCB"/>
    <w:rsid w:val="3FADEB19"/>
    <w:rsid w:val="5BBD1036"/>
    <w:rsid w:val="9EBB32BA"/>
    <w:rsid w:val="BF95A14C"/>
    <w:rsid w:val="CB8FCDDA"/>
    <w:rsid w:val="FD07A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ind w:firstLine="560"/>
    </w:pPr>
    <w:rPr>
      <w:rFonts w:eastAsia="方正仿宋_GBK"/>
      <w:color w:val="000000"/>
      <w:sz w:val="28"/>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9">
    <w:name w:val="单元格样式22"/>
    <w:basedOn w:val="1"/>
    <w:qFormat/>
    <w:uiPriority w:val="0"/>
    <w:pPr>
      <w:jc w:val="right"/>
    </w:pPr>
    <w:rPr>
      <w:rFonts w:ascii="方正小标宋_GBK" w:hAnsi="方正小标宋_GBK" w:eastAsia="方正小标宋_GBK" w:cs="方正小标宋_GBK"/>
    </w:rPr>
  </w:style>
  <w:style w:type="paragraph" w:customStyle="1" w:styleId="10">
    <w:name w:val="单元格样式21"/>
    <w:basedOn w:val="1"/>
    <w:qFormat/>
    <w:uiPriority w:val="0"/>
    <w:pPr>
      <w:jc w:val="center"/>
    </w:pPr>
    <w:rPr>
      <w:rFonts w:ascii="方正小标宋_GBK" w:hAnsi="方正小标宋_GBK" w:eastAsia="方正小标宋_GBK" w:cs="方正小标宋_GBK"/>
    </w:rPr>
  </w:style>
  <w:style w:type="paragraph" w:customStyle="1" w:styleId="11">
    <w:name w:val="单元格样式20"/>
    <w:basedOn w:val="1"/>
    <w:qFormat/>
    <w:uiPriority w:val="0"/>
    <w:rPr>
      <w:rFonts w:ascii="方正小标宋_GBK" w:hAnsi="方正小标宋_GBK" w:eastAsia="方正小标宋_GBK" w:cs="方正小标宋_GBK"/>
    </w:rPr>
  </w:style>
  <w:style w:type="paragraph" w:customStyle="1" w:styleId="12">
    <w:name w:val="单元格样式1"/>
    <w:basedOn w:val="1"/>
    <w:qFormat/>
    <w:uiPriority w:val="0"/>
    <w:pPr>
      <w:jc w:val="center"/>
    </w:pPr>
    <w:rPr>
      <w:rFonts w:ascii="方正书宋_GBK" w:hAnsi="方正书宋_GBK" w:eastAsia="方正书宋_GBK" w:cs="方正书宋_GBK"/>
      <w:b/>
      <w:sz w:val="21"/>
    </w:rPr>
  </w:style>
  <w:style w:type="paragraph" w:customStyle="1" w:styleId="13">
    <w:name w:val="单元格样式4"/>
    <w:basedOn w:val="1"/>
    <w:qFormat/>
    <w:uiPriority w:val="0"/>
    <w:pPr>
      <w:jc w:val="right"/>
    </w:pPr>
    <w:rPr>
      <w:rFonts w:ascii="方正书宋_GBK" w:hAnsi="方正书宋_GBK" w:eastAsia="方正书宋_GBK" w:cs="方正书宋_GBK"/>
      <w:sz w:val="21"/>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3"/>
    <w:basedOn w:val="1"/>
    <w:qFormat/>
    <w:uiPriority w:val="0"/>
    <w:pPr>
      <w:jc w:val="center"/>
    </w:pPr>
    <w:rPr>
      <w:rFonts w:ascii="方正书宋_GBK" w:hAnsi="方正书宋_GBK" w:eastAsia="方正书宋_GBK" w:cs="方正书宋_GBK"/>
      <w:sz w:val="21"/>
    </w:rPr>
  </w:style>
  <w:style w:type="paragraph" w:customStyle="1" w:styleId="16">
    <w:name w:val="单元格样式6"/>
    <w:basedOn w:val="1"/>
    <w:qFormat/>
    <w:uiPriority w:val="0"/>
    <w:pPr>
      <w:jc w:val="center"/>
    </w:pPr>
    <w:rPr>
      <w:rFonts w:ascii="方正书宋_GBK" w:hAnsi="方正书宋_GBK" w:eastAsia="方正书宋_GBK" w:cs="方正书宋_GBK"/>
      <w:b/>
      <w:sz w:val="21"/>
    </w:rPr>
  </w:style>
  <w:style w:type="paragraph" w:customStyle="1" w:styleId="17">
    <w:name w:val="单元格样式7"/>
    <w:basedOn w:val="1"/>
    <w:qFormat/>
    <w:uiPriority w:val="0"/>
    <w:pPr>
      <w:jc w:val="right"/>
    </w:pPr>
    <w:rPr>
      <w:rFonts w:ascii="方正书宋_GBK" w:hAnsi="方正书宋_GBK" w:eastAsia="方正书宋_GBK" w:cs="方正书宋_GBK"/>
      <w:b/>
      <w:sz w:val="21"/>
    </w:rPr>
  </w:style>
  <w:style w:type="paragraph" w:customStyle="1" w:styleId="18">
    <w:name w:val="单元格样式5"/>
    <w:basedOn w:val="1"/>
    <w:qFormat/>
    <w:uiPriority w:val="0"/>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line="500" w:lineRule="exact"/>
      <w:ind w:firstLine="560"/>
    </w:pPr>
    <w:rPr>
      <w:rFonts w:eastAsia="方正仿宋_GBK"/>
      <w:sz w:val="28"/>
    </w:rPr>
  </w:style>
  <w:style w:type="paragraph" w:customStyle="1" w:styleId="20">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1">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2">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3">
    <w:name w:val="插入文本样式-插入总体目标文件"/>
    <w:basedOn w:val="1"/>
    <w:qFormat/>
    <w:uiPriority w:val="0"/>
    <w:pPr>
      <w:spacing w:line="500" w:lineRule="exact"/>
      <w:ind w:firstLine="560"/>
    </w:pPr>
    <w:rPr>
      <w:rFonts w:eastAsia="方正仿宋_GBK"/>
      <w:sz w:val="28"/>
    </w:rPr>
  </w:style>
  <w:style w:type="paragraph" w:customStyle="1" w:styleId="24">
    <w:name w:val="插入文本样式-插入职责分类绩效目标文件"/>
    <w:basedOn w:val="1"/>
    <w:qFormat/>
    <w:uiPriority w:val="0"/>
    <w:pPr>
      <w:spacing w:line="500" w:lineRule="exact"/>
      <w:ind w:firstLine="560"/>
    </w:pPr>
    <w:rPr>
      <w:rFonts w:eastAsia="方正仿宋_GBK"/>
      <w:sz w:val="28"/>
    </w:rPr>
  </w:style>
  <w:style w:type="paragraph" w:customStyle="1" w:styleId="25">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6">
    <w:name w:val="单元格样式23"/>
    <w:basedOn w:val="1"/>
    <w:qFormat/>
    <w:uiPriority w:val="0"/>
    <w:pPr>
      <w:jc w:val="right"/>
    </w:pPr>
    <w:rPr>
      <w:rFonts w:ascii="方正书宋_GBK" w:hAnsi="方正书宋_GBK" w:eastAsia="方正书宋_GBK" w:cs="方正书宋_GBK"/>
    </w:rPr>
  </w:style>
  <w:style w:type="paragraph" w:customStyle="1" w:styleId="27">
    <w:name w:val="插入文本样式-插入单位职责文件"/>
    <w:basedOn w:val="1"/>
    <w:qFormat/>
    <w:uiPriority w:val="0"/>
    <w:pPr>
      <w:spacing w:line="500" w:lineRule="exact"/>
      <w:ind w:firstLine="560"/>
    </w:pPr>
    <w:rPr>
      <w:rFonts w:eastAsia="方正仿宋_GBK"/>
      <w:sz w:val="28"/>
    </w:rPr>
  </w:style>
  <w:style w:type="paragraph" w:customStyle="1" w:styleId="28">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9">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0">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3014</Words>
  <Characters>17186</Characters>
  <Lines>143</Lines>
  <Paragraphs>40</Paragraphs>
  <TotalTime>35</TotalTime>
  <ScaleCrop>false</ScaleCrop>
  <LinksUpToDate>false</LinksUpToDate>
  <CharactersWithSpaces>20160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2022-02-26T02:27:00Z</dcterms:created>
  <dc:creator>肖</dc:creator>
  <cp:lastModifiedBy>wxak</cp:lastModifiedBy>
  <dcterms:modified xsi:type="dcterms:W3CDTF">2026-05-21T16:22:19Z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F368FD4053924E609678DE9EBB0CD8C5_12</vt:lpwstr>
  </property>
</Properties>
</file>