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E19F6">
      <w:pPr>
        <w:rPr>
          <w:rFonts w:hint="eastAsia" w:eastAsia="仿宋_GB2312"/>
          <w:color w:val="auto"/>
          <w:sz w:val="36"/>
          <w:szCs w:val="36"/>
          <w:lang w:val="en-US" w:eastAsia="zh-CN"/>
        </w:rPr>
      </w:pPr>
    </w:p>
    <w:p w14:paraId="57E4FF62">
      <w:pPr>
        <w:rPr>
          <w:rFonts w:eastAsia="仿宋_GB2312"/>
          <w:color w:val="auto"/>
          <w:sz w:val="36"/>
          <w:szCs w:val="36"/>
        </w:rPr>
      </w:pPr>
    </w:p>
    <w:p w14:paraId="0CF962CC">
      <w:pPr>
        <w:rPr>
          <w:rFonts w:eastAsia="仿宋_GB2312"/>
          <w:color w:val="auto"/>
          <w:sz w:val="36"/>
          <w:szCs w:val="36"/>
        </w:rPr>
      </w:pPr>
    </w:p>
    <w:p w14:paraId="2BEC2F32">
      <w:pPr>
        <w:adjustRightInd w:val="0"/>
        <w:snapToGrid w:val="0"/>
        <w:jc w:val="center"/>
        <w:outlineLvl w:val="0"/>
        <w:rPr>
          <w:rFonts w:eastAsia="方正小标宋_GBK"/>
          <w:bCs/>
          <w:color w:val="auto"/>
          <w:sz w:val="72"/>
          <w:szCs w:val="72"/>
        </w:rPr>
      </w:pPr>
      <w:r>
        <w:rPr>
          <w:rFonts w:eastAsia="方正小标宋_GBK"/>
          <w:bCs/>
          <w:color w:val="auto"/>
          <w:sz w:val="72"/>
          <w:szCs w:val="72"/>
        </w:rPr>
        <w:t>建设项目环境影响报告表</w:t>
      </w:r>
    </w:p>
    <w:p w14:paraId="1368C474">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14:paraId="6A2863E2">
      <w:pPr>
        <w:adjustRightInd w:val="0"/>
        <w:snapToGrid w:val="0"/>
        <w:spacing w:line="288" w:lineRule="auto"/>
        <w:jc w:val="both"/>
        <w:outlineLvl w:val="0"/>
        <w:rPr>
          <w:rFonts w:eastAsia="华文仿宋"/>
          <w:color w:val="auto"/>
          <w:kern w:val="44"/>
          <w:sz w:val="44"/>
          <w:szCs w:val="44"/>
        </w:rPr>
      </w:pPr>
    </w:p>
    <w:p w14:paraId="68EA47F2">
      <w:pPr>
        <w:jc w:val="both"/>
        <w:rPr>
          <w:rFonts w:eastAsia="仿宋"/>
          <w:color w:val="auto"/>
          <w:sz w:val="52"/>
          <w:szCs w:val="52"/>
        </w:rPr>
      </w:pPr>
    </w:p>
    <w:p w14:paraId="3920A162">
      <w:pPr>
        <w:jc w:val="both"/>
        <w:rPr>
          <w:rFonts w:eastAsia="仿宋"/>
          <w:color w:val="auto"/>
          <w:sz w:val="52"/>
          <w:szCs w:val="52"/>
        </w:rPr>
      </w:pPr>
    </w:p>
    <w:p w14:paraId="72C1DDA3">
      <w:pPr>
        <w:rPr>
          <w:rFonts w:eastAsia="仿宋"/>
          <w:color w:val="auto"/>
          <w:sz w:val="44"/>
          <w:szCs w:val="44"/>
        </w:rPr>
      </w:pPr>
    </w:p>
    <w:p w14:paraId="6291B606">
      <w:pPr>
        <w:rPr>
          <w:rFonts w:eastAsia="仿宋"/>
          <w:color w:val="auto"/>
          <w:sz w:val="44"/>
          <w:szCs w:val="44"/>
        </w:rPr>
      </w:pPr>
    </w:p>
    <w:p w14:paraId="0E175ACC">
      <w:pPr>
        <w:pStyle w:val="43"/>
        <w:ind w:left="0" w:leftChars="0" w:firstLine="0" w:firstLineChars="0"/>
        <w:jc w:val="both"/>
        <w:rPr>
          <w:rFonts w:eastAsia="仿宋"/>
          <w:color w:val="auto"/>
          <w:sz w:val="44"/>
          <w:szCs w:val="44"/>
        </w:rPr>
      </w:pPr>
    </w:p>
    <w:p w14:paraId="03323D49">
      <w:pPr>
        <w:pStyle w:val="43"/>
        <w:ind w:left="0" w:leftChars="0" w:firstLine="0" w:firstLineChars="0"/>
        <w:jc w:val="both"/>
        <w:rPr>
          <w:rFonts w:eastAsia="仿宋"/>
          <w:color w:val="auto"/>
          <w:sz w:val="44"/>
          <w:szCs w:val="44"/>
        </w:rPr>
      </w:pPr>
    </w:p>
    <w:p w14:paraId="77341ECD">
      <w:pPr>
        <w:adjustRightInd w:val="0"/>
        <w:snapToGrid w:val="0"/>
        <w:spacing w:line="360" w:lineRule="auto"/>
        <w:rPr>
          <w:rFonts w:hint="default" w:eastAsia="仿宋_GB2312"/>
          <w:sz w:val="36"/>
          <w:szCs w:val="36"/>
          <w:u w:val="single"/>
          <w:lang w:val="en-US" w:eastAsia="zh-CN"/>
        </w:rPr>
      </w:pPr>
      <w:r>
        <w:rPr>
          <w:rFonts w:hint="eastAsia" w:eastAsia="仿宋_GB2312"/>
          <w:spacing w:val="-6"/>
          <w:sz w:val="32"/>
          <w:szCs w:val="32"/>
        </w:rPr>
        <w:t>项   目  名   称：</w:t>
      </w:r>
      <w:r>
        <w:rPr>
          <w:rFonts w:hint="eastAsia" w:eastAsia="仿宋_GB2312"/>
          <w:spacing w:val="-6"/>
          <w:sz w:val="32"/>
          <w:szCs w:val="32"/>
          <w:u w:val="single"/>
          <w:lang w:val="en-US" w:eastAsia="zh-CN"/>
        </w:rPr>
        <w:t xml:space="preserve">           面筋制品生产项目       </w:t>
      </w:r>
    </w:p>
    <w:p w14:paraId="7BD1E240">
      <w:pPr>
        <w:adjustRightInd w:val="0"/>
        <w:snapToGrid w:val="0"/>
        <w:spacing w:line="360" w:lineRule="auto"/>
        <w:rPr>
          <w:rFonts w:eastAsia="仿宋_GB2312"/>
          <w:sz w:val="32"/>
          <w:szCs w:val="32"/>
          <w:u w:val="single"/>
        </w:rPr>
      </w:pPr>
      <w:r>
        <w:rPr>
          <w:rFonts w:hint="eastAsia" w:eastAsia="仿宋_GB2312"/>
          <w:sz w:val="32"/>
          <w:szCs w:val="32"/>
        </w:rPr>
        <w:t>建 设 单 位（盖章）：</w:t>
      </w:r>
      <w:r>
        <w:rPr>
          <w:rFonts w:hint="eastAsia" w:eastAsia="仿宋_GB2312"/>
          <w:sz w:val="32"/>
          <w:szCs w:val="32"/>
          <w:u w:val="single"/>
          <w:lang w:val="en-US" w:eastAsia="zh-CN"/>
        </w:rPr>
        <w:t xml:space="preserve"> </w:t>
      </w:r>
      <w:r>
        <w:rPr>
          <w:rFonts w:hint="eastAsia" w:eastAsia="仿宋_GB2312"/>
          <w:spacing w:val="-6"/>
          <w:sz w:val="32"/>
          <w:szCs w:val="32"/>
          <w:u w:val="single"/>
          <w:lang w:eastAsia="zh-CN"/>
        </w:rPr>
        <w:t>一亩田(河北)未来食品有限公司</w:t>
      </w:r>
      <w:r>
        <w:rPr>
          <w:rFonts w:hint="eastAsia" w:eastAsia="仿宋_GB2312"/>
          <w:sz w:val="32"/>
          <w:szCs w:val="32"/>
          <w:u w:val="single"/>
        </w:rPr>
        <w:t xml:space="preserve"> </w:t>
      </w:r>
    </w:p>
    <w:p w14:paraId="735AEF47">
      <w:pPr>
        <w:pStyle w:val="43"/>
        <w:ind w:left="0" w:leftChars="0" w:firstLine="0" w:firstLineChars="0"/>
        <w:jc w:val="both"/>
        <w:rPr>
          <w:rFonts w:eastAsia="仿宋"/>
          <w:color w:val="auto"/>
          <w:sz w:val="44"/>
          <w:szCs w:val="44"/>
        </w:rPr>
      </w:pPr>
      <w:r>
        <w:rPr>
          <w:rFonts w:hint="eastAsia" w:eastAsia="仿宋_GB2312"/>
          <w:sz w:val="32"/>
          <w:szCs w:val="32"/>
        </w:rPr>
        <w:t>编  制  日  期：</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r>
        <w:rPr>
          <w:rFonts w:hint="eastAsia" w:ascii="仿宋_GB2312" w:eastAsia="仿宋_GB2312"/>
          <w:sz w:val="32"/>
          <w:szCs w:val="32"/>
          <w:u w:val="single"/>
          <w:lang w:val="en-US" w:eastAsia="zh-CN"/>
        </w:rPr>
        <w:t>2026</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2</w:t>
      </w:r>
      <w:r>
        <w:rPr>
          <w:rFonts w:hint="eastAsia" w:ascii="仿宋_GB2312" w:eastAsia="仿宋_GB2312"/>
          <w:sz w:val="32"/>
          <w:szCs w:val="32"/>
          <w:u w:val="single"/>
        </w:rPr>
        <w:t>月</w:t>
      </w: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14:paraId="1DFBF55F">
      <w:pPr>
        <w:jc w:val="both"/>
        <w:rPr>
          <w:rFonts w:eastAsia="仿宋"/>
          <w:color w:val="auto"/>
          <w:sz w:val="44"/>
          <w:szCs w:val="44"/>
        </w:rPr>
      </w:pPr>
    </w:p>
    <w:p w14:paraId="044697EC">
      <w:pPr>
        <w:pStyle w:val="43"/>
        <w:rPr>
          <w:color w:val="auto"/>
        </w:rPr>
      </w:pPr>
    </w:p>
    <w:p w14:paraId="14E72321">
      <w:pPr>
        <w:adjustRightInd w:val="0"/>
        <w:snapToGrid w:val="0"/>
        <w:spacing w:line="288" w:lineRule="auto"/>
        <w:rPr>
          <w:rFonts w:eastAsia="仿宋_GB2312"/>
          <w:color w:val="auto"/>
          <w:sz w:val="36"/>
          <w:szCs w:val="36"/>
          <w:u w:val="single"/>
        </w:rPr>
      </w:pPr>
    </w:p>
    <w:p w14:paraId="7130CACC">
      <w:pPr>
        <w:adjustRightInd w:val="0"/>
        <w:snapToGrid w:val="0"/>
        <w:spacing w:line="288" w:lineRule="auto"/>
        <w:rPr>
          <w:rFonts w:eastAsia="仿宋_GB2312"/>
          <w:color w:val="auto"/>
          <w:sz w:val="36"/>
          <w:szCs w:val="36"/>
          <w:u w:val="single"/>
        </w:rPr>
      </w:pPr>
      <w:bookmarkStart w:id="0" w:name="_Hlk57884087"/>
    </w:p>
    <w:p w14:paraId="092A1268">
      <w:pPr>
        <w:pStyle w:val="32"/>
      </w:pPr>
    </w:p>
    <w:p w14:paraId="7CEE31B3">
      <w:pPr>
        <w:adjustRightInd w:val="0"/>
        <w:snapToGrid w:val="0"/>
        <w:spacing w:line="288" w:lineRule="auto"/>
        <w:rPr>
          <w:rFonts w:eastAsia="仿宋_GB2312"/>
          <w:color w:val="auto"/>
          <w:sz w:val="36"/>
          <w:szCs w:val="36"/>
        </w:rPr>
      </w:pPr>
    </w:p>
    <w:p w14:paraId="41EA071B">
      <w:pPr>
        <w:pStyle w:val="5"/>
        <w:ind w:left="0" w:leftChars="0" w:firstLine="0" w:firstLineChars="0"/>
        <w:rPr>
          <w:rFonts w:ascii="Times New Roman" w:hAnsi="Times New Roman"/>
          <w:color w:val="auto"/>
        </w:rPr>
      </w:pPr>
    </w:p>
    <w:bookmarkEnd w:id="0"/>
    <w:p w14:paraId="4A43FF17">
      <w:pPr>
        <w:adjustRightInd w:val="0"/>
        <w:snapToGrid w:val="0"/>
        <w:spacing w:line="288" w:lineRule="auto"/>
        <w:jc w:val="center"/>
        <w:rPr>
          <w:rFonts w:eastAsia="楷体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eastAsia="楷体_GB2312"/>
          <w:color w:val="auto"/>
          <w:sz w:val="36"/>
          <w:szCs w:val="36"/>
        </w:rPr>
        <w:t>中华人民共和国生态环境部制</w:t>
      </w:r>
    </w:p>
    <w:p w14:paraId="53EFB82F">
      <w:pPr>
        <w:pStyle w:val="5"/>
        <w:ind w:left="0" w:leftChars="0" w:firstLine="0" w:firstLineChars="0"/>
        <w:rPr>
          <w:color w:val="auto"/>
        </w:rPr>
      </w:pPr>
    </w:p>
    <w:p w14:paraId="123F7AB9">
      <w:pPr>
        <w:adjustRightInd w:val="0"/>
        <w:snapToGrid w:val="0"/>
        <w:spacing w:line="288" w:lineRule="auto"/>
        <w:ind w:firstLine="1040"/>
        <w:rPr>
          <w:rFonts w:eastAsia="仿宋_GB2312"/>
          <w:color w:val="auto"/>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3DAD634D">
      <w:pPr>
        <w:pStyle w:val="2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auto"/>
          <w:sz w:val="30"/>
          <w:szCs w:val="30"/>
        </w:rPr>
      </w:pPr>
      <w:r>
        <w:rPr>
          <w:rFonts w:ascii="Times New Roman" w:hAnsi="Times New Roman" w:eastAsia="黑体"/>
          <w:b/>
          <w:bCs/>
          <w:snapToGrid w:val="0"/>
          <w:color w:val="auto"/>
          <w:sz w:val="30"/>
          <w:szCs w:val="30"/>
        </w:rPr>
        <w:t>一、建设项目基本情况</w:t>
      </w:r>
    </w:p>
    <w:tbl>
      <w:tblPr>
        <w:tblStyle w:val="33"/>
        <w:tblW w:w="91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
        <w:gridCol w:w="1399"/>
        <w:gridCol w:w="2510"/>
        <w:gridCol w:w="1848"/>
        <w:gridCol w:w="3080"/>
      </w:tblGrid>
      <w:tr w14:paraId="68CA4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8" w:hRule="atLeast"/>
          <w:jc w:val="center"/>
        </w:trPr>
        <w:tc>
          <w:tcPr>
            <w:tcW w:w="1859" w:type="dxa"/>
            <w:gridSpan w:val="2"/>
            <w:tcMar>
              <w:top w:w="16" w:type="dxa"/>
              <w:left w:w="16" w:type="dxa"/>
              <w:right w:w="16" w:type="dxa"/>
            </w:tcMar>
            <w:vAlign w:val="center"/>
          </w:tcPr>
          <w:p w14:paraId="6F96A413">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建设项目名称</w:t>
            </w:r>
          </w:p>
        </w:tc>
        <w:tc>
          <w:tcPr>
            <w:tcW w:w="7268" w:type="dxa"/>
            <w:gridSpan w:val="3"/>
            <w:vAlign w:val="center"/>
          </w:tcPr>
          <w:p w14:paraId="469E2DEA">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highlight w:val="yellow"/>
                <w:lang w:val="en-US" w:eastAsia="zh-CN"/>
              </w:rPr>
            </w:pPr>
            <w:r>
              <w:rPr>
                <w:rFonts w:hint="eastAsia" w:cs="Times New Roman"/>
                <w:color w:val="auto"/>
                <w:sz w:val="24"/>
                <w:lang w:val="en-US" w:eastAsia="zh-CN"/>
              </w:rPr>
              <w:t>面筋制品生产项目</w:t>
            </w:r>
          </w:p>
        </w:tc>
      </w:tr>
      <w:tr w14:paraId="02AB5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0F5F4DDC">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项目代码</w:t>
            </w:r>
          </w:p>
        </w:tc>
        <w:tc>
          <w:tcPr>
            <w:tcW w:w="7268" w:type="dxa"/>
            <w:gridSpan w:val="3"/>
            <w:vAlign w:val="center"/>
          </w:tcPr>
          <w:p w14:paraId="6ABC10C1">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2602-130467-89-05-643853</w:t>
            </w:r>
          </w:p>
        </w:tc>
      </w:tr>
      <w:tr w14:paraId="408F7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4146F348">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建设单位联系人</w:t>
            </w:r>
          </w:p>
        </w:tc>
        <w:tc>
          <w:tcPr>
            <w:tcW w:w="2446" w:type="dxa"/>
            <w:vAlign w:val="center"/>
          </w:tcPr>
          <w:p w14:paraId="6CE39C24">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lang w:val="en-US" w:eastAsia="zh-CN"/>
              </w:rPr>
            </w:pPr>
            <w:r>
              <w:rPr>
                <w:rFonts w:hint="eastAsia"/>
                <w:color w:val="auto"/>
                <w:sz w:val="24"/>
                <w:lang w:val="en-US" w:eastAsia="zh-CN"/>
              </w:rPr>
              <w:t>赵臣岭</w:t>
            </w:r>
          </w:p>
        </w:tc>
        <w:tc>
          <w:tcPr>
            <w:tcW w:w="1834" w:type="dxa"/>
            <w:vAlign w:val="center"/>
          </w:tcPr>
          <w:p w14:paraId="71F05CA2">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联系方式</w:t>
            </w:r>
          </w:p>
        </w:tc>
        <w:tc>
          <w:tcPr>
            <w:tcW w:w="2988" w:type="dxa"/>
            <w:vAlign w:val="center"/>
          </w:tcPr>
          <w:p w14:paraId="6D37CEEC">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13011499999</w:t>
            </w:r>
          </w:p>
        </w:tc>
      </w:tr>
      <w:tr w14:paraId="48001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3E0593B9">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建设地点</w:t>
            </w:r>
          </w:p>
        </w:tc>
        <w:tc>
          <w:tcPr>
            <w:tcW w:w="7268" w:type="dxa"/>
            <w:gridSpan w:val="3"/>
            <w:vAlign w:val="center"/>
          </w:tcPr>
          <w:p w14:paraId="11FB1AC5">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lang w:eastAsia="zh-CN"/>
              </w:rPr>
            </w:pPr>
            <w:r>
              <w:rPr>
                <w:rFonts w:hint="eastAsia" w:cs="Times New Roman"/>
                <w:color w:val="auto"/>
                <w:sz w:val="24"/>
                <w:lang w:val="en-US" w:eastAsia="zh-CN"/>
              </w:rPr>
              <w:t>河北省魏县经济开发区现代农业园区</w:t>
            </w:r>
          </w:p>
        </w:tc>
      </w:tr>
      <w:tr w14:paraId="67CAF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4CF7B75E">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地理坐标</w:t>
            </w:r>
          </w:p>
        </w:tc>
        <w:tc>
          <w:tcPr>
            <w:tcW w:w="7268" w:type="dxa"/>
            <w:gridSpan w:val="3"/>
            <w:vAlign w:val="center"/>
          </w:tcPr>
          <w:p w14:paraId="1728DAE8">
            <w:pPr>
              <w:keepNext w:val="0"/>
              <w:keepLines w:val="0"/>
              <w:pageBreakBefore w:val="0"/>
              <w:suppressLineNumbers w:val="0"/>
              <w:kinsoku/>
              <w:wordWrap/>
              <w:overflowPunct/>
              <w:topLinePunct w:val="0"/>
              <w:bidi w:val="0"/>
              <w:snapToGrid/>
              <w:spacing w:before="0" w:beforeAutospacing="0" w:after="0" w:afterAutospacing="0"/>
              <w:ind w:left="0" w:right="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东经114°59′55.409″，北纬36°20′39.88</w:t>
            </w:r>
            <w:r>
              <w:rPr>
                <w:rFonts w:hint="eastAsia" w:cs="Times New Roman"/>
                <w:color w:val="auto"/>
                <w:sz w:val="24"/>
                <w:lang w:val="en-US" w:eastAsia="zh-CN"/>
              </w:rPr>
              <w:t>7</w:t>
            </w:r>
            <w:r>
              <w:rPr>
                <w:rFonts w:hint="default" w:ascii="Times New Roman" w:hAnsi="Times New Roman" w:eastAsia="宋体" w:cs="Times New Roman"/>
                <w:color w:val="auto"/>
                <w:sz w:val="24"/>
                <w:lang w:eastAsia="zh-CN"/>
              </w:rPr>
              <w:t>″</w:t>
            </w:r>
          </w:p>
        </w:tc>
      </w:tr>
      <w:tr w14:paraId="57FAE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3F1E48B1">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国民经济</w:t>
            </w:r>
          </w:p>
          <w:p w14:paraId="0A4FE39F">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行业类别</w:t>
            </w:r>
          </w:p>
        </w:tc>
        <w:tc>
          <w:tcPr>
            <w:tcW w:w="2446" w:type="dxa"/>
            <w:vAlign w:val="center"/>
          </w:tcPr>
          <w:p w14:paraId="00634BA4">
            <w:pPr>
              <w:keepNext w:val="0"/>
              <w:keepLines w:val="0"/>
              <w:pageBreakBefore w:val="0"/>
              <w:widowControl/>
              <w:suppressLineNumbers w:val="0"/>
              <w:kinsoku/>
              <w:wordWrap/>
              <w:overflowPunct/>
              <w:topLinePunct w:val="0"/>
              <w:bidi w:val="0"/>
              <w:snapToGrid/>
              <w:spacing w:before="0" w:beforeAutospacing="0" w:after="0" w:afterAutospacing="0"/>
              <w:ind w:left="0" w:right="0" w:firstLine="480" w:firstLineChars="200"/>
              <w:jc w:val="both"/>
              <w:textAlignment w:val="auto"/>
              <w:rPr>
                <w:rFonts w:hint="default" w:ascii="Times New Roman" w:hAnsi="Times New Roman" w:eastAsia="宋体" w:cs="Times New Roman"/>
                <w:color w:val="auto"/>
                <w:sz w:val="24"/>
                <w:lang w:val="en-US" w:eastAsia="zh-CN"/>
              </w:rPr>
            </w:pPr>
            <w:r>
              <w:rPr>
                <w:rFonts w:hint="eastAsia" w:cs="Times New Roman"/>
                <w:color w:val="auto"/>
                <w:sz w:val="24"/>
                <w:szCs w:val="24"/>
                <w:highlight w:val="none"/>
                <w:lang w:val="en-US" w:eastAsia="zh-CN"/>
              </w:rPr>
              <w:t>C1391淀粉及淀粉制品制造</w:t>
            </w:r>
          </w:p>
        </w:tc>
        <w:tc>
          <w:tcPr>
            <w:tcW w:w="1834" w:type="dxa"/>
            <w:vAlign w:val="center"/>
          </w:tcPr>
          <w:p w14:paraId="66230A07">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bookmarkStart w:id="1" w:name="_Hlk49843745"/>
            <w:r>
              <w:rPr>
                <w:rFonts w:hint="default" w:ascii="Times New Roman" w:hAnsi="Times New Roman" w:eastAsia="宋体" w:cs="Times New Roman"/>
                <w:b/>
                <w:bCs/>
                <w:color w:val="auto"/>
                <w:sz w:val="24"/>
              </w:rPr>
              <w:t>建设项目</w:t>
            </w:r>
          </w:p>
          <w:p w14:paraId="5DB0D5F2">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行业类别</w:t>
            </w:r>
            <w:bookmarkEnd w:id="1"/>
          </w:p>
        </w:tc>
        <w:tc>
          <w:tcPr>
            <w:tcW w:w="2988" w:type="dxa"/>
            <w:vAlign w:val="center"/>
          </w:tcPr>
          <w:p w14:paraId="46F31E86">
            <w:pPr>
              <w:keepNext w:val="0"/>
              <w:keepLines w:val="0"/>
              <w:pageBreakBefore w:val="0"/>
              <w:suppressLineNumbers w:val="0"/>
              <w:kinsoku/>
              <w:wordWrap/>
              <w:overflowPunct/>
              <w:topLinePunct w:val="0"/>
              <w:bidi w:val="0"/>
              <w:adjustRightInd w:val="0"/>
              <w:snapToGrid/>
              <w:spacing w:before="0" w:beforeAutospacing="0" w:after="0" w:afterAutospacing="0"/>
              <w:ind w:left="0" w:right="0"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highlight w:val="none"/>
                <w:lang w:val="en-US" w:eastAsia="zh-CN"/>
              </w:rPr>
              <w:t>十、农副食品加工业</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20其他农副食品加工139*</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淀粉制品制造</w:t>
            </w:r>
            <w:r>
              <w:rPr>
                <w:rFonts w:hint="eastAsia" w:ascii="Times New Roman" w:hAnsi="Times New Roman" w:eastAsia="宋体" w:cs="Times New Roman"/>
                <w:color w:val="auto"/>
                <w:sz w:val="24"/>
                <w:szCs w:val="24"/>
                <w:highlight w:val="none"/>
                <w:lang w:val="en-US" w:eastAsia="zh-CN"/>
              </w:rPr>
              <w:t>；</w:t>
            </w:r>
          </w:p>
        </w:tc>
      </w:tr>
      <w:tr w14:paraId="68797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324054B5">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建设性质</w:t>
            </w:r>
          </w:p>
        </w:tc>
        <w:tc>
          <w:tcPr>
            <w:tcW w:w="2446" w:type="dxa"/>
            <w:vAlign w:val="center"/>
          </w:tcPr>
          <w:p w14:paraId="03BDB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52"/>
            </w:r>
            <w:r>
              <w:rPr>
                <w:rFonts w:hint="default" w:ascii="Times New Roman" w:hAnsi="Times New Roman" w:eastAsia="宋体" w:cs="Times New Roman"/>
                <w:color w:val="auto"/>
                <w:sz w:val="24"/>
              </w:rPr>
              <w:t>新建（迁建）</w:t>
            </w:r>
          </w:p>
          <w:p w14:paraId="7768F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改建</w:t>
            </w:r>
          </w:p>
          <w:p w14:paraId="30D00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扩建</w:t>
            </w:r>
          </w:p>
          <w:p w14:paraId="3C165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技术改造</w:t>
            </w:r>
          </w:p>
        </w:tc>
        <w:tc>
          <w:tcPr>
            <w:tcW w:w="1834" w:type="dxa"/>
            <w:vAlign w:val="center"/>
          </w:tcPr>
          <w:p w14:paraId="33794FDA">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建设项目</w:t>
            </w:r>
          </w:p>
          <w:p w14:paraId="7A225FFE">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申报情形</w:t>
            </w:r>
          </w:p>
        </w:tc>
        <w:tc>
          <w:tcPr>
            <w:tcW w:w="2988" w:type="dxa"/>
            <w:vAlign w:val="center"/>
          </w:tcPr>
          <w:p w14:paraId="27D5E8ED">
            <w:pPr>
              <w:keepNext w:val="0"/>
              <w:keepLines w:val="0"/>
              <w:pageBreakBefore w:val="0"/>
              <w:suppressLineNumbers w:val="0"/>
              <w:kinsoku/>
              <w:wordWrap/>
              <w:overflowPunct/>
              <w:topLinePunct w:val="0"/>
              <w:bidi w:val="0"/>
              <w:snapToGrid/>
              <w:spacing w:before="0" w:beforeAutospacing="0" w:after="0" w:afterAutospacing="0"/>
              <w:ind w:left="0" w:right="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52"/>
            </w:r>
            <w:r>
              <w:rPr>
                <w:rFonts w:hint="default" w:ascii="Times New Roman" w:hAnsi="Times New Roman" w:eastAsia="宋体" w:cs="Times New Roman"/>
                <w:color w:val="auto"/>
                <w:sz w:val="24"/>
              </w:rPr>
              <w:t>首次申报项目</w:t>
            </w:r>
          </w:p>
          <w:p w14:paraId="328763AC">
            <w:pPr>
              <w:keepNext w:val="0"/>
              <w:keepLines w:val="0"/>
              <w:pageBreakBefore w:val="0"/>
              <w:suppressLineNumbers w:val="0"/>
              <w:kinsoku/>
              <w:wordWrap/>
              <w:overflowPunct/>
              <w:topLinePunct w:val="0"/>
              <w:bidi w:val="0"/>
              <w:snapToGrid/>
              <w:spacing w:before="0" w:beforeAutospacing="0" w:after="0" w:afterAutospacing="0"/>
              <w:ind w:left="0" w:right="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□不予批准后再次申报项目</w:t>
            </w:r>
          </w:p>
          <w:p w14:paraId="30A94169">
            <w:pPr>
              <w:keepNext w:val="0"/>
              <w:keepLines w:val="0"/>
              <w:pageBreakBefore w:val="0"/>
              <w:suppressLineNumbers w:val="0"/>
              <w:kinsoku/>
              <w:wordWrap/>
              <w:overflowPunct/>
              <w:topLinePunct w:val="0"/>
              <w:bidi w:val="0"/>
              <w:snapToGrid/>
              <w:spacing w:before="0" w:beforeAutospacing="0" w:after="0" w:afterAutospacing="0"/>
              <w:ind w:left="0" w:right="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□超五年重新审核项目</w:t>
            </w:r>
          </w:p>
          <w:p w14:paraId="321BBE32">
            <w:pPr>
              <w:keepNext w:val="0"/>
              <w:keepLines w:val="0"/>
              <w:pageBreakBefore w:val="0"/>
              <w:suppressLineNumbers w:val="0"/>
              <w:kinsoku/>
              <w:wordWrap/>
              <w:overflowPunct/>
              <w:topLinePunct w:val="0"/>
              <w:bidi w:val="0"/>
              <w:snapToGrid/>
              <w:spacing w:before="0" w:beforeAutospacing="0" w:after="0" w:afterAutospacing="0"/>
              <w:ind w:left="0" w:right="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□重大变动重新报批项目</w:t>
            </w:r>
          </w:p>
        </w:tc>
      </w:tr>
      <w:tr w14:paraId="1E92E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3EC52668">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项目审批（核准/</w:t>
            </w:r>
          </w:p>
          <w:p w14:paraId="376F8238">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备案）部门（选填）</w:t>
            </w:r>
          </w:p>
        </w:tc>
        <w:tc>
          <w:tcPr>
            <w:tcW w:w="2446" w:type="dxa"/>
            <w:vAlign w:val="center"/>
          </w:tcPr>
          <w:p w14:paraId="31802595">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河北魏县经济开发区管理委员会</w:t>
            </w:r>
          </w:p>
        </w:tc>
        <w:tc>
          <w:tcPr>
            <w:tcW w:w="1834" w:type="dxa"/>
            <w:vAlign w:val="center"/>
          </w:tcPr>
          <w:p w14:paraId="37AE8717">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项目审批（核准/</w:t>
            </w:r>
          </w:p>
          <w:p w14:paraId="58A43501">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备案）文号（选填）</w:t>
            </w:r>
          </w:p>
        </w:tc>
        <w:tc>
          <w:tcPr>
            <w:tcW w:w="2988" w:type="dxa"/>
            <w:vAlign w:val="center"/>
          </w:tcPr>
          <w:p w14:paraId="30BA8600">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魏经开审批</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2026</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002号</w:t>
            </w:r>
          </w:p>
        </w:tc>
      </w:tr>
      <w:tr w14:paraId="7A3E4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4E3F70A8">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总投资（万元）</w:t>
            </w:r>
          </w:p>
        </w:tc>
        <w:tc>
          <w:tcPr>
            <w:tcW w:w="2446" w:type="dxa"/>
            <w:vAlign w:val="center"/>
          </w:tcPr>
          <w:p w14:paraId="5119FF33">
            <w:pPr>
              <w:keepNext w:val="0"/>
              <w:keepLines w:val="0"/>
              <w:pageBreakBefore w:val="0"/>
              <w:widowControl/>
              <w:suppressLineNumbers w:val="0"/>
              <w:kinsoku/>
              <w:wordWrap/>
              <w:overflowPunct/>
              <w:topLinePunct w:val="0"/>
              <w:bidi w:val="0"/>
              <w:snapToGrid/>
              <w:spacing w:before="0" w:beforeAutospacing="0" w:after="0" w:afterAutospacing="0"/>
              <w:ind w:left="0" w:right="0"/>
              <w:jc w:val="center"/>
              <w:textAlignment w:val="auto"/>
              <w:rPr>
                <w:rFonts w:hint="default" w:ascii="Times New Roman" w:hAnsi="Times New Roman" w:eastAsia="宋体" w:cs="Times New Roman"/>
                <w:color w:val="auto"/>
                <w:sz w:val="24"/>
                <w:highlight w:val="yellow"/>
                <w:lang w:val="en-US" w:eastAsia="zh-CN"/>
              </w:rPr>
            </w:pPr>
            <w:r>
              <w:rPr>
                <w:rFonts w:hint="eastAsia" w:cs="Times New Roman"/>
                <w:color w:val="auto"/>
                <w:kern w:val="0"/>
                <w:sz w:val="24"/>
                <w:szCs w:val="24"/>
                <w:highlight w:val="none"/>
                <w:lang w:val="en-US" w:eastAsia="zh-CN" w:bidi="ar"/>
              </w:rPr>
              <w:t>19000</w:t>
            </w:r>
          </w:p>
        </w:tc>
        <w:tc>
          <w:tcPr>
            <w:tcW w:w="1834" w:type="dxa"/>
            <w:tcMar>
              <w:top w:w="16" w:type="dxa"/>
              <w:left w:w="16" w:type="dxa"/>
              <w:right w:w="16" w:type="dxa"/>
            </w:tcMar>
            <w:vAlign w:val="center"/>
          </w:tcPr>
          <w:p w14:paraId="06FDB3B1">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环保投资（万元）</w:t>
            </w:r>
          </w:p>
        </w:tc>
        <w:tc>
          <w:tcPr>
            <w:tcW w:w="2988" w:type="dxa"/>
            <w:vAlign w:val="center"/>
          </w:tcPr>
          <w:p w14:paraId="7F381C3A">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highlight w:val="yellow"/>
                <w:lang w:val="en-US" w:eastAsia="zh-CN"/>
              </w:rPr>
            </w:pPr>
            <w:r>
              <w:rPr>
                <w:rFonts w:hint="eastAsia" w:cs="Times New Roman"/>
                <w:color w:val="auto"/>
                <w:sz w:val="24"/>
                <w:highlight w:val="none"/>
                <w:lang w:val="en-US" w:eastAsia="zh-CN"/>
              </w:rPr>
              <w:t>60</w:t>
            </w:r>
          </w:p>
        </w:tc>
      </w:tr>
      <w:tr w14:paraId="392E0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650B44B8">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环保投资占比（%）</w:t>
            </w:r>
          </w:p>
        </w:tc>
        <w:tc>
          <w:tcPr>
            <w:tcW w:w="2446" w:type="dxa"/>
            <w:vAlign w:val="center"/>
          </w:tcPr>
          <w:p w14:paraId="7EE94DD9">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0.32</w:t>
            </w:r>
          </w:p>
        </w:tc>
        <w:tc>
          <w:tcPr>
            <w:tcW w:w="1834" w:type="dxa"/>
            <w:tcMar>
              <w:top w:w="16" w:type="dxa"/>
              <w:left w:w="16" w:type="dxa"/>
              <w:right w:w="16" w:type="dxa"/>
            </w:tcMar>
            <w:vAlign w:val="center"/>
          </w:tcPr>
          <w:p w14:paraId="1932F727">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施工工期</w:t>
            </w:r>
          </w:p>
        </w:tc>
        <w:tc>
          <w:tcPr>
            <w:tcW w:w="2988" w:type="dxa"/>
            <w:vAlign w:val="center"/>
          </w:tcPr>
          <w:p w14:paraId="1C67E661">
            <w:pPr>
              <w:keepNext w:val="0"/>
              <w:keepLines w:val="0"/>
              <w:pageBreakBefore w:val="0"/>
              <w:suppressLineNumbers w:val="0"/>
              <w:kinsoku/>
              <w:wordWrap/>
              <w:overflowPunct/>
              <w:topLinePunct w:val="0"/>
              <w:bidi w:val="0"/>
              <w:snapToGrid/>
              <w:spacing w:before="0" w:beforeAutospacing="0" w:after="0" w:afterAutospacing="0"/>
              <w:ind w:left="0" w:right="0"/>
              <w:jc w:val="center"/>
              <w:textAlignment w:val="auto"/>
              <w:rPr>
                <w:rFonts w:hint="default" w:ascii="Times New Roman" w:hAnsi="Times New Roman" w:eastAsia="宋体" w:cs="Times New Roman"/>
                <w:color w:val="auto"/>
                <w:szCs w:val="21"/>
                <w:highlight w:val="none"/>
              </w:rPr>
            </w:pP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个月</w:t>
            </w:r>
          </w:p>
        </w:tc>
      </w:tr>
      <w:tr w14:paraId="38E14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9" w:type="dxa"/>
            <w:gridSpan w:val="2"/>
            <w:tcMar>
              <w:top w:w="16" w:type="dxa"/>
              <w:left w:w="16" w:type="dxa"/>
              <w:right w:w="16" w:type="dxa"/>
            </w:tcMar>
            <w:vAlign w:val="center"/>
          </w:tcPr>
          <w:p w14:paraId="40C0DAF6">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是否开工建设</w:t>
            </w:r>
          </w:p>
        </w:tc>
        <w:tc>
          <w:tcPr>
            <w:tcW w:w="2446" w:type="dxa"/>
            <w:vAlign w:val="center"/>
          </w:tcPr>
          <w:p w14:paraId="1A751E7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105" w:leftChars="50" w:right="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52"/>
            </w:r>
            <w:r>
              <w:rPr>
                <w:rFonts w:hint="default" w:ascii="Times New Roman" w:hAnsi="Times New Roman" w:eastAsia="宋体" w:cs="Times New Roman"/>
                <w:color w:val="auto"/>
                <w:sz w:val="24"/>
              </w:rPr>
              <w:t>否</w:t>
            </w:r>
          </w:p>
          <w:p w14:paraId="201775A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105" w:leftChars="50" w:right="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是：</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p>
        </w:tc>
        <w:tc>
          <w:tcPr>
            <w:tcW w:w="1834" w:type="dxa"/>
            <w:tcMar>
              <w:top w:w="16" w:type="dxa"/>
              <w:left w:w="16" w:type="dxa"/>
              <w:right w:w="16" w:type="dxa"/>
            </w:tcMar>
            <w:vAlign w:val="center"/>
          </w:tcPr>
          <w:p w14:paraId="0A82BDA9">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pacing w:val="-6"/>
                <w:sz w:val="24"/>
              </w:rPr>
            </w:pPr>
            <w:r>
              <w:rPr>
                <w:rFonts w:hint="default" w:ascii="Times New Roman" w:hAnsi="Times New Roman" w:eastAsia="宋体" w:cs="Times New Roman"/>
                <w:b/>
                <w:bCs/>
                <w:color w:val="auto"/>
                <w:spacing w:val="-6"/>
                <w:sz w:val="24"/>
              </w:rPr>
              <w:t>用地（用海）</w:t>
            </w:r>
          </w:p>
          <w:p w14:paraId="58985F63">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pacing w:val="-6"/>
                <w:sz w:val="24"/>
              </w:rPr>
              <w:t>面积（m</w:t>
            </w:r>
            <w:r>
              <w:rPr>
                <w:rFonts w:hint="default" w:ascii="Times New Roman" w:hAnsi="Times New Roman" w:eastAsia="宋体" w:cs="Times New Roman"/>
                <w:b/>
                <w:bCs/>
                <w:color w:val="auto"/>
                <w:spacing w:val="-6"/>
                <w:sz w:val="24"/>
                <w:vertAlign w:val="superscript"/>
              </w:rPr>
              <w:t>2</w:t>
            </w:r>
            <w:r>
              <w:rPr>
                <w:rFonts w:hint="default" w:ascii="Times New Roman" w:hAnsi="Times New Roman" w:eastAsia="宋体" w:cs="Times New Roman"/>
                <w:b/>
                <w:bCs/>
                <w:color w:val="auto"/>
                <w:spacing w:val="-6"/>
                <w:sz w:val="24"/>
              </w:rPr>
              <w:t>）</w:t>
            </w:r>
          </w:p>
        </w:tc>
        <w:tc>
          <w:tcPr>
            <w:tcW w:w="2988" w:type="dxa"/>
            <w:vAlign w:val="center"/>
          </w:tcPr>
          <w:p w14:paraId="6000BE90">
            <w:pPr>
              <w:keepNext w:val="0"/>
              <w:keepLines w:val="0"/>
              <w:pageBreakBefore w:val="0"/>
              <w:suppressLineNumbers w:val="0"/>
              <w:kinsoku/>
              <w:wordWrap/>
              <w:overflowPunct/>
              <w:topLinePunct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40290.98</w:t>
            </w:r>
          </w:p>
        </w:tc>
      </w:tr>
      <w:tr w14:paraId="668BB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gridSpan w:val="2"/>
            <w:vAlign w:val="center"/>
          </w:tcPr>
          <w:p w14:paraId="722C16A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专项评价设置情况</w:t>
            </w:r>
          </w:p>
        </w:tc>
        <w:tc>
          <w:tcPr>
            <w:tcW w:w="7268" w:type="dxa"/>
            <w:gridSpan w:val="3"/>
            <w:vAlign w:val="center"/>
          </w:tcPr>
          <w:p w14:paraId="35D92F8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4"/>
              </w:rPr>
            </w:pPr>
            <w:r>
              <w:rPr>
                <w:rFonts w:hint="eastAsia" w:cs="Times New Roman"/>
                <w:b w:val="0"/>
                <w:bCs w:val="0"/>
                <w:color w:val="auto"/>
                <w:kern w:val="0"/>
                <w:sz w:val="24"/>
                <w:lang w:val="en-US" w:eastAsia="zh-CN"/>
              </w:rPr>
              <w:t>无</w:t>
            </w:r>
          </w:p>
        </w:tc>
      </w:tr>
      <w:tr w14:paraId="41910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gridSpan w:val="2"/>
            <w:vAlign w:val="center"/>
          </w:tcPr>
          <w:p w14:paraId="40CD62D0">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sz w:val="24"/>
              </w:rPr>
              <w:t>规划情况</w:t>
            </w:r>
          </w:p>
        </w:tc>
        <w:tc>
          <w:tcPr>
            <w:tcW w:w="7268" w:type="dxa"/>
            <w:gridSpan w:val="3"/>
            <w:vAlign w:val="center"/>
          </w:tcPr>
          <w:p w14:paraId="13C81EC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both"/>
              <w:textAlignment w:val="auto"/>
              <w:rPr>
                <w:rFonts w:hint="default" w:ascii="Times New Roman" w:hAnsi="Times New Roman" w:eastAsia="宋体" w:cs="Times New Roman"/>
                <w:b w:val="0"/>
                <w:bCs w:val="0"/>
                <w:color w:val="auto"/>
                <w:kern w:val="0"/>
                <w:sz w:val="24"/>
                <w:lang w:val="en-US" w:eastAsia="zh-CN"/>
              </w:rPr>
            </w:pPr>
            <w:r>
              <w:rPr>
                <w:rFonts w:hint="default" w:ascii="Times New Roman" w:hAnsi="Times New Roman" w:eastAsia="宋体" w:cs="Times New Roman"/>
                <w:b/>
                <w:bCs/>
                <w:color w:val="auto"/>
                <w:kern w:val="0"/>
                <w:sz w:val="24"/>
                <w:lang w:val="en-US" w:eastAsia="zh-CN"/>
              </w:rPr>
              <w:t>规划名称：</w:t>
            </w:r>
            <w:r>
              <w:rPr>
                <w:rFonts w:hint="default" w:ascii="Times New Roman" w:hAnsi="Times New Roman" w:eastAsia="宋体" w:cs="Times New Roman"/>
                <w:b w:val="0"/>
                <w:bCs w:val="0"/>
                <w:color w:val="auto"/>
                <w:kern w:val="0"/>
                <w:sz w:val="24"/>
                <w:lang w:val="en-US" w:eastAsia="zh-CN"/>
              </w:rPr>
              <w:t>《河北魏县经济开发区总体发展规划(2022-2030年)》</w:t>
            </w:r>
          </w:p>
          <w:p w14:paraId="2910844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both"/>
              <w:textAlignment w:val="auto"/>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b/>
                <w:bCs/>
                <w:color w:val="auto"/>
                <w:kern w:val="0"/>
                <w:sz w:val="24"/>
                <w:lang w:val="en-US" w:eastAsia="zh-CN"/>
              </w:rPr>
              <w:t>审批机关：</w:t>
            </w:r>
            <w:r>
              <w:rPr>
                <w:rFonts w:hint="default" w:ascii="Times New Roman" w:hAnsi="Times New Roman" w:eastAsia="宋体" w:cs="Times New Roman"/>
                <w:b w:val="0"/>
                <w:bCs w:val="0"/>
                <w:color w:val="auto"/>
                <w:kern w:val="0"/>
                <w:sz w:val="24"/>
                <w:lang w:val="en-US" w:eastAsia="zh-CN"/>
              </w:rPr>
              <w:t>河北省人民政府</w:t>
            </w:r>
          </w:p>
        </w:tc>
      </w:tr>
      <w:tr w14:paraId="58340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gridSpan w:val="2"/>
            <w:vAlign w:val="center"/>
          </w:tcPr>
          <w:p w14:paraId="578D940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b/>
                <w:bCs/>
                <w:color w:val="auto"/>
                <w:sz w:val="24"/>
              </w:rPr>
              <w:t>规划</w:t>
            </w:r>
            <w:r>
              <w:rPr>
                <w:rFonts w:hint="eastAsia" w:cs="Times New Roman"/>
                <w:b/>
                <w:bCs/>
                <w:color w:val="auto"/>
                <w:sz w:val="24"/>
                <w:lang w:eastAsia="zh-CN"/>
              </w:rPr>
              <w:t>环境影响评价</w:t>
            </w:r>
            <w:r>
              <w:rPr>
                <w:rFonts w:hint="default" w:ascii="Times New Roman" w:hAnsi="Times New Roman" w:eastAsia="宋体" w:cs="Times New Roman"/>
                <w:b/>
                <w:bCs/>
                <w:color w:val="auto"/>
                <w:sz w:val="24"/>
              </w:rPr>
              <w:t>情况</w:t>
            </w:r>
          </w:p>
        </w:tc>
        <w:tc>
          <w:tcPr>
            <w:tcW w:w="7268" w:type="dxa"/>
            <w:gridSpan w:val="3"/>
            <w:vAlign w:val="center"/>
          </w:tcPr>
          <w:p w14:paraId="171582A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left"/>
              <w:textAlignment w:val="auto"/>
              <w:rPr>
                <w:rFonts w:hint="default" w:ascii="Times New Roman" w:hAnsi="Times New Roman" w:eastAsia="宋体" w:cs="Times New Roman"/>
                <w:b w:val="0"/>
                <w:bCs w:val="0"/>
                <w:color w:val="auto"/>
                <w:kern w:val="0"/>
                <w:sz w:val="24"/>
                <w:lang w:val="en-US" w:eastAsia="zh-CN"/>
              </w:rPr>
            </w:pPr>
            <w:r>
              <w:rPr>
                <w:rFonts w:hint="default" w:ascii="Times New Roman" w:hAnsi="Times New Roman" w:eastAsia="宋体" w:cs="Times New Roman"/>
                <w:b/>
                <w:bCs/>
                <w:color w:val="auto"/>
                <w:kern w:val="0"/>
                <w:sz w:val="24"/>
                <w:lang w:val="en-US" w:eastAsia="zh-CN"/>
              </w:rPr>
              <w:t>规划环境影响评价文件名称：</w:t>
            </w:r>
            <w:r>
              <w:rPr>
                <w:rFonts w:hint="default" w:ascii="Times New Roman" w:hAnsi="Times New Roman" w:eastAsia="宋体" w:cs="Times New Roman"/>
                <w:b w:val="0"/>
                <w:bCs w:val="0"/>
                <w:color w:val="auto"/>
                <w:kern w:val="0"/>
                <w:sz w:val="24"/>
                <w:lang w:val="en-US" w:eastAsia="zh-CN"/>
              </w:rPr>
              <w:t>《河北魏县经济开发区总体发展规划(2022-2030年)环境影响报告书》</w:t>
            </w:r>
          </w:p>
          <w:p w14:paraId="15D7B13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left"/>
              <w:textAlignment w:val="auto"/>
              <w:rPr>
                <w:rFonts w:hint="default" w:ascii="Times New Roman" w:hAnsi="Times New Roman" w:eastAsia="宋体" w:cs="Times New Roman"/>
                <w:b w:val="0"/>
                <w:bCs w:val="0"/>
                <w:color w:val="auto"/>
                <w:kern w:val="0"/>
                <w:sz w:val="24"/>
                <w:lang w:val="en-US" w:eastAsia="zh-CN"/>
              </w:rPr>
            </w:pPr>
            <w:r>
              <w:rPr>
                <w:rFonts w:hint="default" w:ascii="Times New Roman" w:hAnsi="Times New Roman" w:eastAsia="宋体" w:cs="Times New Roman"/>
                <w:b/>
                <w:bCs/>
                <w:color w:val="auto"/>
                <w:kern w:val="0"/>
                <w:sz w:val="24"/>
                <w:lang w:val="en-US" w:eastAsia="zh-CN"/>
              </w:rPr>
              <w:t>召集审查机关：</w:t>
            </w:r>
            <w:r>
              <w:rPr>
                <w:rFonts w:hint="default" w:ascii="Times New Roman" w:hAnsi="Times New Roman" w:eastAsia="宋体" w:cs="Times New Roman"/>
                <w:b w:val="0"/>
                <w:bCs w:val="0"/>
                <w:color w:val="auto"/>
                <w:kern w:val="0"/>
                <w:sz w:val="24"/>
                <w:lang w:val="en-US" w:eastAsia="zh-CN"/>
              </w:rPr>
              <w:t>河北省生态环境厅</w:t>
            </w:r>
          </w:p>
          <w:p w14:paraId="1B44589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left"/>
              <w:textAlignment w:val="auto"/>
              <w:rPr>
                <w:rFonts w:hint="default" w:ascii="Times New Roman" w:hAnsi="Times New Roman" w:eastAsia="宋体" w:cs="Times New Roman"/>
                <w:b w:val="0"/>
                <w:bCs w:val="0"/>
                <w:color w:val="auto"/>
                <w:kern w:val="0"/>
                <w:sz w:val="24"/>
                <w:lang w:val="en-US" w:eastAsia="zh-CN"/>
              </w:rPr>
            </w:pPr>
            <w:r>
              <w:rPr>
                <w:rFonts w:hint="default" w:ascii="Times New Roman" w:hAnsi="Times New Roman" w:eastAsia="宋体" w:cs="Times New Roman"/>
                <w:b/>
                <w:bCs/>
                <w:color w:val="auto"/>
                <w:kern w:val="0"/>
                <w:sz w:val="24"/>
                <w:lang w:val="en-US" w:eastAsia="zh-CN"/>
              </w:rPr>
              <w:t>审查文件名称及文号：</w:t>
            </w:r>
            <w:r>
              <w:rPr>
                <w:rFonts w:hint="default" w:ascii="Times New Roman" w:hAnsi="Times New Roman" w:eastAsia="宋体" w:cs="Times New Roman"/>
                <w:b w:val="0"/>
                <w:bCs w:val="0"/>
                <w:color w:val="auto"/>
                <w:kern w:val="0"/>
                <w:sz w:val="24"/>
                <w:lang w:val="en-US" w:eastAsia="zh-CN"/>
              </w:rPr>
              <w:t>冀环环评函〔2024〕961号</w:t>
            </w:r>
          </w:p>
        </w:tc>
      </w:tr>
      <w:tr w14:paraId="21DAF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 w:type="dxa"/>
            <w:vAlign w:val="center"/>
          </w:tcPr>
          <w:p w14:paraId="05D123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规划及</w:t>
            </w:r>
            <w:r>
              <w:rPr>
                <w:rFonts w:hint="eastAsia" w:cs="Times New Roman"/>
                <w:b/>
                <w:bCs/>
                <w:color w:val="auto"/>
                <w:kern w:val="0"/>
                <w:sz w:val="24"/>
                <w:lang w:eastAsia="zh-CN"/>
              </w:rPr>
              <w:t>规</w:t>
            </w:r>
            <w:r>
              <w:rPr>
                <w:rFonts w:hint="default" w:ascii="Times New Roman" w:hAnsi="Times New Roman" w:eastAsia="宋体" w:cs="Times New Roman"/>
                <w:b/>
                <w:bCs/>
                <w:color w:val="auto"/>
                <w:kern w:val="0"/>
                <w:sz w:val="24"/>
              </w:rPr>
              <w:t>划环境影响评价符合性分析</w:t>
            </w:r>
          </w:p>
        </w:tc>
        <w:tc>
          <w:tcPr>
            <w:tcW w:w="8800" w:type="dxa"/>
            <w:gridSpan w:val="4"/>
            <w:vAlign w:val="center"/>
          </w:tcPr>
          <w:p w14:paraId="2AB359FF">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1、河北魏县经济开发区规划范围</w:t>
            </w:r>
          </w:p>
          <w:p w14:paraId="0CFF24B0">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val="en-US" w:eastAsia="zh-CN"/>
              </w:rPr>
              <w:t>2023年，河北省人民政府对开发区省级规划范围进行了调整，根据《河北省人民政府关于同意河北魏县经济开发区调整规划范围的批复》(冀政字</w:t>
            </w:r>
            <w:r>
              <w:rPr>
                <w:rFonts w:hint="eastAsia" w:cs="Times New Roman"/>
                <w:color w:val="auto"/>
                <w:sz w:val="24"/>
                <w:lang w:val="en-US" w:eastAsia="zh-CN"/>
              </w:rPr>
              <w:t>〔2023〕10号</w:t>
            </w:r>
            <w:r>
              <w:rPr>
                <w:rFonts w:hint="default" w:ascii="Times New Roman" w:hAnsi="Times New Roman" w:eastAsia="宋体" w:cs="Times New Roman"/>
                <w:color w:val="auto"/>
                <w:sz w:val="24"/>
                <w:lang w:val="en-US" w:eastAsia="zh-CN"/>
              </w:rPr>
              <w:t>)，“开发区调出面积793.54公顷，调入面积793.54公顷(2个区块)，调整后开发区总面积826.16公顷，分为3个区块。区块1全部为本次调入地块，面积44.66公顷，四至范围：东至六十町村地、南至魏州东路、西至长安大道、北至农业园区路；区块2全部为本次调入地块，面积748.88公顷，四至范围：东至乐业大街、南至魏大馆排水渠、西至万泉大街、北至魏州东路；区块3为开发区保留地块，面积32.62公顷，四至范围：东至柏二庄村地、南至天安大道、西至兴源大道、北至洹水大道”。</w:t>
            </w:r>
          </w:p>
          <w:p w14:paraId="25F4FC50">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en-US" w:eastAsia="zh-CN"/>
              </w:rPr>
            </w:pPr>
            <w:r>
              <w:rPr>
                <w:rFonts w:hint="default" w:ascii="Times New Roman" w:hAnsi="Times New Roman" w:eastAsia="宋体" w:cs="Times New Roman"/>
                <w:b/>
                <w:bCs/>
                <w:color w:val="auto"/>
                <w:sz w:val="24"/>
                <w:lang w:eastAsia="zh-CN"/>
              </w:rPr>
              <w:t>本项目位于</w:t>
            </w:r>
            <w:r>
              <w:rPr>
                <w:rFonts w:hint="eastAsia" w:cs="Times New Roman"/>
                <w:b/>
                <w:bCs/>
                <w:color w:val="auto"/>
                <w:sz w:val="24"/>
                <w:lang w:eastAsia="zh-CN"/>
              </w:rPr>
              <w:t>河北省邯郸市魏县经济开发区魏县现代农业园区</w:t>
            </w:r>
            <w:r>
              <w:rPr>
                <w:rFonts w:hint="default" w:ascii="Times New Roman" w:hAnsi="Times New Roman" w:eastAsia="宋体" w:cs="Times New Roman"/>
                <w:b/>
                <w:bCs/>
                <w:color w:val="auto"/>
                <w:sz w:val="24"/>
                <w:lang w:eastAsia="zh-CN"/>
              </w:rPr>
              <w:t>，属于河北魏县经济开发区</w:t>
            </w:r>
            <w:r>
              <w:rPr>
                <w:rFonts w:hint="default" w:ascii="Times New Roman" w:hAnsi="Times New Roman" w:eastAsia="宋体" w:cs="Times New Roman"/>
                <w:b/>
                <w:bCs/>
                <w:color w:val="auto"/>
                <w:sz w:val="24"/>
                <w:lang w:val="en-US" w:eastAsia="zh-CN"/>
              </w:rPr>
              <w:t>-先进装备制造园区</w:t>
            </w:r>
            <w:r>
              <w:rPr>
                <w:rFonts w:hint="eastAsia" w:cs="Times New Roman"/>
                <w:b/>
                <w:bCs/>
                <w:color w:val="auto"/>
                <w:sz w:val="24"/>
                <w:lang w:val="en-US" w:eastAsia="zh-CN"/>
              </w:rPr>
              <w:t>规划的</w:t>
            </w:r>
            <w:r>
              <w:rPr>
                <w:rFonts w:hint="default" w:ascii="Times New Roman" w:hAnsi="Times New Roman" w:eastAsia="宋体" w:cs="Times New Roman"/>
                <w:b/>
                <w:bCs/>
                <w:color w:val="auto"/>
                <w:sz w:val="24"/>
                <w:lang w:val="en-US" w:eastAsia="zh-CN"/>
              </w:rPr>
              <w:t>食品加工区</w:t>
            </w:r>
            <w:r>
              <w:rPr>
                <w:rFonts w:hint="default" w:ascii="Times New Roman" w:hAnsi="Times New Roman" w:eastAsia="宋体" w:cs="Times New Roman"/>
                <w:b/>
                <w:bCs/>
                <w:color w:val="auto"/>
                <w:sz w:val="24"/>
                <w:lang w:eastAsia="zh-CN"/>
              </w:rPr>
              <w:t>（项目地理位置图</w:t>
            </w:r>
            <w:r>
              <w:rPr>
                <w:rFonts w:hint="default" w:ascii="Times New Roman" w:hAnsi="Times New Roman" w:eastAsia="宋体" w:cs="Times New Roman"/>
                <w:b/>
                <w:bCs/>
                <w:color w:val="auto"/>
                <w:sz w:val="24"/>
                <w:lang w:val="en-US" w:eastAsia="zh-CN"/>
              </w:rPr>
              <w:t>见附图1</w:t>
            </w:r>
            <w:r>
              <w:rPr>
                <w:rFonts w:hint="eastAsia" w:cs="Times New Roman"/>
                <w:b/>
                <w:bCs/>
                <w:color w:val="auto"/>
                <w:sz w:val="24"/>
                <w:lang w:val="en-US" w:eastAsia="zh-CN"/>
              </w:rPr>
              <w:t>，所处园区位置见附图5</w:t>
            </w:r>
            <w:r>
              <w:rPr>
                <w:rFonts w:hint="default" w:ascii="Times New Roman" w:hAnsi="Times New Roman" w:eastAsia="宋体" w:cs="Times New Roman"/>
                <w:b/>
                <w:bCs/>
                <w:color w:val="auto"/>
                <w:sz w:val="24"/>
                <w:lang w:val="en-US" w:eastAsia="zh-CN"/>
              </w:rPr>
              <w:t>）。</w:t>
            </w:r>
          </w:p>
          <w:p w14:paraId="15326434">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b/>
                <w:bCs/>
                <w:color w:val="auto"/>
                <w:kern w:val="0"/>
                <w:sz w:val="24"/>
                <w:lang w:val="en-US" w:eastAsia="zh-CN"/>
              </w:rPr>
              <w:t>2</w:t>
            </w:r>
            <w:r>
              <w:rPr>
                <w:rFonts w:hint="default" w:ascii="Times New Roman" w:hAnsi="Times New Roman" w:eastAsia="宋体" w:cs="Times New Roman"/>
                <w:b/>
                <w:bCs/>
                <w:color w:val="auto"/>
                <w:kern w:val="0"/>
                <w:sz w:val="24"/>
              </w:rPr>
              <w:t>、项目与园区基础设施建设符合性分析</w:t>
            </w:r>
          </w:p>
          <w:p w14:paraId="61D955E7">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本项目位于</w:t>
            </w:r>
            <w:r>
              <w:rPr>
                <w:rFonts w:hint="default" w:ascii="Times New Roman" w:hAnsi="Times New Roman" w:eastAsia="宋体" w:cs="Times New Roman"/>
                <w:b w:val="0"/>
                <w:bCs w:val="0"/>
                <w:color w:val="auto"/>
                <w:sz w:val="24"/>
                <w:lang w:val="en-US" w:eastAsia="zh-CN"/>
              </w:rPr>
              <w:t>河北魏县经济开发区-先进装备制造园区</w:t>
            </w:r>
            <w:r>
              <w:rPr>
                <w:rFonts w:hint="default" w:ascii="Times New Roman" w:hAnsi="Times New Roman" w:eastAsia="宋体" w:cs="Times New Roman"/>
                <w:color w:val="auto"/>
                <w:sz w:val="24"/>
                <w:lang w:eastAsia="zh-CN"/>
              </w:rPr>
              <w:t>规划</w:t>
            </w:r>
            <w:r>
              <w:rPr>
                <w:rFonts w:hint="eastAsia" w:cs="Times New Roman"/>
                <w:color w:val="auto"/>
                <w:sz w:val="24"/>
                <w:lang w:eastAsia="zh-CN"/>
              </w:rPr>
              <w:t>的</w:t>
            </w:r>
            <w:r>
              <w:rPr>
                <w:rFonts w:hint="default" w:ascii="Times New Roman" w:hAnsi="Times New Roman" w:eastAsia="宋体" w:cs="Times New Roman"/>
                <w:color w:val="auto"/>
                <w:sz w:val="24"/>
                <w:lang w:val="en-US" w:eastAsia="zh-CN"/>
              </w:rPr>
              <w:t>食品加工区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先进装备制造园区</w:t>
            </w:r>
            <w:r>
              <w:rPr>
                <w:rFonts w:hint="default" w:ascii="Times New Roman" w:hAnsi="Times New Roman" w:eastAsia="宋体" w:cs="Times New Roman"/>
                <w:color w:val="auto"/>
                <w:sz w:val="24"/>
                <w:lang w:eastAsia="zh-CN"/>
              </w:rPr>
              <w:t>基础设施建设情况如下：</w:t>
            </w:r>
          </w:p>
          <w:p w14:paraId="19D7B9FB">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sz w:val="24"/>
              </w:rPr>
            </w:pPr>
            <w:r>
              <w:rPr>
                <w:rFonts w:hint="eastAsia" w:cs="Times New Roman"/>
                <w:b/>
                <w:bCs/>
                <w:color w:val="auto"/>
                <w:sz w:val="24"/>
                <w:lang w:val="en-US" w:eastAsia="zh-CN"/>
              </w:rPr>
              <w:t>2.1</w:t>
            </w:r>
            <w:r>
              <w:rPr>
                <w:rFonts w:hint="default" w:ascii="Times New Roman" w:hAnsi="Times New Roman" w:eastAsia="宋体" w:cs="Times New Roman"/>
                <w:b/>
                <w:bCs/>
                <w:color w:val="auto"/>
                <w:sz w:val="24"/>
                <w:lang w:eastAsia="zh-CN"/>
              </w:rPr>
              <w:t>供水规划</w:t>
            </w:r>
          </w:p>
          <w:p w14:paraId="6A6B72E7">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开发区先进装备制造园区、汽车产业园区现状用水为南水北调地表水和污水处理厂中水，供水由魏县经济开发区配套水厂及魏县经济开发区污水处理有限公司中水供应。魏县经济开发区配套水厂位于先进装备制造园区中部，水厂设计规模4万吨/日，现状已建成1万吨/日供水规模。供水范围主要为开发区范围内企业生产生活用水。魏县经济开发区污水处理有限公司现状建设有1座1000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中水回用水池，中水回用途径主要为园区内道路洒水、绿化用水及魏县德尚环保公司除渣系统冷却用水，中水回用量约为1400m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p>
          <w:p w14:paraId="03EAE212">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lang w:eastAsia="zh-CN"/>
              </w:rPr>
            </w:pPr>
            <w:r>
              <w:rPr>
                <w:rFonts w:hint="default" w:ascii="Times New Roman" w:hAnsi="Times New Roman" w:eastAsia="宋体" w:cs="Times New Roman"/>
                <w:color w:val="auto"/>
                <w:sz w:val="24"/>
                <w:lang w:eastAsia="zh-CN"/>
              </w:rPr>
              <w:t>河北魏县经济开发区</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b w:val="0"/>
                <w:bCs w:val="0"/>
                <w:color w:val="auto"/>
                <w:sz w:val="24"/>
                <w:lang w:val="en-US" w:eastAsia="zh-CN"/>
              </w:rPr>
              <w:t>先进装备制造园区：规划保留现状配套水厂并向东扩建，规划用地规模为1.42公顷，规划拟扩建供水规模至4万m</w:t>
            </w:r>
            <w:r>
              <w:rPr>
                <w:rFonts w:hint="default" w:ascii="Times New Roman" w:hAnsi="Times New Roman" w:eastAsia="宋体" w:cs="Times New Roman"/>
                <w:b w:val="0"/>
                <w:bCs w:val="0"/>
                <w:color w:val="auto"/>
                <w:sz w:val="24"/>
                <w:vertAlign w:val="superscript"/>
                <w:lang w:val="en-US" w:eastAsia="zh-CN"/>
              </w:rPr>
              <w:t>3</w:t>
            </w:r>
            <w:r>
              <w:rPr>
                <w:rFonts w:hint="default" w:ascii="Times New Roman" w:hAnsi="Times New Roman" w:eastAsia="宋体" w:cs="Times New Roman"/>
                <w:b w:val="0"/>
                <w:bCs w:val="0"/>
                <w:color w:val="auto"/>
                <w:sz w:val="24"/>
                <w:lang w:val="en-US" w:eastAsia="zh-CN"/>
              </w:rPr>
              <w:t>/d，以污水处理厂再生水、南水北调水作为供水主要水源，可以满足园区用水需求。</w:t>
            </w:r>
          </w:p>
          <w:p w14:paraId="231F091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kern w:val="0"/>
                <w:sz w:val="24"/>
              </w:rPr>
              <w:t>本项目</w:t>
            </w:r>
            <w:r>
              <w:rPr>
                <w:rFonts w:hint="default" w:ascii="Times New Roman" w:hAnsi="Times New Roman" w:eastAsia="宋体" w:cs="Times New Roman"/>
                <w:b/>
                <w:bCs/>
                <w:color w:val="auto"/>
                <w:kern w:val="0"/>
                <w:sz w:val="24"/>
                <w:lang w:eastAsia="zh-CN"/>
              </w:rPr>
              <w:t>位于</w:t>
            </w:r>
            <w:r>
              <w:rPr>
                <w:rFonts w:hint="default" w:ascii="Times New Roman" w:hAnsi="Times New Roman" w:eastAsia="宋体" w:cs="Times New Roman"/>
                <w:b/>
                <w:bCs/>
                <w:color w:val="auto"/>
                <w:kern w:val="0"/>
                <w:sz w:val="24"/>
                <w:lang w:val="en-US" w:eastAsia="zh-CN"/>
              </w:rPr>
              <w:t>先进装备制造园区</w:t>
            </w:r>
            <w:r>
              <w:rPr>
                <w:rFonts w:hint="default" w:ascii="Times New Roman" w:hAnsi="Times New Roman" w:eastAsia="宋体" w:cs="Times New Roman"/>
                <w:b/>
                <w:bCs/>
                <w:color w:val="auto"/>
                <w:kern w:val="0"/>
                <w:sz w:val="24"/>
                <w:lang w:eastAsia="zh-CN"/>
              </w:rPr>
              <w:t>，</w:t>
            </w:r>
            <w:r>
              <w:rPr>
                <w:rFonts w:hint="default" w:ascii="Times New Roman" w:hAnsi="Times New Roman" w:eastAsia="宋体" w:cs="Times New Roman"/>
                <w:b/>
                <w:bCs/>
                <w:color w:val="auto"/>
                <w:kern w:val="0"/>
                <w:sz w:val="24"/>
                <w:highlight w:val="none"/>
                <w:lang w:eastAsia="zh-CN"/>
              </w:rPr>
              <w:t>项目</w:t>
            </w:r>
            <w:r>
              <w:rPr>
                <w:rFonts w:hint="default" w:ascii="Times New Roman" w:hAnsi="Times New Roman" w:eastAsia="宋体" w:cs="Times New Roman"/>
                <w:b/>
                <w:bCs/>
                <w:color w:val="auto"/>
                <w:kern w:val="0"/>
                <w:sz w:val="24"/>
                <w:highlight w:val="none"/>
              </w:rPr>
              <w:t>用水</w:t>
            </w:r>
            <w:r>
              <w:rPr>
                <w:rFonts w:hint="default" w:ascii="Times New Roman" w:hAnsi="Times New Roman" w:eastAsia="宋体" w:cs="Times New Roman"/>
                <w:b/>
                <w:bCs/>
                <w:color w:val="auto"/>
                <w:sz w:val="24"/>
                <w:highlight w:val="none"/>
              </w:rPr>
              <w:t>量</w:t>
            </w:r>
            <w:r>
              <w:rPr>
                <w:rFonts w:hint="eastAsia" w:cs="Times New Roman"/>
                <w:b/>
                <w:bCs/>
                <w:color w:val="auto"/>
                <w:sz w:val="24"/>
                <w:szCs w:val="24"/>
                <w:highlight w:val="none"/>
                <w:lang w:val="en-US" w:eastAsia="zh-CN"/>
              </w:rPr>
              <w:t>39.43</w:t>
            </w:r>
            <w:r>
              <w:rPr>
                <w:rFonts w:hint="default" w:ascii="Times New Roman" w:hAnsi="Times New Roman" w:eastAsia="宋体" w:cs="Times New Roman"/>
                <w:b/>
                <w:bCs/>
                <w:color w:val="auto"/>
                <w:sz w:val="24"/>
                <w:szCs w:val="24"/>
                <w:highlight w:val="none"/>
                <w:lang w:val="en-US" w:eastAsia="zh-CN"/>
              </w:rPr>
              <w:t>m</w:t>
            </w:r>
            <w:r>
              <w:rPr>
                <w:rFonts w:hint="default" w:ascii="Times New Roman" w:hAnsi="Times New Roman" w:eastAsia="宋体" w:cs="Times New Roman"/>
                <w:b/>
                <w:bCs/>
                <w:color w:val="auto"/>
                <w:sz w:val="24"/>
                <w:szCs w:val="24"/>
                <w:highlight w:val="none"/>
                <w:vertAlign w:val="superscript"/>
                <w:lang w:val="en-US" w:eastAsia="zh-CN"/>
              </w:rPr>
              <w:t>3</w:t>
            </w:r>
            <w:r>
              <w:rPr>
                <w:rFonts w:hint="default" w:ascii="Times New Roman" w:hAnsi="Times New Roman" w:eastAsia="宋体" w:cs="Times New Roman"/>
                <w:b/>
                <w:bCs/>
                <w:color w:val="auto"/>
                <w:sz w:val="24"/>
                <w:szCs w:val="24"/>
                <w:highlight w:val="none"/>
                <w:lang w:val="en-US" w:eastAsia="zh-CN"/>
              </w:rPr>
              <w:t>/d</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bCs/>
                <w:color w:val="auto"/>
                <w:sz w:val="24"/>
                <w:szCs w:val="24"/>
                <w:lang w:val="en-US" w:eastAsia="zh-CN"/>
              </w:rPr>
              <w:t>不会对供水量为4万</w:t>
            </w:r>
            <w:r>
              <w:rPr>
                <w:rFonts w:hint="default" w:ascii="Times New Roman" w:hAnsi="Times New Roman" w:eastAsia="宋体" w:cs="Times New Roman"/>
                <w:b/>
                <w:bCs/>
                <w:color w:val="auto"/>
                <w:sz w:val="24"/>
                <w:szCs w:val="24"/>
              </w:rPr>
              <w:t>m</w:t>
            </w:r>
            <w:r>
              <w:rPr>
                <w:rFonts w:hint="default" w:ascii="Times New Roman" w:hAnsi="Times New Roman" w:eastAsia="宋体" w:cs="Times New Roman"/>
                <w:b/>
                <w:bCs/>
                <w:color w:val="auto"/>
                <w:sz w:val="24"/>
                <w:szCs w:val="24"/>
                <w:vertAlign w:val="superscript"/>
              </w:rPr>
              <w:t>3</w:t>
            </w:r>
            <w:r>
              <w:rPr>
                <w:rFonts w:hint="default" w:ascii="Times New Roman" w:hAnsi="Times New Roman" w:eastAsia="宋体" w:cs="Times New Roman"/>
                <w:b/>
                <w:bCs/>
                <w:color w:val="auto"/>
                <w:sz w:val="24"/>
                <w:szCs w:val="24"/>
              </w:rPr>
              <w:t>/d</w:t>
            </w:r>
            <w:r>
              <w:rPr>
                <w:rFonts w:hint="default" w:ascii="Times New Roman" w:hAnsi="Times New Roman" w:eastAsia="宋体" w:cs="Times New Roman"/>
                <w:b/>
                <w:bCs/>
                <w:color w:val="auto"/>
                <w:sz w:val="24"/>
                <w:szCs w:val="24"/>
                <w:lang w:val="en-US" w:eastAsia="zh-CN"/>
              </w:rPr>
              <w:t>的园区造成冲击，</w:t>
            </w:r>
            <w:r>
              <w:rPr>
                <w:rFonts w:hint="default" w:ascii="Times New Roman" w:hAnsi="Times New Roman" w:eastAsia="宋体" w:cs="Times New Roman"/>
                <w:b/>
                <w:bCs/>
                <w:color w:val="auto"/>
                <w:sz w:val="24"/>
              </w:rPr>
              <w:t>园区供水可满足项目用水需求。</w:t>
            </w:r>
          </w:p>
          <w:p w14:paraId="1BC891CC">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2"/>
                <w:sz w:val="24"/>
                <w:szCs w:val="24"/>
                <w:lang w:val="en-US" w:eastAsia="zh-CN" w:bidi="ar"/>
              </w:rPr>
            </w:pPr>
            <w:r>
              <w:rPr>
                <w:rFonts w:hint="eastAsia" w:cs="Times New Roman"/>
                <w:b/>
                <w:bCs/>
                <w:color w:val="auto"/>
                <w:sz w:val="24"/>
                <w:lang w:val="en-US" w:eastAsia="zh-CN"/>
              </w:rPr>
              <w:t>2.2</w:t>
            </w:r>
            <w:r>
              <w:rPr>
                <w:rFonts w:hint="default" w:ascii="Times New Roman" w:hAnsi="Times New Roman" w:eastAsia="宋体" w:cs="Times New Roman"/>
                <w:b/>
                <w:bCs/>
                <w:color w:val="auto"/>
                <w:kern w:val="2"/>
                <w:sz w:val="24"/>
                <w:szCs w:val="24"/>
                <w:lang w:val="en-US" w:eastAsia="zh-CN" w:bidi="ar"/>
              </w:rPr>
              <w:t>排水规划</w:t>
            </w:r>
          </w:p>
          <w:p w14:paraId="1ACB14E8">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目前开发区先进装备制造园区均已实现雨污分流，雨水直接排入魏大馆渠；污水排入魏县开发区污水处理有限公司。魏县开发区污水处理有限公司为综合污水处理厂，规划面积3.74公顷，现状处理能力1.5万吨/天，收水范围为魏县开发区先进装备制造园区、汽车产业园区的</w:t>
            </w:r>
            <w:r>
              <w:rPr>
                <w:rFonts w:hint="eastAsia" w:cs="Times New Roman"/>
                <w:color w:val="000000" w:themeColor="text1"/>
                <w:kern w:val="2"/>
                <w:sz w:val="24"/>
                <w:szCs w:val="24"/>
                <w:lang w:val="en-US" w:eastAsia="zh-CN" w:bidi="ar"/>
                <w14:textFill>
                  <w14:solidFill>
                    <w14:schemeClr w14:val="tx1"/>
                  </w14:solidFill>
                </w14:textFill>
              </w:rPr>
              <w:t>生活废水</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及工业废水，同时收集县城规划范围内科教路以南区域</w:t>
            </w:r>
            <w:r>
              <w:rPr>
                <w:rFonts w:hint="eastAsia" w:cs="Times New Roman"/>
                <w:color w:val="000000" w:themeColor="text1"/>
                <w:kern w:val="2"/>
                <w:sz w:val="24"/>
                <w:szCs w:val="24"/>
                <w:lang w:val="en-US" w:eastAsia="zh-CN" w:bidi="ar"/>
                <w14:textFill>
                  <w14:solidFill>
                    <w14:schemeClr w14:val="tx1"/>
                  </w14:solidFill>
                </w14:textFill>
              </w:rPr>
              <w:t>生活废水</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，污水处理工艺流程为“粗格栅及提升泵房+细格栅及曝气沉砂池+酸化沉淀池+A</w:t>
            </w:r>
            <w:r>
              <w:rPr>
                <w:rFonts w:hint="default"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O池+二沉池+中间提升泵站+臭氧接触氧化+曝气生物滤池+高密度沉淀池+纤维转盘滤池+紫外消毒池的处理工艺”，废水经处理后部分回用于市政道路洒水、绿化及魏县德尚环保公司除渣系统冷却用水，污水处理厂现状建有1座1000m</w:t>
            </w:r>
            <w:r>
              <w:rPr>
                <w:rFonts w:hint="default"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中水回用池，现状中水回用量约为1400m</w:t>
            </w:r>
            <w:r>
              <w:rPr>
                <w:rFonts w:hint="default"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/d，剩余部分达到《城镇污水处理厂污染物排放标准》(GB18918-2002)表1中一级A标准，同时COD、氨氮、BOD</w:t>
            </w:r>
            <w:r>
              <w:rPr>
                <w:rFonts w:hint="default" w:ascii="Times New Roman" w:hAnsi="Times New Roman" w:eastAsia="宋体" w:cs="Times New Roman"/>
                <w:color w:val="000000" w:themeColor="text1"/>
                <w:kern w:val="2"/>
                <w:sz w:val="24"/>
                <w:szCs w:val="24"/>
                <w:vertAlign w:val="subscript"/>
                <w:lang w:val="en-US" w:eastAsia="zh-CN" w:bidi="ar"/>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、总磷、总氮满足《邯郸市水领办关于印发&lt;邯郸市工业园区污水处理厂提标改造实施方案&gt;的通知》中邯郸市水污染物暂行排放限值A标准即地表水类</w:t>
            </w:r>
            <w:r>
              <w:rPr>
                <w:rFonts w:hint="eastAsia" w:cs="Times New Roman"/>
                <w:color w:val="000000" w:themeColor="text1"/>
                <w:kern w:val="2"/>
                <w:sz w:val="24"/>
                <w:szCs w:val="24"/>
                <w:lang w:val="en-US" w:eastAsia="zh-CN" w:bidi="ar"/>
                <w14:textFill>
                  <w14:solidFill>
                    <w14:schemeClr w14:val="tx1"/>
                  </w14:solidFill>
                </w14:textFill>
              </w:rPr>
              <w:t>Ⅳ类</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标准后外排魏大馆渠(入河排污口编号：RHWS-130434001)。</w:t>
            </w:r>
            <w:r>
              <w:rPr>
                <w:rFonts w:hint="eastAsia" w:cs="Times New Roman"/>
                <w:color w:val="000000" w:themeColor="text1"/>
                <w:kern w:val="2"/>
                <w:sz w:val="24"/>
                <w:szCs w:val="24"/>
                <w:lang w:val="en-US" w:eastAsia="zh-CN" w:bidi="ar"/>
                <w14:textFill>
                  <w14:solidFill>
                    <w14:schemeClr w14:val="tx1"/>
                  </w14:solidFill>
                </w14:textFill>
              </w:rPr>
              <w:t>目前园区污水处理厂环保手续齐全、运行正常，可接纳该项目生产废水和生活污水经厂区污水处理站处理后达标废水。</w:t>
            </w:r>
          </w:p>
          <w:p w14:paraId="18FEAAD4">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t>本项目位于先进装备制造园区</w:t>
            </w:r>
            <w:r>
              <w:rPr>
                <w:rFonts w:hint="eastAsia" w:cs="Times New Roman"/>
                <w:b/>
                <w:bCs/>
                <w:color w:val="000000" w:themeColor="text1"/>
                <w:kern w:val="2"/>
                <w:sz w:val="24"/>
                <w:szCs w:val="24"/>
                <w:lang w:val="en-US" w:eastAsia="zh-CN" w:bidi="ar"/>
                <w14:textFill>
                  <w14:solidFill>
                    <w14:schemeClr w14:val="tx1"/>
                  </w14:solidFill>
                </w14:textFill>
              </w:rPr>
              <w:t>-食品加工区</w:t>
            </w:r>
            <w:r>
              <w:rPr>
                <w:rFonts w:hint="default" w:ascii="Times New Roman" w:hAnsi="Times New Roman" w:eastAsia="宋体" w:cs="Times New Roman"/>
                <w:b/>
                <w:bCs/>
                <w:color w:val="000000" w:themeColor="text1"/>
                <w:kern w:val="2"/>
                <w:sz w:val="24"/>
                <w:szCs w:val="24"/>
                <w:highlight w:val="none"/>
                <w:lang w:val="en-US" w:eastAsia="zh-CN" w:bidi="ar"/>
                <w14:textFill>
                  <w14:solidFill>
                    <w14:schemeClr w14:val="tx1"/>
                  </w14:solidFill>
                </w14:textFill>
              </w:rPr>
              <w:t>，项目建成后</w:t>
            </w:r>
            <w:r>
              <w:rPr>
                <w:rFonts w:hint="eastAsia" w:cs="Times New Roman"/>
                <w:b/>
                <w:bCs/>
                <w:color w:val="000000" w:themeColor="text1"/>
                <w:kern w:val="2"/>
                <w:sz w:val="24"/>
                <w:szCs w:val="24"/>
                <w:highlight w:val="none"/>
                <w:lang w:val="en-US" w:eastAsia="zh-CN" w:bidi="ar"/>
                <w14:textFill>
                  <w14:solidFill>
                    <w14:schemeClr w14:val="tx1"/>
                  </w14:solidFill>
                </w14:textFill>
              </w:rPr>
              <w:t>生产废水经厂区污水处理设施“格栅+沉淀+调节+破乳+絮凝+气浮+A/O+沉淀”达到《污水综合排放标准》（GB8978-1996）表4三级标准，同</w:t>
            </w:r>
            <w:r>
              <w:rPr>
                <w:rFonts w:hint="eastAsia" w:cs="Times New Roman"/>
                <w:b/>
                <w:bCs/>
                <w:color w:val="000000" w:themeColor="text1"/>
                <w:kern w:val="2"/>
                <w:sz w:val="24"/>
                <w:szCs w:val="24"/>
                <w:lang w:val="en-US" w:eastAsia="zh-CN" w:bidi="ar"/>
                <w14:textFill>
                  <w14:solidFill>
                    <w14:schemeClr w14:val="tx1"/>
                  </w14:solidFill>
                </w14:textFill>
              </w:rPr>
              <w:t>时满足魏县经济开发区污水处理有限公司进水水质要求后，排入魏县经济开发区污水处理有限公司深度处理，生活废水经化粪池处理后，排入魏县经济开发区污水处理有限公司深度处理</w:t>
            </w:r>
            <w:r>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t>。</w:t>
            </w:r>
          </w:p>
          <w:p w14:paraId="3602452A">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cs="Times New Roman"/>
                <w:b/>
                <w:bCs/>
                <w:color w:val="000000" w:themeColor="text1"/>
                <w:kern w:val="2"/>
                <w:sz w:val="24"/>
                <w:szCs w:val="24"/>
                <w:lang w:val="en-US" w:eastAsia="zh-CN" w:bidi="ar"/>
                <w14:textFill>
                  <w14:solidFill>
                    <w14:schemeClr w14:val="tx1"/>
                  </w14:solidFill>
                </w14:textFill>
              </w:rPr>
              <w:t>2.3</w:t>
            </w:r>
            <w:r>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t>供热规划</w:t>
            </w:r>
          </w:p>
          <w:p w14:paraId="03D7C1FB">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先进装备制造园区供热设施部分依托园区外规划建设的九号能源站，供热热源为电厂余热和污水源热泵，供热负荷90MW，九号站热源位于魏县杜二庄村北侧，南临杜二庄村，北临益民河。汽车产业园区及再生资源循环利用园区延续现状分散供热，规划近期供热负荷为76.79MW，规划远期供热负荷为84.83MW，开发区规划能源站可满足规划要求。</w:t>
            </w:r>
          </w:p>
          <w:p w14:paraId="469D5AF3">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先进装备制造园区生活用热采用空调电采暖，工业用热采用分散燃气锅炉、电加热及垃圾发电余热提供再生资源循环利用园区分散式供热，采用电或天然气等清洁能源。开发区内部分企业用热需求不同，建设多处分散燃气锅炉。</w:t>
            </w:r>
          </w:p>
          <w:p w14:paraId="597829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本项目位于先进装备制造园区</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，生产用热</w:t>
            </w:r>
            <w:r>
              <w:rPr>
                <w:rFonts w:hint="eastAsia" w:cs="Times New Roman"/>
                <w:b/>
                <w:bCs/>
                <w:color w:val="000000" w:themeColor="text1"/>
                <w:sz w:val="24"/>
                <w:highlight w:val="none"/>
                <w:lang w:val="en-US" w:eastAsia="zh-CN"/>
                <w14:textFill>
                  <w14:solidFill>
                    <w14:schemeClr w14:val="tx1"/>
                  </w14:solidFill>
                </w14:textFill>
              </w:rPr>
              <w:t>采用天然气及电加热</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，办公区</w:t>
            </w:r>
            <w:r>
              <w:rPr>
                <w:rFonts w:hint="eastAsia" w:cs="Times New Roman"/>
                <w:b/>
                <w:bCs/>
                <w:color w:val="000000" w:themeColor="text1"/>
                <w:sz w:val="24"/>
                <w:highlight w:val="none"/>
                <w:lang w:val="en-US" w:eastAsia="zh-CN"/>
                <w14:textFill>
                  <w14:solidFill>
                    <w14:schemeClr w14:val="tx1"/>
                  </w14:solidFill>
                </w14:textFill>
              </w:rPr>
              <w:t>冬季</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供暖</w:t>
            </w:r>
            <w:r>
              <w:rPr>
                <w:rFonts w:hint="eastAsia" w:cs="Times New Roman"/>
                <w:b/>
                <w:bCs/>
                <w:color w:val="000000" w:themeColor="text1"/>
                <w:sz w:val="24"/>
                <w:highlight w:val="none"/>
                <w:lang w:val="en-US" w:eastAsia="zh-CN"/>
                <w14:textFill>
                  <w14:solidFill>
                    <w14:schemeClr w14:val="tx1"/>
                  </w14:solidFill>
                </w14:textFill>
              </w:rPr>
              <w:t>夏季降温均</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采用</w:t>
            </w:r>
            <w:r>
              <w:rPr>
                <w:rFonts w:hint="eastAsia" w:cs="Times New Roman"/>
                <w:b/>
                <w:bCs/>
                <w:color w:val="000000" w:themeColor="text1"/>
                <w:sz w:val="24"/>
                <w:highlight w:val="none"/>
                <w:lang w:val="en-US" w:eastAsia="zh-CN"/>
                <w14:textFill>
                  <w14:solidFill>
                    <w14:schemeClr w14:val="tx1"/>
                  </w14:solidFill>
                </w14:textFill>
              </w:rPr>
              <w:t>室内电力</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空调</w:t>
            </w: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w:t>
            </w:r>
          </w:p>
          <w:p w14:paraId="0523FC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2.4</w:t>
            </w:r>
            <w:r>
              <w:rPr>
                <w:rFonts w:hint="default" w:ascii="Times New Roman" w:hAnsi="Times New Roman" w:eastAsia="宋体" w:cs="Times New Roman"/>
                <w:b/>
                <w:bCs/>
                <w:color w:val="000000" w:themeColor="text1"/>
                <w:sz w:val="24"/>
                <w:lang w:val="en-US" w:eastAsia="zh-CN"/>
                <w14:textFill>
                  <w14:solidFill>
                    <w14:schemeClr w14:val="tx1"/>
                  </w14:solidFill>
                </w14:textFill>
              </w:rPr>
              <w:t>供气规划</w:t>
            </w:r>
          </w:p>
          <w:p w14:paraId="78893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园区</w:t>
            </w:r>
            <w:r>
              <w:rPr>
                <w:rFonts w:hint="default" w:ascii="Times New Roman" w:hAnsi="Times New Roman" w:eastAsia="宋体" w:cs="Times New Roman"/>
                <w:color w:val="000000" w:themeColor="text1"/>
                <w:sz w:val="24"/>
                <w:lang w:val="en-US" w:eastAsia="zh-CN"/>
                <w14:textFill>
                  <w14:solidFill>
                    <w14:schemeClr w14:val="tx1"/>
                  </w14:solidFill>
                </w14:textFill>
              </w:rPr>
              <w:t>规划气源为天然气，先进装备制造园区由昆仑燃气有限公司供给，</w:t>
            </w:r>
            <w:r>
              <w:rPr>
                <w:rFonts w:hint="default" w:ascii="Times New Roman" w:hAnsi="Times New Roman" w:eastAsia="宋体" w:cs="Times New Roman"/>
                <w:color w:val="000000" w:themeColor="text1"/>
                <w:sz w:val="24"/>
                <w:lang w:eastAsia="zh-CN"/>
                <w14:textFill>
                  <w14:solidFill>
                    <w14:schemeClr w14:val="tx1"/>
                  </w14:solidFill>
                </w14:textFill>
              </w:rPr>
              <w:t>开发区规划近期燃气量为5687.10万m</w:t>
            </w:r>
            <w:r>
              <w:rPr>
                <w:rFonts w:hint="default" w:ascii="Times New Roman" w:hAnsi="Times New Roman" w:eastAsia="宋体" w:cs="Times New Roman"/>
                <w:color w:val="000000" w:themeColor="text1"/>
                <w:sz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lang w:eastAsia="zh-CN"/>
                <w14:textFill>
                  <w14:solidFill>
                    <w14:schemeClr w14:val="tx1"/>
                  </w14:solidFill>
                </w14:textFill>
              </w:rPr>
              <w:t>/a(17.23万m</w:t>
            </w:r>
            <w:r>
              <w:rPr>
                <w:rFonts w:hint="default" w:ascii="Times New Roman" w:hAnsi="Times New Roman" w:eastAsia="宋体" w:cs="Times New Roman"/>
                <w:color w:val="000000" w:themeColor="text1"/>
                <w:sz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lang w:eastAsia="zh-CN"/>
                <w14:textFill>
                  <w14:solidFill>
                    <w14:schemeClr w14:val="tx1"/>
                  </w14:solidFill>
                </w14:textFill>
              </w:rPr>
              <w:t>/d)，规划远期燃气量为7531.70万m</w:t>
            </w:r>
            <w:r>
              <w:rPr>
                <w:rFonts w:hint="default" w:ascii="Times New Roman" w:hAnsi="Times New Roman" w:eastAsia="宋体" w:cs="Times New Roman"/>
                <w:color w:val="000000" w:themeColor="text1"/>
                <w:sz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lang w:eastAsia="zh-CN"/>
                <w14:textFill>
                  <w14:solidFill>
                    <w14:schemeClr w14:val="tx1"/>
                  </w14:solidFill>
                </w14:textFill>
              </w:rPr>
              <w:t>/a(22.82万m</w:t>
            </w:r>
            <w:r>
              <w:rPr>
                <w:rFonts w:hint="default" w:ascii="Times New Roman" w:hAnsi="Times New Roman" w:eastAsia="宋体" w:cs="Times New Roman"/>
                <w:color w:val="000000" w:themeColor="text1"/>
                <w:sz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lang w:eastAsia="zh-CN"/>
                <w14:textFill>
                  <w14:solidFill>
                    <w14:schemeClr w14:val="tx1"/>
                  </w14:solidFill>
                </w14:textFill>
              </w:rPr>
              <w:t>/d)，开发区</w:t>
            </w:r>
            <w:r>
              <w:rPr>
                <w:rFonts w:hint="default" w:ascii="Times New Roman" w:hAnsi="Times New Roman" w:eastAsia="宋体" w:cs="Times New Roman"/>
                <w:color w:val="000000" w:themeColor="text1"/>
                <w:sz w:val="24"/>
                <w:lang w:val="en-US" w:eastAsia="zh-CN"/>
                <w14:textFill>
                  <w14:solidFill>
                    <w14:schemeClr w14:val="tx1"/>
                  </w14:solidFill>
                </w14:textFill>
              </w:rPr>
              <w:t>加快完成天然气管线铺设，以满足开发区各园区规划近、远期工业用气需求</w:t>
            </w:r>
            <w:r>
              <w:rPr>
                <w:rFonts w:hint="default" w:ascii="Times New Roman" w:hAnsi="Times New Roman" w:eastAsia="宋体" w:cs="Times New Roman"/>
                <w:color w:val="000000" w:themeColor="text1"/>
                <w:sz w:val="24"/>
                <w:lang w:eastAsia="zh-CN"/>
                <w14:textFill>
                  <w14:solidFill>
                    <w14:schemeClr w14:val="tx1"/>
                  </w14:solidFill>
                </w14:textFill>
              </w:rPr>
              <w:t>。</w:t>
            </w:r>
          </w:p>
          <w:p w14:paraId="2340C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本项目</w:t>
            </w:r>
            <w:r>
              <w:rPr>
                <w:rFonts w:hint="eastAsia" w:cs="Times New Roman"/>
                <w:b/>
                <w:bCs/>
                <w:color w:val="000000" w:themeColor="text1"/>
                <w:sz w:val="24"/>
                <w:highlight w:val="none"/>
                <w:lang w:eastAsia="zh-CN"/>
                <w14:textFill>
                  <w14:solidFill>
                    <w14:schemeClr w14:val="tx1"/>
                  </w14:solidFill>
                </w14:textFill>
              </w:rPr>
              <w:t>供热</w:t>
            </w: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天然气</w:t>
            </w:r>
            <w:r>
              <w:rPr>
                <w:rFonts w:hint="eastAsia" w:cs="Times New Roman"/>
                <w:b/>
                <w:bCs/>
                <w:color w:val="000000" w:themeColor="text1"/>
                <w:sz w:val="24"/>
                <w:highlight w:val="none"/>
                <w:lang w:eastAsia="zh-CN"/>
                <w14:textFill>
                  <w14:solidFill>
                    <w14:schemeClr w14:val="tx1"/>
                  </w14:solidFill>
                </w14:textFill>
              </w:rPr>
              <w:t>由园区管网供给，供气管网已铺设至项目区，可满足本项目</w:t>
            </w: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使用</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w:t>
            </w:r>
          </w:p>
          <w:p w14:paraId="10036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lang w:eastAsia="zh-CN"/>
              </w:rPr>
            </w:pPr>
            <w:r>
              <w:rPr>
                <w:rFonts w:hint="eastAsia" w:cs="Times New Roman"/>
                <w:b/>
                <w:bCs/>
                <w:color w:val="000000" w:themeColor="text1"/>
                <w:sz w:val="24"/>
                <w:lang w:val="en-US" w:eastAsia="zh-CN"/>
                <w14:textFill>
                  <w14:solidFill>
                    <w14:schemeClr w14:val="tx1"/>
                  </w14:solidFill>
                </w14:textFill>
              </w:rPr>
              <w:t>2.5</w:t>
            </w:r>
            <w:r>
              <w:rPr>
                <w:rFonts w:hint="default" w:ascii="Times New Roman" w:hAnsi="Times New Roman" w:eastAsia="宋体" w:cs="Times New Roman"/>
                <w:b/>
                <w:bCs/>
                <w:color w:val="000000" w:themeColor="text1"/>
                <w:sz w:val="24"/>
                <w:lang w:eastAsia="zh-CN"/>
                <w14:textFill>
                  <w14:solidFill>
                    <w14:schemeClr w14:val="tx1"/>
                  </w14:solidFill>
                </w14:textFill>
              </w:rPr>
              <w:t>供电</w:t>
            </w:r>
            <w:r>
              <w:rPr>
                <w:rFonts w:hint="default" w:ascii="Times New Roman" w:hAnsi="Times New Roman" w:eastAsia="宋体" w:cs="Times New Roman"/>
                <w:b/>
                <w:bCs/>
                <w:color w:val="auto"/>
                <w:sz w:val="24"/>
                <w:lang w:eastAsia="zh-CN"/>
              </w:rPr>
              <w:t>规划</w:t>
            </w:r>
          </w:p>
          <w:p w14:paraId="24FBF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val="en-US" w:eastAsia="zh-CN"/>
              </w:rPr>
              <w:t>开发区先进装备制造园区用电由工业园区110KV变电站引入，另外在园区南部已建设魏县德尚环保有限公司垃圾焚烧发电项目，用于并网发电。其他规划新增产业规划近期用电量441570.967MWh/a、规划远期用电量874582.472MWh，</w:t>
            </w:r>
            <w:r>
              <w:rPr>
                <w:rFonts w:hint="default" w:ascii="Times New Roman" w:hAnsi="Times New Roman" w:eastAsia="宋体" w:cs="Times New Roman"/>
                <w:color w:val="auto"/>
                <w:sz w:val="24"/>
                <w:lang w:eastAsia="zh-CN"/>
              </w:rPr>
              <w:t>可满足园区内各企业用电需求。</w:t>
            </w:r>
          </w:p>
          <w:p w14:paraId="6F0CB6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lang w:eastAsia="zh-CN"/>
              </w:rPr>
              <w:t>本</w:t>
            </w:r>
            <w:r>
              <w:rPr>
                <w:rFonts w:hint="eastAsia" w:cs="Times New Roman"/>
                <w:b/>
                <w:bCs/>
                <w:color w:val="auto"/>
                <w:sz w:val="24"/>
                <w:lang w:eastAsia="zh-CN"/>
              </w:rPr>
              <w:t>项目</w:t>
            </w:r>
            <w:r>
              <w:rPr>
                <w:rFonts w:hint="default" w:ascii="Times New Roman" w:hAnsi="Times New Roman" w:eastAsia="宋体" w:cs="Times New Roman"/>
                <w:b/>
                <w:bCs/>
                <w:color w:val="auto"/>
                <w:sz w:val="24"/>
                <w:lang w:eastAsia="zh-CN"/>
              </w:rPr>
              <w:t>年用电量</w:t>
            </w:r>
            <w:r>
              <w:rPr>
                <w:rFonts w:hint="eastAsia" w:cs="Times New Roman"/>
                <w:b/>
                <w:bCs/>
                <w:color w:val="auto"/>
                <w:sz w:val="24"/>
                <w:lang w:val="en-US" w:eastAsia="zh-CN"/>
              </w:rPr>
              <w:t>约</w:t>
            </w:r>
            <w:r>
              <w:rPr>
                <w:rFonts w:hint="default" w:ascii="Times New Roman" w:hAnsi="Times New Roman" w:eastAsia="宋体" w:cs="Times New Roman"/>
                <w:b/>
                <w:bCs/>
                <w:color w:val="auto"/>
                <w:sz w:val="24"/>
                <w:lang w:eastAsia="zh-CN"/>
              </w:rPr>
              <w:t>为</w:t>
            </w:r>
            <w:r>
              <w:rPr>
                <w:rFonts w:hint="eastAsia" w:cs="Times New Roman"/>
                <w:b/>
                <w:bCs/>
                <w:color w:val="auto"/>
                <w:sz w:val="24"/>
                <w:lang w:val="en-US" w:eastAsia="zh-CN"/>
              </w:rPr>
              <w:t>100</w:t>
            </w:r>
            <w:r>
              <w:rPr>
                <w:rFonts w:hint="default" w:ascii="Times New Roman" w:hAnsi="Times New Roman" w:eastAsia="宋体" w:cs="Times New Roman"/>
                <w:b/>
                <w:bCs/>
                <w:color w:val="auto"/>
                <w:sz w:val="24"/>
                <w:lang w:val="en-US" w:eastAsia="zh-CN"/>
              </w:rPr>
              <w:t>万</w:t>
            </w:r>
            <w:r>
              <w:rPr>
                <w:rFonts w:hint="default" w:ascii="Times New Roman" w:hAnsi="Times New Roman" w:eastAsia="宋体" w:cs="Times New Roman"/>
                <w:b/>
                <w:bCs/>
                <w:color w:val="auto"/>
                <w:sz w:val="24"/>
                <w:lang w:eastAsia="zh-CN"/>
              </w:rPr>
              <w:t>kW·h，园区供电可满足需求。</w:t>
            </w:r>
          </w:p>
          <w:p w14:paraId="1C4020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b/>
                <w:bCs/>
                <w:color w:val="auto"/>
                <w:kern w:val="0"/>
                <w:sz w:val="24"/>
                <w:lang w:val="en-US" w:eastAsia="zh-CN"/>
              </w:rPr>
              <w:t>3</w:t>
            </w:r>
            <w:r>
              <w:rPr>
                <w:rFonts w:hint="default" w:ascii="Times New Roman" w:hAnsi="Times New Roman" w:eastAsia="宋体" w:cs="Times New Roman"/>
                <w:b/>
                <w:bCs/>
                <w:color w:val="auto"/>
                <w:kern w:val="0"/>
                <w:sz w:val="24"/>
              </w:rPr>
              <w:t>、项目与园区产业定位、布局符合性分析</w:t>
            </w:r>
          </w:p>
          <w:p w14:paraId="17AC5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0"/>
                <w:sz w:val="24"/>
                <w:lang w:val="en-US" w:eastAsia="zh-CN"/>
              </w:rPr>
            </w:pPr>
            <w:r>
              <w:rPr>
                <w:rFonts w:hint="eastAsia" w:cs="Times New Roman"/>
                <w:b/>
                <w:bCs/>
                <w:color w:val="auto"/>
                <w:kern w:val="0"/>
                <w:sz w:val="24"/>
                <w:lang w:val="en-US" w:eastAsia="zh-CN"/>
              </w:rPr>
              <w:t>3.1空间布局</w:t>
            </w:r>
          </w:p>
          <w:p w14:paraId="20894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根据《河北魏县经济开发区总体发展规划(2022-2030年)》中划定范围，先进装备制造园区（省政府批复范围8.26km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及部分托管区域5.33km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）、汽车产业园区（托管园区1.0km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）、再生资源循环利用园区（托管园区4.1km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）三个片区，总规划面积18.69km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w:t>
            </w:r>
          </w:p>
          <w:p w14:paraId="1B2926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lang w:eastAsia="zh-CN"/>
              </w:rPr>
            </w:pPr>
            <w:r>
              <w:rPr>
                <w:rFonts w:hint="default" w:ascii="Times New Roman" w:hAnsi="Times New Roman" w:eastAsia="宋体" w:cs="Times New Roman"/>
                <w:color w:val="auto"/>
                <w:kern w:val="0"/>
                <w:sz w:val="24"/>
                <w:lang w:val="en-US" w:eastAsia="zh-CN"/>
              </w:rPr>
              <w:t>根据《河北魏县经济开发区总体发展规划(2022-2030年)》</w:t>
            </w:r>
            <w:r>
              <w:rPr>
                <w:rFonts w:hint="eastAsia" w:cs="Times New Roman"/>
                <w:color w:val="auto"/>
                <w:kern w:val="0"/>
                <w:sz w:val="24"/>
                <w:lang w:val="en-US" w:eastAsia="zh-CN"/>
              </w:rPr>
              <w:t>以及产业布局规划图，</w:t>
            </w:r>
            <w:r>
              <w:rPr>
                <w:rFonts w:hint="default" w:ascii="Times New Roman" w:hAnsi="Times New Roman" w:eastAsia="宋体" w:cs="Times New Roman"/>
                <w:color w:val="auto"/>
                <w:sz w:val="24"/>
                <w:lang w:eastAsia="zh-CN"/>
              </w:rPr>
              <w:t>先进装备制造园区规划设置装备制造产业区、新型材料产业区、节能环保产业区、食品加工产业区、新兴产业区、纺织服装产业区、休闲康养区</w:t>
            </w:r>
            <w:r>
              <w:rPr>
                <w:rFonts w:hint="eastAsia" w:cs="Times New Roman"/>
                <w:color w:val="auto"/>
                <w:sz w:val="24"/>
                <w:lang w:eastAsia="zh-CN"/>
              </w:rPr>
              <w:t>。</w:t>
            </w:r>
          </w:p>
          <w:p w14:paraId="64B28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0"/>
                <w:sz w:val="24"/>
                <w:lang w:val="en-US"/>
              </w:rPr>
            </w:pPr>
            <w:r>
              <w:rPr>
                <w:rFonts w:hint="default" w:ascii="Times New Roman" w:hAnsi="Times New Roman" w:eastAsia="宋体" w:cs="Times New Roman"/>
                <w:b/>
                <w:bCs/>
                <w:color w:val="auto"/>
                <w:sz w:val="24"/>
                <w:lang w:eastAsia="zh-CN"/>
              </w:rPr>
              <w:t>本项目位于</w:t>
            </w:r>
            <w:r>
              <w:rPr>
                <w:rFonts w:hint="eastAsia" w:cs="Times New Roman"/>
                <w:b/>
                <w:bCs/>
                <w:color w:val="auto"/>
                <w:sz w:val="24"/>
                <w:lang w:eastAsia="zh-CN"/>
              </w:rPr>
              <w:t>河北省邯郸市魏县经济开发区魏县现代农业园区</w:t>
            </w:r>
            <w:r>
              <w:rPr>
                <w:rFonts w:hint="default" w:ascii="Times New Roman" w:hAnsi="Times New Roman" w:eastAsia="宋体" w:cs="Times New Roman"/>
                <w:b/>
                <w:bCs/>
                <w:color w:val="auto"/>
                <w:sz w:val="24"/>
                <w:lang w:eastAsia="zh-CN"/>
              </w:rPr>
              <w:t>，</w:t>
            </w:r>
            <w:r>
              <w:rPr>
                <w:rFonts w:hint="eastAsia" w:cs="Times New Roman"/>
                <w:b/>
                <w:bCs/>
                <w:color w:val="auto"/>
                <w:sz w:val="24"/>
                <w:lang w:eastAsia="zh-CN"/>
              </w:rPr>
              <w:t>属于</w:t>
            </w:r>
            <w:r>
              <w:rPr>
                <w:rFonts w:hint="default" w:ascii="Times New Roman" w:hAnsi="Times New Roman" w:eastAsia="宋体" w:cs="Times New Roman"/>
                <w:b/>
                <w:bCs/>
                <w:color w:val="auto"/>
                <w:kern w:val="0"/>
                <w:sz w:val="24"/>
                <w:lang w:val="en-US" w:eastAsia="zh-CN"/>
              </w:rPr>
              <w:t>河北魏县经济开发区-</w:t>
            </w:r>
            <w:r>
              <w:rPr>
                <w:rFonts w:hint="default" w:ascii="Times New Roman" w:hAnsi="Times New Roman" w:eastAsia="宋体" w:cs="Times New Roman"/>
                <w:b/>
                <w:bCs/>
                <w:color w:val="auto"/>
                <w:sz w:val="24"/>
                <w:lang w:val="en-US" w:eastAsia="zh-CN"/>
              </w:rPr>
              <w:t>先进装备制造园区</w:t>
            </w:r>
            <w:r>
              <w:rPr>
                <w:rFonts w:hint="default" w:ascii="Times New Roman" w:hAnsi="Times New Roman" w:eastAsia="宋体" w:cs="Times New Roman"/>
                <w:b/>
                <w:bCs/>
                <w:color w:val="auto"/>
                <w:sz w:val="24"/>
                <w:lang w:eastAsia="zh-CN"/>
              </w:rPr>
              <w:t>规划</w:t>
            </w:r>
            <w:r>
              <w:rPr>
                <w:rFonts w:hint="eastAsia" w:cs="Times New Roman"/>
                <w:b/>
                <w:bCs/>
                <w:color w:val="auto"/>
                <w:sz w:val="24"/>
                <w:lang w:eastAsia="zh-CN"/>
              </w:rPr>
              <w:t>的</w:t>
            </w:r>
            <w:r>
              <w:rPr>
                <w:rFonts w:hint="eastAsia" w:cs="Times New Roman"/>
                <w:b/>
                <w:bCs/>
                <w:color w:val="auto"/>
                <w:kern w:val="0"/>
                <w:sz w:val="24"/>
                <w:lang w:val="en-US" w:eastAsia="zh-CN"/>
              </w:rPr>
              <w:t>食品加工产业区范围内，符合园区空间布局。</w:t>
            </w:r>
          </w:p>
          <w:p w14:paraId="7CA1B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0"/>
                <w:sz w:val="24"/>
                <w:lang w:eastAsia="zh-CN"/>
              </w:rPr>
            </w:pPr>
            <w:r>
              <w:rPr>
                <w:rFonts w:hint="eastAsia" w:cs="Times New Roman"/>
                <w:b/>
                <w:bCs/>
                <w:color w:val="auto"/>
                <w:kern w:val="0"/>
                <w:sz w:val="24"/>
                <w:lang w:val="en-US" w:eastAsia="zh-CN"/>
              </w:rPr>
              <w:t>3.2</w:t>
            </w:r>
            <w:r>
              <w:rPr>
                <w:rFonts w:hint="default" w:ascii="Times New Roman" w:hAnsi="Times New Roman" w:eastAsia="宋体" w:cs="Times New Roman"/>
                <w:b/>
                <w:bCs/>
                <w:color w:val="auto"/>
                <w:kern w:val="0"/>
                <w:sz w:val="24"/>
                <w:lang w:eastAsia="zh-CN"/>
              </w:rPr>
              <w:t>规划产业定位</w:t>
            </w:r>
          </w:p>
          <w:p w14:paraId="6A01B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0"/>
                <w:sz w:val="24"/>
                <w:lang w:val="en-US" w:eastAsia="zh-CN"/>
              </w:rPr>
            </w:pPr>
            <w:r>
              <w:rPr>
                <w:rFonts w:hint="default" w:ascii="Times New Roman" w:hAnsi="Times New Roman" w:eastAsia="宋体" w:cs="Times New Roman"/>
                <w:b w:val="0"/>
                <w:bCs w:val="0"/>
                <w:color w:val="auto"/>
                <w:kern w:val="0"/>
                <w:sz w:val="24"/>
                <w:lang w:val="en-US" w:eastAsia="zh-CN"/>
              </w:rPr>
              <w:t>先进装备制造园区主要发展装备制造产业、新型材料产业、节能环保产业、食品加工产业，辅助发展新兴产业和纺织服装产业</w:t>
            </w:r>
            <w:r>
              <w:rPr>
                <w:rFonts w:hint="default" w:ascii="Times New Roman" w:hAnsi="Times New Roman" w:eastAsia="宋体" w:cs="Times New Roman"/>
                <w:b w:val="0"/>
                <w:bCs w:val="0"/>
                <w:color w:val="auto"/>
                <w:kern w:val="0"/>
                <w:sz w:val="24"/>
                <w:lang w:eastAsia="zh-CN"/>
              </w:rPr>
              <w:t>；</w:t>
            </w:r>
            <w:r>
              <w:rPr>
                <w:rFonts w:hint="default" w:ascii="Times New Roman" w:hAnsi="Times New Roman" w:eastAsia="宋体" w:cs="Times New Roman"/>
                <w:b w:val="0"/>
                <w:bCs w:val="0"/>
                <w:color w:val="auto"/>
                <w:kern w:val="0"/>
                <w:sz w:val="24"/>
                <w:lang w:val="en-US" w:eastAsia="zh-CN"/>
              </w:rPr>
              <w:t>汽车产业园区主要发展汽车装配产业；再生资源循环利用园区主要发展再生资源循环经济产业。</w:t>
            </w:r>
          </w:p>
          <w:p w14:paraId="036896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b w:val="0"/>
                <w:bCs w:val="0"/>
                <w:color w:val="auto"/>
                <w:kern w:val="0"/>
                <w:sz w:val="24"/>
                <w:lang w:val="en-US" w:eastAsia="zh-CN"/>
              </w:rPr>
              <w:t>其中先进装备制造园区规划产业-</w:t>
            </w:r>
            <w:r>
              <w:rPr>
                <w:rFonts w:hint="eastAsia" w:cs="Times New Roman"/>
                <w:b w:val="0"/>
                <w:bCs w:val="0"/>
                <w:color w:val="auto"/>
                <w:kern w:val="0"/>
                <w:sz w:val="24"/>
                <w:lang w:val="en-US" w:eastAsia="zh-CN"/>
              </w:rPr>
              <w:t>食品加工产业</w:t>
            </w:r>
            <w:r>
              <w:rPr>
                <w:rFonts w:hint="default" w:ascii="Times New Roman" w:hAnsi="Times New Roman" w:eastAsia="宋体" w:cs="Times New Roman"/>
                <w:b w:val="0"/>
                <w:bCs w:val="0"/>
                <w:color w:val="auto"/>
                <w:kern w:val="0"/>
                <w:sz w:val="24"/>
                <w:lang w:val="en-US" w:eastAsia="zh-CN"/>
              </w:rPr>
              <w:t>主要发展方向为依托北京二锅头、九凯麦黄金等龙头企业，加强与中国食品工业协会、中国营养保健食品协会的合作，扩大企业数量和规模，丰富产品种类，拓展食品下游产业链。重点发展农副产品加工、食品制造、饮料制造等领域。</w:t>
            </w:r>
            <w:r>
              <w:rPr>
                <w:rFonts w:hint="eastAsia" w:cs="Times New Roman"/>
                <w:b w:val="0"/>
                <w:bCs w:val="0"/>
                <w:color w:val="auto"/>
                <w:kern w:val="0"/>
                <w:sz w:val="24"/>
                <w:lang w:val="en-US" w:eastAsia="zh-CN"/>
              </w:rPr>
              <w:t>主要包括C14 食品制造业、C15 酒、饮料和精制茶制造业。</w:t>
            </w:r>
          </w:p>
          <w:p w14:paraId="09868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lang w:eastAsia="zh-CN"/>
              </w:rPr>
              <w:t>本项目位于</w:t>
            </w:r>
            <w:r>
              <w:rPr>
                <w:rFonts w:hint="default" w:ascii="Times New Roman" w:hAnsi="Times New Roman" w:eastAsia="宋体" w:cs="Times New Roman"/>
                <w:b/>
                <w:bCs/>
                <w:color w:val="auto"/>
                <w:kern w:val="0"/>
                <w:sz w:val="24"/>
                <w:lang w:val="en-US" w:eastAsia="zh-CN"/>
              </w:rPr>
              <w:t>河北魏县经济开发区-</w:t>
            </w:r>
            <w:r>
              <w:rPr>
                <w:rFonts w:hint="default" w:ascii="Times New Roman" w:hAnsi="Times New Roman" w:eastAsia="宋体" w:cs="Times New Roman"/>
                <w:b/>
                <w:bCs/>
                <w:color w:val="auto"/>
                <w:sz w:val="24"/>
                <w:lang w:val="en-US" w:eastAsia="zh-CN"/>
              </w:rPr>
              <w:t>先进装备制造园区</w:t>
            </w:r>
            <w:r>
              <w:rPr>
                <w:rFonts w:hint="eastAsia" w:eastAsia="宋体" w:cs="Times New Roman"/>
                <w:b/>
                <w:bCs/>
                <w:color w:val="auto"/>
                <w:sz w:val="24"/>
                <w:lang w:val="en-US" w:eastAsia="zh-CN"/>
              </w:rPr>
              <w:t>-</w:t>
            </w:r>
            <w:r>
              <w:rPr>
                <w:rFonts w:hint="eastAsia" w:cs="Times New Roman"/>
                <w:b/>
                <w:bCs/>
                <w:color w:val="auto"/>
                <w:kern w:val="0"/>
                <w:sz w:val="24"/>
                <w:lang w:val="en-US" w:eastAsia="zh-CN"/>
              </w:rPr>
              <w:t>食品加工产业区范围内</w:t>
            </w:r>
            <w:r>
              <w:rPr>
                <w:rFonts w:hint="default" w:ascii="Times New Roman" w:hAnsi="Times New Roman" w:eastAsia="宋体" w:cs="Times New Roman"/>
                <w:b/>
                <w:bCs/>
                <w:color w:val="auto"/>
                <w:sz w:val="24"/>
                <w:lang w:eastAsia="zh-CN"/>
              </w:rPr>
              <w:t>，根据《国民经济行业分类》（GB/T4754-2017），本项目属于“</w:t>
            </w:r>
            <w:r>
              <w:rPr>
                <w:rFonts w:hint="default" w:ascii="Times New Roman" w:hAnsi="Times New Roman" w:eastAsia="宋体" w:cs="Times New Roman"/>
                <w:b/>
                <w:bCs/>
                <w:color w:val="auto"/>
                <w:kern w:val="0"/>
                <w:sz w:val="24"/>
                <w:szCs w:val="24"/>
                <w:lang w:val="en-US" w:eastAsia="zh-CN" w:bidi="ar"/>
              </w:rPr>
              <w:t>C1391淀粉及</w:t>
            </w:r>
            <w:r>
              <w:rPr>
                <w:rFonts w:hint="default" w:ascii="Times New Roman" w:hAnsi="Times New Roman" w:eastAsia="宋体" w:cs="Times New Roman"/>
                <w:b/>
                <w:bCs/>
                <w:color w:val="auto"/>
                <w:kern w:val="0"/>
                <w:sz w:val="24"/>
                <w:szCs w:val="24"/>
                <w:highlight w:val="none"/>
                <w:lang w:val="en-US" w:eastAsia="zh-CN" w:bidi="ar"/>
              </w:rPr>
              <w:t>淀粉制品制造”</w:t>
            </w:r>
            <w:r>
              <w:rPr>
                <w:rFonts w:hint="default" w:ascii="Times New Roman" w:hAnsi="Times New Roman" w:eastAsia="宋体" w:cs="Times New Roman"/>
                <w:b/>
                <w:bCs/>
                <w:color w:val="auto"/>
                <w:sz w:val="24"/>
                <w:highlight w:val="none"/>
                <w:lang w:eastAsia="zh-CN"/>
              </w:rPr>
              <w:t>，</w:t>
            </w:r>
            <w:r>
              <w:rPr>
                <w:rFonts w:hint="default" w:ascii="Times New Roman" w:hAnsi="Times New Roman" w:eastAsia="宋体" w:cs="Times New Roman"/>
                <w:b/>
                <w:bCs/>
                <w:color w:val="auto"/>
                <w:sz w:val="24"/>
                <w:highlight w:val="none"/>
                <w:lang w:val="en-US" w:eastAsia="zh-CN"/>
              </w:rPr>
              <w:t>与先进装备制造园区规划产业-食品加工产业</w:t>
            </w:r>
            <w:r>
              <w:rPr>
                <w:rFonts w:hint="default" w:ascii="Times New Roman" w:hAnsi="Times New Roman" w:eastAsia="宋体" w:cs="Times New Roman"/>
                <w:b/>
                <w:bCs/>
                <w:color w:val="auto"/>
                <w:sz w:val="24"/>
                <w:highlight w:val="none"/>
                <w:lang w:eastAsia="zh-CN"/>
              </w:rPr>
              <w:t>主要发展方向</w:t>
            </w:r>
            <w:r>
              <w:rPr>
                <w:rFonts w:hint="default" w:ascii="Times New Roman" w:hAnsi="Times New Roman" w:eastAsia="宋体" w:cs="Times New Roman"/>
                <w:b/>
                <w:bCs/>
                <w:color w:val="auto"/>
                <w:sz w:val="24"/>
                <w:highlight w:val="none"/>
                <w:lang w:val="en-US" w:eastAsia="zh-CN"/>
              </w:rPr>
              <w:t>一致</w:t>
            </w:r>
            <w:r>
              <w:rPr>
                <w:rFonts w:hint="default" w:ascii="Times New Roman" w:hAnsi="Times New Roman" w:eastAsia="宋体" w:cs="Times New Roman"/>
                <w:b/>
                <w:bCs/>
                <w:color w:val="auto"/>
                <w:kern w:val="0"/>
                <w:sz w:val="24"/>
                <w:szCs w:val="24"/>
                <w:highlight w:val="none"/>
                <w:lang w:val="en-US" w:eastAsia="zh-CN" w:bidi="ar"/>
              </w:rPr>
              <w:t>，并且魏县经济开发区管委会已为本项目出具入园证明，符合</w:t>
            </w:r>
            <w:r>
              <w:rPr>
                <w:rFonts w:hint="eastAsia" w:cs="Times New Roman"/>
                <w:b/>
                <w:bCs/>
                <w:color w:val="auto"/>
                <w:kern w:val="0"/>
                <w:sz w:val="24"/>
                <w:szCs w:val="24"/>
                <w:highlight w:val="none"/>
                <w:lang w:val="en-US" w:eastAsia="zh-CN" w:bidi="ar"/>
              </w:rPr>
              <w:t>园区</w:t>
            </w:r>
            <w:r>
              <w:rPr>
                <w:rFonts w:hint="default" w:ascii="Times New Roman" w:hAnsi="Times New Roman" w:eastAsia="宋体" w:cs="Times New Roman"/>
                <w:b/>
                <w:bCs/>
                <w:color w:val="auto"/>
                <w:kern w:val="0"/>
                <w:sz w:val="24"/>
                <w:szCs w:val="24"/>
                <w:highlight w:val="none"/>
                <w:lang w:val="en-US" w:eastAsia="zh-CN" w:bidi="ar"/>
              </w:rPr>
              <w:t>产业定位。</w:t>
            </w:r>
          </w:p>
          <w:p w14:paraId="55EA2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lang w:eastAsia="zh-CN"/>
              </w:rPr>
            </w:pPr>
            <w:r>
              <w:rPr>
                <w:rFonts w:hint="eastAsia" w:cs="Times New Roman"/>
                <w:b/>
                <w:bCs/>
                <w:color w:val="auto"/>
                <w:sz w:val="24"/>
                <w:lang w:val="en-US" w:eastAsia="zh-CN"/>
              </w:rPr>
              <w:t>3.3</w:t>
            </w:r>
            <w:r>
              <w:rPr>
                <w:rFonts w:hint="default" w:ascii="Times New Roman" w:hAnsi="Times New Roman" w:eastAsia="宋体" w:cs="Times New Roman"/>
                <w:b/>
                <w:bCs/>
                <w:color w:val="auto"/>
                <w:sz w:val="24"/>
                <w:lang w:eastAsia="zh-CN"/>
              </w:rPr>
              <w:t>规划用地布局</w:t>
            </w:r>
          </w:p>
          <w:p w14:paraId="220AD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6" w:firstLineChars="200"/>
              <w:textAlignment w:val="auto"/>
              <w:rPr>
                <w:rFonts w:hint="default" w:ascii="Times New Roman" w:hAnsi="Times New Roman" w:eastAsia="宋体" w:cs="Times New Roman"/>
                <w:color w:val="auto"/>
                <w:spacing w:val="-6"/>
                <w:sz w:val="24"/>
                <w:lang w:eastAsia="zh-CN"/>
              </w:rPr>
            </w:pPr>
            <w:r>
              <w:rPr>
                <w:rFonts w:hint="default" w:ascii="Times New Roman" w:hAnsi="Times New Roman" w:eastAsia="宋体" w:cs="Times New Roman"/>
                <w:color w:val="auto"/>
                <w:spacing w:val="-6"/>
                <w:sz w:val="24"/>
                <w:lang w:val="en-US" w:eastAsia="zh-CN"/>
              </w:rPr>
              <w:t>河北魏县经济开发区包括规划用地总面积为1869.07公顷，其中居住用地16.40公顷、公共管理与公共服务用地24.30公顷、商业服务用地14.61公顷、工矿用地779.92公顷、交通运输用地65.94公顷、公用设施用地34.84公顷、绿地与开敞空间用地35.64公顷、绿地与开敞空间用地3.71公顷、城镇开发边界外用地893.71公顷。</w:t>
            </w:r>
          </w:p>
          <w:p w14:paraId="0A102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根据企业</w:t>
            </w:r>
            <w:r>
              <w:rPr>
                <w:rFonts w:hint="default" w:ascii="Times New Roman" w:hAnsi="Times New Roman" w:eastAsia="宋体" w:cs="Times New Roman"/>
                <w:b/>
                <w:bCs/>
                <w:color w:val="auto"/>
                <w:sz w:val="24"/>
                <w:highlight w:val="none"/>
                <w:lang w:val="en-US" w:eastAsia="zh-CN"/>
              </w:rPr>
              <w:t>不动产权证书</w:t>
            </w:r>
            <w:r>
              <w:rPr>
                <w:rFonts w:hint="eastAsia"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见附件）</w:t>
            </w:r>
            <w:r>
              <w:rPr>
                <w:rFonts w:hint="eastAsia" w:eastAsia="宋体" w:cs="Times New Roman"/>
                <w:b/>
                <w:bCs/>
                <w:color w:val="auto"/>
                <w:sz w:val="24"/>
                <w:highlight w:val="none"/>
                <w:lang w:val="en-US" w:eastAsia="zh-CN"/>
              </w:rPr>
              <w:t>以及</w:t>
            </w:r>
            <w:r>
              <w:rPr>
                <w:rFonts w:hint="default" w:ascii="Times New Roman" w:hAnsi="Times New Roman" w:eastAsia="宋体" w:cs="Times New Roman"/>
                <w:b/>
                <w:bCs/>
                <w:color w:val="auto"/>
                <w:sz w:val="24"/>
                <w:highlight w:val="none"/>
                <w:lang w:eastAsia="zh-CN"/>
              </w:rPr>
              <w:t>先进装备制造园</w:t>
            </w:r>
            <w:r>
              <w:rPr>
                <w:rFonts w:hint="default" w:ascii="Times New Roman" w:hAnsi="Times New Roman" w:eastAsia="宋体" w:cs="Times New Roman"/>
                <w:b/>
                <w:bCs/>
                <w:color w:val="auto"/>
                <w:kern w:val="2"/>
                <w:sz w:val="24"/>
                <w:szCs w:val="22"/>
                <w:highlight w:val="none"/>
                <w:lang w:val="en-US" w:eastAsia="zh-CN" w:bidi="ar-SA"/>
              </w:rPr>
              <w:t>用地布局</w:t>
            </w:r>
            <w:r>
              <w:rPr>
                <w:rFonts w:hint="default" w:ascii="Times New Roman" w:hAnsi="Times New Roman" w:eastAsia="宋体" w:cs="Times New Roman"/>
                <w:b/>
                <w:bCs/>
                <w:color w:val="auto"/>
                <w:sz w:val="24"/>
                <w:highlight w:val="none"/>
                <w:lang w:eastAsia="zh-CN"/>
              </w:rPr>
              <w:t>规划图</w:t>
            </w:r>
            <w:r>
              <w:rPr>
                <w:rFonts w:hint="eastAsia"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本项目占地为</w:t>
            </w:r>
            <w:r>
              <w:rPr>
                <w:rFonts w:hint="eastAsia" w:cs="Times New Roman"/>
                <w:b/>
                <w:bCs/>
                <w:color w:val="auto"/>
                <w:sz w:val="24"/>
                <w:highlight w:val="none"/>
                <w:lang w:val="en-US" w:eastAsia="zh-CN"/>
              </w:rPr>
              <w:t>食品加工区的</w:t>
            </w:r>
            <w:r>
              <w:rPr>
                <w:rFonts w:hint="default" w:ascii="Times New Roman" w:hAnsi="Times New Roman" w:eastAsia="宋体" w:cs="Times New Roman"/>
                <w:b/>
                <w:bCs/>
                <w:color w:val="auto"/>
                <w:sz w:val="24"/>
                <w:highlight w:val="none"/>
                <w:lang w:val="en-US" w:eastAsia="zh-CN"/>
              </w:rPr>
              <w:t>工业用地，符合开发区规划</w:t>
            </w:r>
            <w:r>
              <w:rPr>
                <w:rFonts w:hint="eastAsia" w:cs="Times New Roman"/>
                <w:b/>
                <w:bCs/>
                <w:color w:val="auto"/>
                <w:sz w:val="24"/>
                <w:highlight w:val="none"/>
                <w:lang w:val="en-US" w:eastAsia="zh-CN"/>
              </w:rPr>
              <w:t>产业和</w:t>
            </w:r>
            <w:r>
              <w:rPr>
                <w:rFonts w:hint="default" w:ascii="Times New Roman" w:hAnsi="Times New Roman" w:eastAsia="宋体" w:cs="Times New Roman"/>
                <w:b/>
                <w:bCs/>
                <w:color w:val="auto"/>
                <w:sz w:val="24"/>
                <w:highlight w:val="none"/>
                <w:lang w:val="en-US" w:eastAsia="zh-CN"/>
              </w:rPr>
              <w:t>用地布局。</w:t>
            </w:r>
          </w:p>
          <w:p w14:paraId="4802F5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4、河北魏县经济开发区（先进装备制造园区）生态环境准入清单</w:t>
            </w:r>
          </w:p>
          <w:p w14:paraId="7CEE1399">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60" w:lineRule="exact"/>
              <w:ind w:left="0" w:leftChars="0" w:right="0" w:firstLine="480" w:firstLineChars="200"/>
              <w:textAlignment w:val="auto"/>
              <w:rPr>
                <w:rFonts w:hint="eastAsia" w:cs="Times New Roman"/>
                <w:b w:val="0"/>
                <w:bCs w:val="0"/>
                <w:color w:val="auto"/>
                <w:sz w:val="24"/>
                <w:lang w:val="en-US" w:eastAsia="zh-CN"/>
              </w:rPr>
            </w:pPr>
            <w:r>
              <w:rPr>
                <w:rFonts w:hint="eastAsia" w:cs="Times New Roman"/>
                <w:b w:val="0"/>
                <w:bCs w:val="0"/>
                <w:color w:val="auto"/>
                <w:sz w:val="24"/>
                <w:lang w:val="en-US" w:eastAsia="zh-CN"/>
              </w:rPr>
              <w:t>与</w:t>
            </w:r>
            <w:r>
              <w:rPr>
                <w:rFonts w:hint="default" w:ascii="Times New Roman" w:hAnsi="Times New Roman" w:eastAsia="宋体" w:cs="Times New Roman"/>
                <w:b w:val="0"/>
                <w:bCs w:val="0"/>
                <w:color w:val="auto"/>
                <w:sz w:val="24"/>
                <w:lang w:val="en-US" w:eastAsia="zh-CN"/>
              </w:rPr>
              <w:t>河北魏县经济开发区（先进装备制造园区）生态环境准入清单</w:t>
            </w:r>
            <w:r>
              <w:rPr>
                <w:rFonts w:hint="eastAsia" w:cs="Times New Roman"/>
                <w:b w:val="0"/>
                <w:bCs w:val="0"/>
                <w:color w:val="auto"/>
                <w:sz w:val="24"/>
                <w:lang w:val="en-US" w:eastAsia="zh-CN"/>
              </w:rPr>
              <w:t>的符合性分析见表1-1。</w:t>
            </w:r>
          </w:p>
          <w:p w14:paraId="247A849E">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60" w:lineRule="exact"/>
              <w:ind w:left="0" w:leftChars="0" w:right="0" w:firstLine="482" w:firstLineChars="200"/>
              <w:jc w:val="center"/>
              <w:textAlignment w:val="auto"/>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 w:val="24"/>
                <w:szCs w:val="24"/>
              </w:rPr>
              <w:t xml:space="preserve">表1-1  </w:t>
            </w:r>
            <w:r>
              <w:rPr>
                <w:rFonts w:hint="default" w:ascii="Times New Roman" w:hAnsi="Times New Roman" w:eastAsia="宋体" w:cs="Times New Roman"/>
                <w:b/>
                <w:bCs/>
                <w:color w:val="auto"/>
                <w:sz w:val="24"/>
                <w:szCs w:val="24"/>
                <w:lang w:val="en-US" w:eastAsia="zh-CN"/>
              </w:rPr>
              <w:t>河北魏县经济开发区</w:t>
            </w:r>
            <w:r>
              <w:rPr>
                <w:rFonts w:hint="default" w:ascii="Times New Roman" w:hAnsi="Times New Roman" w:eastAsia="宋体" w:cs="Times New Roman"/>
                <w:b/>
                <w:bCs/>
                <w:color w:val="auto"/>
                <w:kern w:val="0"/>
                <w:sz w:val="24"/>
                <w:szCs w:val="24"/>
                <w:lang w:val="en-US" w:eastAsia="zh-CN"/>
              </w:rPr>
              <w:t>（先进装备制造园区）生态环境准入清单</w:t>
            </w:r>
          </w:p>
          <w:tbl>
            <w:tblPr>
              <w:tblStyle w:val="33"/>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5106"/>
              <w:gridCol w:w="1952"/>
              <w:gridCol w:w="692"/>
            </w:tblGrid>
            <w:tr w14:paraId="5C0C09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0" w:type="pct"/>
                  <w:tcBorders>
                    <w:tl2br w:val="nil"/>
                    <w:tr2bl w:val="nil"/>
                  </w:tcBorders>
                  <w:noWrap w:val="0"/>
                  <w:vAlign w:val="center"/>
                </w:tcPr>
                <w:p w14:paraId="36692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kern w:val="0"/>
                      <w:szCs w:val="21"/>
                      <w:lang w:eastAsia="zh-CN"/>
                    </w:rPr>
                  </w:pPr>
                  <w:r>
                    <w:rPr>
                      <w:rFonts w:hint="default" w:ascii="Times New Roman" w:hAnsi="Times New Roman" w:eastAsia="宋体" w:cs="Times New Roman"/>
                      <w:b/>
                      <w:bCs/>
                      <w:color w:val="auto"/>
                      <w:kern w:val="0"/>
                      <w:szCs w:val="21"/>
                      <w:lang w:eastAsia="zh-CN"/>
                    </w:rPr>
                    <w:t>清单类型</w:t>
                  </w:r>
                </w:p>
              </w:tc>
              <w:tc>
                <w:tcPr>
                  <w:tcW w:w="2964" w:type="pct"/>
                  <w:tcBorders>
                    <w:tl2br w:val="nil"/>
                    <w:tr2bl w:val="nil"/>
                  </w:tcBorders>
                  <w:noWrap w:val="0"/>
                  <w:vAlign w:val="center"/>
                </w:tcPr>
                <w:p w14:paraId="5A150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b/>
                      <w:bCs/>
                      <w:color w:val="auto"/>
                      <w:szCs w:val="21"/>
                      <w:lang w:eastAsia="zh-CN"/>
                    </w:rPr>
                    <w:t>准入要求</w:t>
                  </w:r>
                </w:p>
              </w:tc>
              <w:tc>
                <w:tcPr>
                  <w:tcW w:w="1133" w:type="pct"/>
                  <w:tcBorders>
                    <w:tl2br w:val="nil"/>
                    <w:tr2bl w:val="nil"/>
                  </w:tcBorders>
                  <w:noWrap w:val="0"/>
                  <w:vAlign w:val="center"/>
                </w:tcPr>
                <w:p w14:paraId="0964E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b/>
                      <w:bCs/>
                      <w:color w:val="auto"/>
                      <w:szCs w:val="21"/>
                      <w:lang w:eastAsia="zh-CN"/>
                    </w:rPr>
                    <w:t>本项目</w:t>
                  </w:r>
                </w:p>
              </w:tc>
              <w:tc>
                <w:tcPr>
                  <w:tcW w:w="401" w:type="pct"/>
                  <w:tcBorders>
                    <w:tl2br w:val="nil"/>
                    <w:tr2bl w:val="nil"/>
                  </w:tcBorders>
                  <w:noWrap w:val="0"/>
                  <w:vAlign w:val="center"/>
                </w:tcPr>
                <w:p w14:paraId="3F0C0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符合性</w:t>
                  </w:r>
                </w:p>
              </w:tc>
            </w:tr>
            <w:tr w14:paraId="4255D3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 w:type="pct"/>
                  <w:tcBorders>
                    <w:tl2br w:val="nil"/>
                    <w:tr2bl w:val="nil"/>
                  </w:tcBorders>
                  <w:noWrap w:val="0"/>
                  <w:vAlign w:val="center"/>
                </w:tcPr>
                <w:p w14:paraId="782A7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总体要求</w:t>
                  </w:r>
                </w:p>
              </w:tc>
              <w:tc>
                <w:tcPr>
                  <w:tcW w:w="2964" w:type="pct"/>
                  <w:tcBorders>
                    <w:tl2br w:val="nil"/>
                    <w:tr2bl w:val="nil"/>
                  </w:tcBorders>
                  <w:noWrap w:val="0"/>
                  <w:vAlign w:val="center"/>
                </w:tcPr>
                <w:p w14:paraId="3155D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both"/>
                    <w:textAlignment w:val="auto"/>
                    <w:rPr>
                      <w:rFonts w:hint="default" w:ascii="Times New Roman" w:hAnsi="Times New Roman" w:eastAsia="宋体" w:cs="Times New Roman"/>
                      <w:color w:val="auto"/>
                      <w:szCs w:val="21"/>
                      <w:lang w:eastAsia="zh-CN"/>
                    </w:rPr>
                  </w:pPr>
                  <w:r>
                    <w:rPr>
                      <w:rFonts w:hint="eastAsia" w:cs="Times New Roman"/>
                      <w:color w:val="auto"/>
                      <w:szCs w:val="21"/>
                      <w:lang w:val="en-US" w:eastAsia="zh-CN"/>
                    </w:rPr>
                    <w:t xml:space="preserve">    </w:t>
                  </w:r>
                  <w:r>
                    <w:rPr>
                      <w:rFonts w:hint="default" w:ascii="Times New Roman" w:hAnsi="Times New Roman" w:eastAsia="宋体" w:cs="Times New Roman"/>
                      <w:color w:val="auto"/>
                      <w:szCs w:val="21"/>
                      <w:lang w:eastAsia="zh-CN"/>
                    </w:rPr>
                    <w:t>1.入区项目各污染物排放满足国家、河北省、邯郸市特别排放限值及地方特别要求，排放指标必须满足清洁生产指标要求(如有)。</w:t>
                  </w:r>
                </w:p>
                <w:p w14:paraId="1B681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2.新建具有绩效评级要求的涉气建设项目，应达到B级及以上水平。</w:t>
                  </w:r>
                </w:p>
                <w:p w14:paraId="25A55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3.挥发性有机物治理工艺禁止采用低温等离子、光氧化/催化、劣质活性炭吸附、喷淋吸收等单一治理技术，使用溶剂型涂料时，喷漆、流平、烘干、清洗等工序含挥发性有机物废气采用吸附浓缩+燃烧、燃烧等治理技术，调漆废气密闭收集并安装治理设施。</w:t>
                  </w:r>
                </w:p>
                <w:p w14:paraId="09009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4、开发区严禁新增“两高”项目等污染较重的项目入驻。</w:t>
                  </w:r>
                </w:p>
              </w:tc>
              <w:tc>
                <w:tcPr>
                  <w:tcW w:w="1133" w:type="pct"/>
                  <w:tcBorders>
                    <w:tl2br w:val="nil"/>
                    <w:tr2bl w:val="nil"/>
                  </w:tcBorders>
                  <w:noWrap w:val="0"/>
                  <w:vAlign w:val="center"/>
                </w:tcPr>
                <w:p w14:paraId="05CD9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jc w:val="both"/>
                    <w:textAlignment w:val="auto"/>
                    <w:rPr>
                      <w:rFonts w:hint="default" w:ascii="Times New Roman" w:hAnsi="Times New Roman" w:eastAsia="宋体" w:cs="Times New Roman"/>
                      <w:b w:val="0"/>
                      <w:bCs w:val="0"/>
                      <w:color w:val="auto"/>
                      <w:spacing w:val="-6"/>
                      <w:sz w:val="21"/>
                      <w:szCs w:val="21"/>
                      <w:lang w:eastAsia="zh-CN"/>
                    </w:rPr>
                  </w:pPr>
                  <w:r>
                    <w:rPr>
                      <w:rFonts w:hint="default" w:ascii="Times New Roman" w:hAnsi="Times New Roman" w:eastAsia="宋体" w:cs="Times New Roman"/>
                      <w:color w:val="auto"/>
                      <w:spacing w:val="-6"/>
                      <w:sz w:val="21"/>
                      <w:szCs w:val="21"/>
                      <w:lang w:val="en-US" w:eastAsia="zh-CN"/>
                    </w:rPr>
                    <w:t>1、</w:t>
                  </w:r>
                  <w:r>
                    <w:rPr>
                      <w:rFonts w:hint="default" w:ascii="Times New Roman" w:hAnsi="Times New Roman" w:eastAsia="宋体" w:cs="Times New Roman"/>
                      <w:color w:val="auto"/>
                      <w:spacing w:val="-6"/>
                      <w:sz w:val="21"/>
                      <w:szCs w:val="21"/>
                      <w:lang w:eastAsia="zh-CN"/>
                    </w:rPr>
                    <w:t>本</w:t>
                  </w:r>
                  <w:r>
                    <w:rPr>
                      <w:rFonts w:hint="eastAsia" w:cs="Times New Roman"/>
                      <w:color w:val="auto"/>
                      <w:spacing w:val="-6"/>
                      <w:sz w:val="21"/>
                      <w:szCs w:val="21"/>
                      <w:lang w:eastAsia="zh-CN"/>
                    </w:rPr>
                    <w:t>项目</w:t>
                  </w:r>
                  <w:r>
                    <w:rPr>
                      <w:rFonts w:hint="default" w:ascii="Times New Roman" w:hAnsi="Times New Roman" w:eastAsia="宋体" w:cs="Times New Roman"/>
                      <w:color w:val="auto"/>
                      <w:spacing w:val="-6"/>
                      <w:sz w:val="21"/>
                      <w:szCs w:val="21"/>
                      <w:lang w:eastAsia="zh-CN"/>
                    </w:rPr>
                    <w:t>涉及的污染物</w:t>
                  </w:r>
                  <w:r>
                    <w:rPr>
                      <w:rFonts w:hint="default" w:ascii="Times New Roman" w:hAnsi="Times New Roman" w:eastAsia="宋体" w:cs="Times New Roman"/>
                      <w:color w:val="auto"/>
                      <w:spacing w:val="-6"/>
                      <w:sz w:val="21"/>
                      <w:szCs w:val="21"/>
                      <w:lang w:val="en-US" w:eastAsia="zh-CN"/>
                    </w:rPr>
                    <w:t>排放均</w:t>
                  </w:r>
                  <w:r>
                    <w:rPr>
                      <w:rFonts w:hint="default" w:ascii="Times New Roman" w:hAnsi="Times New Roman" w:eastAsia="宋体" w:cs="Times New Roman"/>
                      <w:color w:val="auto"/>
                      <w:spacing w:val="-6"/>
                      <w:sz w:val="21"/>
                      <w:szCs w:val="21"/>
                      <w:lang w:eastAsia="zh-CN"/>
                    </w:rPr>
                    <w:t>满足国家、河北省、邯郸市特别排放限值及地方特别要求，</w:t>
                  </w:r>
                  <w:r>
                    <w:rPr>
                      <w:rFonts w:hint="default" w:ascii="Times New Roman" w:hAnsi="Times New Roman" w:eastAsia="宋体" w:cs="Times New Roman"/>
                      <w:b w:val="0"/>
                      <w:bCs w:val="0"/>
                      <w:color w:val="auto"/>
                      <w:spacing w:val="-6"/>
                      <w:sz w:val="21"/>
                      <w:szCs w:val="21"/>
                      <w:lang w:eastAsia="zh-CN"/>
                    </w:rPr>
                    <w:t>企业承诺采用</w:t>
                  </w:r>
                  <w:r>
                    <w:rPr>
                      <w:rFonts w:hint="default" w:ascii="Times New Roman" w:hAnsi="Times New Roman" w:eastAsia="宋体" w:cs="Times New Roman"/>
                      <w:b w:val="0"/>
                      <w:bCs w:val="0"/>
                      <w:color w:val="auto"/>
                      <w:spacing w:val="-6"/>
                      <w:sz w:val="21"/>
                      <w:szCs w:val="21"/>
                    </w:rPr>
                    <w:t>清洁生产技术、工艺和设备，清洁生产水平达到国家已颁布的相应清洁生产标准或清洁生产评价指标体系的国内先进水平</w:t>
                  </w:r>
                  <w:r>
                    <w:rPr>
                      <w:rFonts w:hint="default" w:ascii="Times New Roman" w:hAnsi="Times New Roman" w:eastAsia="宋体" w:cs="Times New Roman"/>
                      <w:b w:val="0"/>
                      <w:bCs w:val="0"/>
                      <w:color w:val="auto"/>
                      <w:spacing w:val="-6"/>
                      <w:sz w:val="21"/>
                      <w:szCs w:val="21"/>
                      <w:lang w:eastAsia="zh-CN"/>
                    </w:rPr>
                    <w:t>。</w:t>
                  </w:r>
                </w:p>
                <w:p w14:paraId="34509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jc w:val="both"/>
                    <w:textAlignment w:val="auto"/>
                    <w:rPr>
                      <w:rFonts w:hint="default" w:ascii="Times New Roman" w:hAnsi="Times New Roman" w:eastAsia="宋体" w:cs="Times New Roman"/>
                      <w:color w:val="auto"/>
                      <w:spacing w:val="-6"/>
                      <w:sz w:val="21"/>
                      <w:szCs w:val="21"/>
                      <w:highlight w:val="none"/>
                      <w:lang w:eastAsia="zh-CN"/>
                    </w:rPr>
                  </w:pPr>
                  <w:r>
                    <w:rPr>
                      <w:rFonts w:hint="default" w:ascii="Times New Roman" w:hAnsi="Times New Roman" w:eastAsia="宋体" w:cs="Times New Roman"/>
                      <w:b w:val="0"/>
                      <w:bCs w:val="0"/>
                      <w:color w:val="auto"/>
                      <w:spacing w:val="-6"/>
                      <w:sz w:val="21"/>
                      <w:szCs w:val="21"/>
                      <w:lang w:val="en-US" w:eastAsia="zh-CN"/>
                    </w:rPr>
                    <w:t>2、</w:t>
                  </w:r>
                  <w:r>
                    <w:rPr>
                      <w:rFonts w:hint="default" w:ascii="Times New Roman" w:hAnsi="Times New Roman" w:eastAsia="宋体" w:cs="Times New Roman"/>
                      <w:color w:val="auto"/>
                      <w:spacing w:val="-6"/>
                      <w:sz w:val="21"/>
                      <w:szCs w:val="21"/>
                    </w:rPr>
                    <w:t>按照本次环评要求落实后，</w:t>
                  </w:r>
                  <w:r>
                    <w:rPr>
                      <w:rFonts w:hint="default" w:ascii="Times New Roman" w:hAnsi="Times New Roman" w:eastAsia="宋体" w:cs="Times New Roman"/>
                      <w:color w:val="auto"/>
                      <w:spacing w:val="-6"/>
                      <w:sz w:val="21"/>
                      <w:szCs w:val="21"/>
                      <w:highlight w:val="none"/>
                    </w:rPr>
                    <w:t>本项目可达到B级水平</w:t>
                  </w:r>
                  <w:r>
                    <w:rPr>
                      <w:rFonts w:hint="default" w:ascii="Times New Roman" w:hAnsi="Times New Roman" w:eastAsia="宋体" w:cs="Times New Roman"/>
                      <w:color w:val="auto"/>
                      <w:spacing w:val="-6"/>
                      <w:sz w:val="21"/>
                      <w:szCs w:val="21"/>
                      <w:highlight w:val="none"/>
                      <w:lang w:eastAsia="zh-CN"/>
                    </w:rPr>
                    <w:t>。</w:t>
                  </w:r>
                </w:p>
                <w:p w14:paraId="7D636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15" w:leftChars="150" w:right="-105" w:rightChars="-50" w:firstLine="0" w:firstLineChars="0"/>
                    <w:jc w:val="both"/>
                    <w:textAlignment w:val="auto"/>
                    <w:rPr>
                      <w:rFonts w:hint="eastAsia" w:cs="Times New Roman"/>
                      <w:color w:val="auto"/>
                      <w:spacing w:val="-6"/>
                      <w:sz w:val="21"/>
                      <w:szCs w:val="21"/>
                      <w:highlight w:val="none"/>
                      <w:lang w:val="en-US" w:eastAsia="zh-CN"/>
                    </w:rPr>
                  </w:pPr>
                  <w:r>
                    <w:rPr>
                      <w:rFonts w:hint="default" w:ascii="Times New Roman" w:hAnsi="Times New Roman" w:eastAsia="宋体" w:cs="Times New Roman"/>
                      <w:color w:val="auto"/>
                      <w:spacing w:val="-6"/>
                      <w:sz w:val="21"/>
                      <w:szCs w:val="21"/>
                      <w:highlight w:val="none"/>
                      <w:lang w:val="en-US" w:eastAsia="zh-CN"/>
                    </w:rPr>
                    <w:t>3、本项目</w:t>
                  </w:r>
                  <w:r>
                    <w:rPr>
                      <w:rFonts w:hint="eastAsia" w:cs="Times New Roman"/>
                      <w:color w:val="auto"/>
                      <w:spacing w:val="-6"/>
                      <w:sz w:val="21"/>
                      <w:szCs w:val="21"/>
                      <w:highlight w:val="none"/>
                      <w:lang w:val="en-US" w:eastAsia="zh-CN"/>
                    </w:rPr>
                    <w:t>不涉</w:t>
                  </w:r>
                </w:p>
                <w:p w14:paraId="0388E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105" w:rightChars="-50" w:firstLine="396" w:firstLineChars="200"/>
                    <w:jc w:val="both"/>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pacing w:val="-6"/>
                      <w:kern w:val="21"/>
                      <w:sz w:val="21"/>
                      <w:szCs w:val="21"/>
                      <w:highlight w:val="none"/>
                      <w:lang w:val="en-US" w:eastAsia="zh-CN" w:bidi="ar-SA"/>
                    </w:rPr>
                    <w:t>4、本项目</w:t>
                  </w:r>
                  <w:r>
                    <w:rPr>
                      <w:rFonts w:hint="default" w:ascii="Times New Roman" w:hAnsi="Times New Roman" w:eastAsia="宋体" w:cs="Times New Roman"/>
                      <w:color w:val="auto"/>
                      <w:spacing w:val="-6"/>
                      <w:sz w:val="21"/>
                      <w:szCs w:val="21"/>
                      <w:lang w:val="en-US" w:eastAsia="zh-CN"/>
                    </w:rPr>
                    <w:t>不属于“两高”项目。</w:t>
                  </w:r>
                </w:p>
              </w:tc>
              <w:tc>
                <w:tcPr>
                  <w:tcW w:w="401" w:type="pct"/>
                  <w:tcBorders>
                    <w:tl2br w:val="nil"/>
                    <w:tr2bl w:val="nil"/>
                  </w:tcBorders>
                  <w:noWrap w:val="0"/>
                  <w:vAlign w:val="center"/>
                </w:tcPr>
                <w:p w14:paraId="2FD67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符合</w:t>
                  </w:r>
                </w:p>
              </w:tc>
            </w:tr>
            <w:tr w14:paraId="1463E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 w:type="pct"/>
                  <w:tcBorders>
                    <w:tl2br w:val="nil"/>
                    <w:tr2bl w:val="nil"/>
                  </w:tcBorders>
                  <w:noWrap w:val="0"/>
                  <w:vAlign w:val="center"/>
                </w:tcPr>
                <w:p w14:paraId="3DD7E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空间布局约束</w:t>
                  </w:r>
                </w:p>
              </w:tc>
              <w:tc>
                <w:tcPr>
                  <w:tcW w:w="2964" w:type="pct"/>
                  <w:tcBorders>
                    <w:tl2br w:val="nil"/>
                    <w:tr2bl w:val="nil"/>
                  </w:tcBorders>
                  <w:noWrap w:val="0"/>
                  <w:vAlign w:val="center"/>
                </w:tcPr>
                <w:p w14:paraId="2AB7E1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both"/>
                    <w:textAlignment w:val="auto"/>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 xml:space="preserve">    </w:t>
                  </w:r>
                  <w:r>
                    <w:rPr>
                      <w:rFonts w:hint="default" w:ascii="Times New Roman" w:hAnsi="Times New Roman" w:eastAsia="宋体" w:cs="Times New Roman"/>
                      <w:color w:val="auto"/>
                      <w:kern w:val="0"/>
                      <w:szCs w:val="21"/>
                      <w:lang w:val="en-US" w:eastAsia="zh-CN"/>
                    </w:rPr>
                    <w:t>1.先进装备制造园禁止在紧邻东风渠一侧第一排建设专业表面处理企业；入驻项目应优化平面布置，将生产车间等污染工序布置在远离村庄等敏感点的一侧，临近现状村庄一侧布设将污染物产生量少、环境影响轻的工序；食品加工产业禁止发展畜禽屠宰类项目，同时选址应满足《食品安全国家标准食品生产通用卫生规范》（GB 14881-2013）相关要求；新兴产业中的医药保健仅限中药饮片加工、中成药生产，禁止发展化学药品原料药制造、生物药品制品制造类项目；纺织服装产业禁止新增涉及印染工序的项目。</w:t>
                  </w:r>
                </w:p>
                <w:p w14:paraId="4EC42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396" w:firstLineChars="200"/>
                    <w:jc w:val="left"/>
                    <w:textAlignment w:val="auto"/>
                    <w:rPr>
                      <w:rFonts w:hint="default" w:ascii="Times New Roman" w:hAnsi="Times New Roman" w:eastAsia="宋体" w:cs="Times New Roman"/>
                      <w:color w:val="auto"/>
                      <w:spacing w:val="-6"/>
                      <w:kern w:val="0"/>
                      <w:sz w:val="21"/>
                      <w:szCs w:val="21"/>
                      <w:lang w:val="en-US" w:eastAsia="zh-CN"/>
                    </w:rPr>
                  </w:pPr>
                  <w:r>
                    <w:rPr>
                      <w:rFonts w:hint="default" w:ascii="Times New Roman" w:hAnsi="Times New Roman" w:eastAsia="宋体" w:cs="Times New Roman"/>
                      <w:color w:val="auto"/>
                      <w:spacing w:val="-6"/>
                      <w:kern w:val="0"/>
                      <w:sz w:val="21"/>
                      <w:szCs w:val="21"/>
                      <w:lang w:val="en-US" w:eastAsia="zh-CN"/>
                    </w:rPr>
                    <w:t>2.禁止在规划绿地范围内开展与绿地无关的建设活动；</w:t>
                  </w:r>
                </w:p>
                <w:p w14:paraId="29B69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left"/>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3.涉其它风险物质企业应在建设项目环评阶段进一步详细论证其风险状态下的影响范围，新增风险源的大气毒性终点浓度-1范围内不得有</w:t>
                  </w:r>
                  <w:r>
                    <w:rPr>
                      <w:rFonts w:hint="eastAsia" w:cs="Times New Roman"/>
                      <w:color w:val="auto"/>
                      <w:kern w:val="0"/>
                      <w:szCs w:val="21"/>
                      <w:lang w:val="en-US" w:eastAsia="zh-CN"/>
                    </w:rPr>
                    <w:t>常住</w:t>
                  </w:r>
                  <w:r>
                    <w:rPr>
                      <w:rFonts w:hint="default" w:ascii="Times New Roman" w:hAnsi="Times New Roman" w:eastAsia="宋体" w:cs="Times New Roman"/>
                      <w:color w:val="auto"/>
                      <w:kern w:val="0"/>
                      <w:szCs w:val="21"/>
                      <w:lang w:val="en-US" w:eastAsia="zh-CN"/>
                    </w:rPr>
                    <w:t>居民，具体控制距离根据项目环评的风险分析结论确定。</w:t>
                  </w:r>
                </w:p>
                <w:p w14:paraId="1E8C5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left"/>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节能环保产业除再生铝外，禁止新建其他有色金属再生回收利用项目。根据《排污许可申请与核发技术规范有色金属再生工业》，再生铝涉及的产排污工序主要为熔炼炉废气(污染因子涉及重金属、二噁英)。评价要求废铝再生过程中产生的废气严格采用排污许可证申请与核发技术规范等文件要求的可行技术。禁止发展危险废物处置项目、使用受到危险化学品或沾染危险废物等污染的废弃资源加工利用的项目。</w:t>
                  </w:r>
                </w:p>
                <w:p w14:paraId="364B1D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left"/>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5.对于现有工业企业后续退出及遗留宗地，应按照《中华人民共和国土壤污染防治法</w:t>
                  </w:r>
                  <w:r>
                    <w:rPr>
                      <w:rFonts w:hint="eastAsia"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关于贯彻落实土壤污染防治法推动解决突出土壤污染问题的实施意见》（环办土壤</w:t>
                  </w:r>
                  <w:r>
                    <w:rPr>
                      <w:rFonts w:hint="eastAsia" w:cs="Times New Roman"/>
                      <w:color w:val="auto"/>
                      <w:kern w:val="0"/>
                      <w:szCs w:val="21"/>
                      <w:lang w:val="en-US" w:eastAsia="zh-CN"/>
                    </w:rPr>
                    <w:t>〔2019〕</w:t>
                  </w:r>
                  <w:r>
                    <w:rPr>
                      <w:rFonts w:hint="default" w:ascii="Times New Roman" w:hAnsi="Times New Roman" w:eastAsia="宋体" w:cs="Times New Roman"/>
                      <w:color w:val="auto"/>
                      <w:kern w:val="0"/>
                      <w:szCs w:val="21"/>
                      <w:lang w:val="en-US" w:eastAsia="zh-CN"/>
                    </w:rPr>
                    <w:t>47号）《污染地块土壤环境管理办法</w:t>
                  </w:r>
                  <w:r>
                    <w:rPr>
                      <w:rFonts w:hint="eastAsia"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工矿用地土壤环境管理办法（试行）</w:t>
                  </w:r>
                  <w:r>
                    <w:rPr>
                      <w:rFonts w:hint="eastAsia"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关于加强工业企业关停、搬迁及原址场地再开发利用过程中污染防治工作的通知》等文件要求，土地用途变更为住宅、公共管理与公共服务用地的，变更前应当按照规定进行土壤、地下水环境初步调查，编制调查报告。对于存在超过相关标准要求的，开展详细调查、风险评估、风险管控、治理与修复等活动。</w:t>
                  </w:r>
                </w:p>
                <w:p w14:paraId="41F0C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left"/>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6、城镇开发边界之外区域，在规划期内维持现状不变，不得开展城镇开发及工业开发建设。</w:t>
                  </w:r>
                </w:p>
              </w:tc>
              <w:tc>
                <w:tcPr>
                  <w:tcW w:w="1133" w:type="pct"/>
                  <w:tcBorders>
                    <w:tl2br w:val="nil"/>
                    <w:tr2bl w:val="nil"/>
                  </w:tcBorders>
                  <w:noWrap w:val="0"/>
                  <w:vAlign w:val="center"/>
                </w:tcPr>
                <w:p w14:paraId="641EE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1、本项目位于</w:t>
                  </w:r>
                  <w:r>
                    <w:rPr>
                      <w:rFonts w:hint="eastAsia" w:cs="Times New Roman"/>
                      <w:color w:val="auto"/>
                      <w:kern w:val="0"/>
                      <w:szCs w:val="21"/>
                      <w:lang w:val="en-US" w:eastAsia="zh-CN"/>
                    </w:rPr>
                    <w:t>河北省邯郸市魏县经济开发区魏县现代农业园区</w:t>
                  </w:r>
                  <w:r>
                    <w:rPr>
                      <w:rFonts w:hint="default" w:ascii="Times New Roman" w:hAnsi="Times New Roman" w:eastAsia="宋体" w:cs="Times New Roman"/>
                      <w:color w:val="auto"/>
                      <w:kern w:val="0"/>
                      <w:szCs w:val="21"/>
                      <w:lang w:val="en-US" w:eastAsia="zh-CN"/>
                    </w:rPr>
                    <w:t>，不属于紧邻东风渠一侧第一排企业；本项目生产车间位于远离村庄一侧；本项目</w:t>
                  </w:r>
                  <w:r>
                    <w:rPr>
                      <w:rFonts w:hint="eastAsia" w:cs="Times New Roman"/>
                      <w:color w:val="auto"/>
                      <w:kern w:val="0"/>
                      <w:szCs w:val="21"/>
                      <w:lang w:val="en-US" w:eastAsia="zh-CN"/>
                    </w:rPr>
                    <w:t>选址满足</w:t>
                  </w:r>
                  <w:r>
                    <w:rPr>
                      <w:rFonts w:hint="default" w:ascii="Times New Roman" w:hAnsi="Times New Roman" w:eastAsia="宋体" w:cs="Times New Roman"/>
                      <w:color w:val="auto"/>
                      <w:kern w:val="0"/>
                      <w:szCs w:val="21"/>
                      <w:lang w:val="en-US" w:eastAsia="zh-CN"/>
                    </w:rPr>
                    <w:t>《食品安全国家标准食品生产通用卫生规范》（GB 14881-2013）相关要求。</w:t>
                  </w:r>
                </w:p>
                <w:p w14:paraId="56D1C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2、本项目不在规划绿地范围内。</w:t>
                  </w:r>
                </w:p>
                <w:p w14:paraId="12B91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3、本项目风险物质量较少，不涉及大气毒性终点浓度-1范围。</w:t>
                  </w:r>
                </w:p>
                <w:p w14:paraId="0F41C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4、不属于再生铝产业，不涉及危险废物处置、使用。</w:t>
                  </w:r>
                </w:p>
                <w:p w14:paraId="6B013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5、不涉及。</w:t>
                  </w:r>
                </w:p>
                <w:p w14:paraId="3E45B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jc w:val="both"/>
                    <w:textAlignment w:val="auto"/>
                    <w:rPr>
                      <w:rFonts w:hint="default" w:ascii="Times New Roman" w:hAnsi="Times New Roman" w:eastAsia="宋体" w:cs="Times New Roman"/>
                      <w:color w:val="auto"/>
                      <w:kern w:val="0"/>
                      <w:szCs w:val="21"/>
                      <w:lang w:val="en-US"/>
                    </w:rPr>
                  </w:pPr>
                  <w:r>
                    <w:rPr>
                      <w:rFonts w:hint="default" w:ascii="Times New Roman" w:hAnsi="Times New Roman" w:eastAsia="宋体" w:cs="Times New Roman"/>
                      <w:color w:val="auto"/>
                      <w:kern w:val="0"/>
                      <w:szCs w:val="21"/>
                      <w:lang w:val="en-US" w:eastAsia="zh-CN"/>
                    </w:rPr>
                    <w:t>6、不涉及。</w:t>
                  </w:r>
                </w:p>
              </w:tc>
              <w:tc>
                <w:tcPr>
                  <w:tcW w:w="401" w:type="pct"/>
                  <w:tcBorders>
                    <w:tl2br w:val="nil"/>
                    <w:tr2bl w:val="nil"/>
                  </w:tcBorders>
                  <w:noWrap w:val="0"/>
                  <w:vAlign w:val="center"/>
                </w:tcPr>
                <w:p w14:paraId="1E129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4F810D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 w:type="pct"/>
                  <w:tcBorders>
                    <w:tl2br w:val="nil"/>
                    <w:tr2bl w:val="nil"/>
                  </w:tcBorders>
                  <w:noWrap w:val="0"/>
                  <w:vAlign w:val="center"/>
                </w:tcPr>
                <w:p w14:paraId="75D2B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污染物排放管控</w:t>
                  </w:r>
                </w:p>
              </w:tc>
              <w:tc>
                <w:tcPr>
                  <w:tcW w:w="2964" w:type="pct"/>
                  <w:tcBorders>
                    <w:tl2br w:val="nil"/>
                    <w:tr2bl w:val="nil"/>
                  </w:tcBorders>
                  <w:noWrap w:val="0"/>
                  <w:vAlign w:val="center"/>
                </w:tcPr>
                <w:p w14:paraId="0E1F99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396" w:firstLineChars="200"/>
                    <w:jc w:val="both"/>
                    <w:textAlignment w:val="auto"/>
                    <w:rPr>
                      <w:rFonts w:hint="default" w:ascii="Times New Roman" w:hAnsi="Times New Roman" w:eastAsia="宋体" w:cs="Times New Roman"/>
                      <w:color w:val="auto"/>
                      <w:spacing w:val="-6"/>
                      <w:kern w:val="0"/>
                      <w:sz w:val="21"/>
                      <w:szCs w:val="21"/>
                      <w:lang w:val="en-US" w:eastAsia="zh-CN"/>
                    </w:rPr>
                  </w:pPr>
                  <w:r>
                    <w:rPr>
                      <w:rFonts w:hint="default" w:ascii="Times New Roman" w:hAnsi="Times New Roman" w:eastAsia="宋体" w:cs="Times New Roman"/>
                      <w:color w:val="auto"/>
                      <w:spacing w:val="-6"/>
                      <w:kern w:val="0"/>
                      <w:sz w:val="21"/>
                      <w:szCs w:val="21"/>
                      <w:lang w:val="en-US" w:eastAsia="zh-CN"/>
                    </w:rPr>
                    <w:t>1.开发区允许排放量：颗粒物111.094t/a，二氧化硫434.358t/a，氮氧化物398.525t/a，挥发性有机物106.415t/a，苯0.615t/a，甲苯及二甲苯合计7.505t/a，氟化物1.852t/a，氯化氢15.906t/a，铅及其化合物0.834t/a，镉及其化合物0.0105t/a，砷及其化合物0.0099t/a，二噁英类1.381gTEQ/a，氨2.320t/a，H</w:t>
                  </w:r>
                  <w:r>
                    <w:rPr>
                      <w:rFonts w:hint="default" w:ascii="Times New Roman" w:hAnsi="Times New Roman" w:eastAsia="宋体" w:cs="Times New Roman"/>
                      <w:color w:val="auto"/>
                      <w:spacing w:val="-6"/>
                      <w:kern w:val="0"/>
                      <w:sz w:val="21"/>
                      <w:szCs w:val="21"/>
                      <w:vertAlign w:val="subscript"/>
                      <w:lang w:val="en-US" w:eastAsia="zh-CN"/>
                    </w:rPr>
                    <w:t>2</w:t>
                  </w:r>
                  <w:r>
                    <w:rPr>
                      <w:rFonts w:hint="default" w:ascii="Times New Roman" w:hAnsi="Times New Roman" w:eastAsia="宋体" w:cs="Times New Roman"/>
                      <w:color w:val="auto"/>
                      <w:spacing w:val="-6"/>
                      <w:kern w:val="0"/>
                      <w:sz w:val="21"/>
                      <w:szCs w:val="21"/>
                      <w:lang w:val="en-US" w:eastAsia="zh-CN"/>
                    </w:rPr>
                    <w:t>S1.225t/a，COD8.17t/a，氨氮0.41t/a，BOD</w:t>
                  </w:r>
                  <w:r>
                    <w:rPr>
                      <w:rFonts w:hint="default" w:ascii="Times New Roman" w:hAnsi="Times New Roman" w:eastAsia="宋体" w:cs="Times New Roman"/>
                      <w:color w:val="auto"/>
                      <w:spacing w:val="-6"/>
                      <w:kern w:val="0"/>
                      <w:sz w:val="21"/>
                      <w:szCs w:val="21"/>
                      <w:vertAlign w:val="subscript"/>
                      <w:lang w:val="en-US" w:eastAsia="zh-CN"/>
                    </w:rPr>
                    <w:t>5</w:t>
                  </w:r>
                  <w:r>
                    <w:rPr>
                      <w:rFonts w:hint="default" w:ascii="Times New Roman" w:hAnsi="Times New Roman" w:eastAsia="宋体" w:cs="Times New Roman"/>
                      <w:color w:val="auto"/>
                      <w:spacing w:val="-6"/>
                      <w:kern w:val="0"/>
                      <w:sz w:val="21"/>
                      <w:szCs w:val="21"/>
                      <w:lang w:val="en-US" w:eastAsia="zh-CN"/>
                    </w:rPr>
                    <w:t>1.63t/a，总磷0.08t/a，总氮4.08t/a。存量源削减量：颗粒物12.568t/a，二氧化硫8.481t/a，氮氧化物36.525t/a，挥发性有机物23.960t//a(具体减排方案见附件)；新增源控制量：颗粒物67.096t/a，二氧化硫25.872t/a，氮氧化物108.734t/a，挥发性有机物39.459t/a，苯1.358t/a，甲苯与二甲苯合计8.146t/a，氟化物5.274t/a，氯化氢2.601t/a，铅及其化合物0.2630t/a，镉及其化合物0.0030t/a，砷及其化合物0.0095t/a，二噁英类1.187gTEQ/a，氨0.462t/a，H2S0.046t/a。化学需氧量、氨氮排放量(以污水处理厂出口计)不得突破35.55吨/年、1.84吨/年。</w:t>
                  </w:r>
                </w:p>
                <w:p w14:paraId="639B5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2.开发区主要污染物排放强度准入要求：颗粒物0.490t/亿元产值，二氧化硫0.793t/亿元产值，氮氧化物2.283t/亿元产值，挥发性有机物0.356t/亿元产值；COD0.086t/亿元，氨氮0.004t/亿元。</w:t>
                  </w:r>
                </w:p>
                <w:p w14:paraId="0D874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3.开发区碳排放强度准入总体要求：碳排放强度≤0.249tCO2/万元产值。</w:t>
                  </w:r>
                </w:p>
                <w:p w14:paraId="65875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4.新建、改建废塑料回收再生项目应满足《废塑料回收与再生利用污染控制技术规范（DB/T 135361-2021）》的相关要求；新建、改扩建的废轮胎加工利用企业应满足《废旧轮胎综合利用行业规范条件（2020年本）》相关要求；废旧电子产品回收项目应满足《废弃电器电子产品回收处理管理条例》相关要求；新建报废机动车拆解项目应满足《报废机动车拆解企业污染控制技术规范》（HJ348-2022）相关要求。</w:t>
                  </w:r>
                </w:p>
                <w:p w14:paraId="5A9D9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5.重点行业建设项目按照《关于加强重点行业建设项目区域削减措施监督管理的通知(环办环评〔2020〕36号)》要求，严格落实区域主要污染物削减方案。</w:t>
                  </w:r>
                </w:p>
                <w:p w14:paraId="64DF2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6.结合《邯郸市重点行业环保绩效创A实施方案》要求，评价范围内涉及企业按照要求完成环保绩效创A工作；按照省、市关于涉挥发性有机物企业的要求，加强区内涉挥发性有机物企业车间的密闭和废气有效收集，开展低效挥发性有机物治理设施提标改造。</w:t>
                  </w:r>
                </w:p>
              </w:tc>
              <w:tc>
                <w:tcPr>
                  <w:tcW w:w="1133" w:type="pct"/>
                  <w:tcBorders>
                    <w:tl2br w:val="nil"/>
                    <w:tr2bl w:val="nil"/>
                  </w:tcBorders>
                  <w:noWrap w:val="0"/>
                  <w:vAlign w:val="center"/>
                </w:tcPr>
                <w:p w14:paraId="220B2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eastAsia="zh-CN"/>
                    </w:rPr>
                    <w:t>本项目属于“</w:t>
                  </w:r>
                  <w:r>
                    <w:rPr>
                      <w:rFonts w:hint="default" w:ascii="Times New Roman" w:hAnsi="Times New Roman" w:eastAsia="宋体" w:cs="Times New Roman"/>
                      <w:color w:val="auto"/>
                      <w:kern w:val="0"/>
                      <w:szCs w:val="21"/>
                      <w:lang w:val="en-US" w:eastAsia="zh-CN"/>
                    </w:rPr>
                    <w:t>C1391淀粉及淀粉制品制造，本</w:t>
                  </w:r>
                  <w:r>
                    <w:rPr>
                      <w:rFonts w:hint="eastAsia" w:cs="Times New Roman"/>
                      <w:color w:val="auto"/>
                      <w:kern w:val="0"/>
                      <w:szCs w:val="21"/>
                      <w:lang w:val="en-US" w:eastAsia="zh-CN"/>
                    </w:rPr>
                    <w:t>项目</w:t>
                  </w:r>
                  <w:r>
                    <w:rPr>
                      <w:rFonts w:hint="default" w:ascii="Times New Roman" w:hAnsi="Times New Roman" w:eastAsia="宋体" w:cs="Times New Roman"/>
                      <w:color w:val="auto"/>
                      <w:kern w:val="0"/>
                      <w:szCs w:val="21"/>
                      <w:lang w:val="en-US" w:eastAsia="zh-CN"/>
                    </w:rPr>
                    <w:t>主要涉及的污染物排放不会突破开发区园区排放量；本项目不属于废塑料回收再生项目、废轮胎加工利用项目、项目、废旧电子产品回收项目、报废机动车拆解项目；企业严格落实区域主要污染物削减方案。</w:t>
                  </w:r>
                </w:p>
              </w:tc>
              <w:tc>
                <w:tcPr>
                  <w:tcW w:w="401" w:type="pct"/>
                  <w:tcBorders>
                    <w:tl2br w:val="nil"/>
                    <w:tr2bl w:val="nil"/>
                  </w:tcBorders>
                  <w:noWrap w:val="0"/>
                  <w:vAlign w:val="center"/>
                </w:tcPr>
                <w:p w14:paraId="3CFEB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3CA544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 w:type="pct"/>
                  <w:tcBorders>
                    <w:tl2br w:val="nil"/>
                    <w:tr2bl w:val="nil"/>
                  </w:tcBorders>
                  <w:noWrap w:val="0"/>
                  <w:vAlign w:val="center"/>
                </w:tcPr>
                <w:p w14:paraId="39EE42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环境风险防控</w:t>
                  </w:r>
                </w:p>
              </w:tc>
              <w:tc>
                <w:tcPr>
                  <w:tcW w:w="2964" w:type="pct"/>
                  <w:tcBorders>
                    <w:tl2br w:val="nil"/>
                    <w:tr2bl w:val="nil"/>
                  </w:tcBorders>
                  <w:noWrap w:val="0"/>
                  <w:vAlign w:val="center"/>
                </w:tcPr>
                <w:p w14:paraId="75EE0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1.重点监管企业和开发区周边土壤环境，定期开展监督性监测，重点监测重金属和持久性有机污染物；</w:t>
                  </w:r>
                </w:p>
                <w:p w14:paraId="7D563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2.对于易导致环境风险的有毒有害和易燃易爆物质的生产、使用、排放、贮运等新建、改扩建项目，风险防控措施应满足本评价提出的环境风险管理要求。</w:t>
                  </w:r>
                </w:p>
                <w:p w14:paraId="50B9E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3.建立大气、地表水、地下水、噪声、土壤等环境监测体系，定期开展环境监测。</w:t>
                  </w:r>
                </w:p>
                <w:p w14:paraId="3E72C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4.强化区域环境风险联防联控，建立企业、园区、区域三级联动风险防控体系，定期开展环境安全隐患排查。</w:t>
                  </w:r>
                </w:p>
                <w:p w14:paraId="2C906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5.产生危险废物的单位应当按照国家有关规定制定危险废物管理计划，建立危险废物管理台账，推动实现危险废物全过程监控和信息化追溯，做到全过程监管。</w:t>
                  </w:r>
                </w:p>
              </w:tc>
              <w:tc>
                <w:tcPr>
                  <w:tcW w:w="1133" w:type="pct"/>
                  <w:tcBorders>
                    <w:tl2br w:val="nil"/>
                    <w:tr2bl w:val="nil"/>
                  </w:tcBorders>
                  <w:noWrap w:val="0"/>
                  <w:vAlign w:val="center"/>
                </w:tcPr>
                <w:p w14:paraId="15F07C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both"/>
                    <w:textAlignment w:val="auto"/>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 xml:space="preserve">    </w:t>
                  </w:r>
                  <w:r>
                    <w:rPr>
                      <w:rFonts w:hint="default" w:ascii="Times New Roman" w:hAnsi="Times New Roman" w:eastAsia="宋体" w:cs="Times New Roman"/>
                      <w:color w:val="auto"/>
                      <w:kern w:val="0"/>
                      <w:szCs w:val="21"/>
                      <w:lang w:eastAsia="zh-CN"/>
                    </w:rPr>
                    <w:t>本</w:t>
                  </w:r>
                  <w:r>
                    <w:rPr>
                      <w:rFonts w:hint="eastAsia" w:cs="Times New Roman"/>
                      <w:color w:val="auto"/>
                      <w:kern w:val="0"/>
                      <w:szCs w:val="21"/>
                      <w:lang w:eastAsia="zh-CN"/>
                    </w:rPr>
                    <w:t>项目</w:t>
                  </w:r>
                  <w:r>
                    <w:rPr>
                      <w:rFonts w:hint="default" w:ascii="Times New Roman" w:hAnsi="Times New Roman" w:eastAsia="宋体" w:cs="Times New Roman"/>
                      <w:color w:val="auto"/>
                      <w:kern w:val="0"/>
                      <w:szCs w:val="21"/>
                      <w:lang w:eastAsia="zh-CN"/>
                    </w:rPr>
                    <w:t>不涉及重金属和持久性有机污染物的排放，待项目建成后将严格落实相关环境风险防控管理要求，定期展开环境监测及安全隐患排查活动，加强污染防治措施，连接园区风险防控体系，并妥善处置危险废物。</w:t>
                  </w:r>
                </w:p>
              </w:tc>
              <w:tc>
                <w:tcPr>
                  <w:tcW w:w="401" w:type="pct"/>
                  <w:tcBorders>
                    <w:tl2br w:val="nil"/>
                    <w:tr2bl w:val="nil"/>
                  </w:tcBorders>
                  <w:noWrap w:val="0"/>
                  <w:vAlign w:val="center"/>
                </w:tcPr>
                <w:p w14:paraId="53960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53649B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 w:type="pct"/>
                  <w:tcBorders>
                    <w:tl2br w:val="nil"/>
                    <w:tr2bl w:val="nil"/>
                  </w:tcBorders>
                  <w:noWrap w:val="0"/>
                  <w:vAlign w:val="center"/>
                </w:tcPr>
                <w:p w14:paraId="53F9D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资源利用效率</w:t>
                  </w:r>
                </w:p>
              </w:tc>
              <w:tc>
                <w:tcPr>
                  <w:tcW w:w="2964" w:type="pct"/>
                  <w:tcBorders>
                    <w:tl2br w:val="nil"/>
                    <w:tr2bl w:val="nil"/>
                  </w:tcBorders>
                  <w:noWrap w:val="0"/>
                  <w:vAlign w:val="center"/>
                </w:tcPr>
                <w:p w14:paraId="79DEA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1.入区项目应优先使用再生水，禁止开采地下水。</w:t>
                  </w:r>
                </w:p>
                <w:p w14:paraId="0063A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2.入区项目资源和能源消耗量应满足开发区划定的土地、水、能源等主要资源能源可开发利用总量上线，其中，土地利用上线为工业用地面积779.92hm</w:t>
                  </w:r>
                  <w:r>
                    <w:rPr>
                      <w:rFonts w:hint="default" w:ascii="Times New Roman" w:hAnsi="Times New Roman" w:eastAsia="宋体" w:cs="Times New Roman"/>
                      <w:color w:val="auto"/>
                      <w:kern w:val="0"/>
                      <w:szCs w:val="21"/>
                      <w:vertAlign w:val="superscript"/>
                      <w:lang w:val="en-US" w:eastAsia="zh-CN"/>
                    </w:rPr>
                    <w:t>2</w:t>
                  </w:r>
                  <w:r>
                    <w:rPr>
                      <w:rFonts w:hint="default" w:ascii="Times New Roman" w:hAnsi="Times New Roman" w:eastAsia="宋体" w:cs="Times New Roman"/>
                      <w:color w:val="auto"/>
                      <w:kern w:val="0"/>
                      <w:szCs w:val="21"/>
                      <w:lang w:val="en-US" w:eastAsia="zh-CN"/>
                    </w:rPr>
                    <w:t>；水资源利用上线为地表水新水用量为222.85万m</w:t>
                  </w:r>
                  <w:r>
                    <w:rPr>
                      <w:rFonts w:hint="default" w:ascii="Times New Roman" w:hAnsi="Times New Roman" w:eastAsia="宋体" w:cs="Times New Roman"/>
                      <w:color w:val="auto"/>
                      <w:kern w:val="0"/>
                      <w:szCs w:val="21"/>
                      <w:vertAlign w:val="superscript"/>
                      <w:lang w:val="en-US" w:eastAsia="zh-CN"/>
                    </w:rPr>
                    <w:t>3</w:t>
                  </w:r>
                  <w:r>
                    <w:rPr>
                      <w:rFonts w:hint="default" w:ascii="Times New Roman" w:hAnsi="Times New Roman" w:eastAsia="宋体" w:cs="Times New Roman"/>
                      <w:color w:val="auto"/>
                      <w:kern w:val="0"/>
                      <w:szCs w:val="21"/>
                      <w:lang w:val="en-US" w:eastAsia="zh-CN"/>
                    </w:rPr>
                    <w:t>/a；能源利用上线为天然气用量为7531.70万m</w:t>
                  </w:r>
                  <w:r>
                    <w:rPr>
                      <w:rFonts w:hint="default" w:ascii="Times New Roman" w:hAnsi="Times New Roman" w:eastAsia="宋体" w:cs="Times New Roman"/>
                      <w:color w:val="auto"/>
                      <w:kern w:val="0"/>
                      <w:szCs w:val="21"/>
                      <w:vertAlign w:val="superscript"/>
                      <w:lang w:val="en-US" w:eastAsia="zh-CN"/>
                    </w:rPr>
                    <w:t>3</w:t>
                  </w:r>
                  <w:r>
                    <w:rPr>
                      <w:rFonts w:hint="default" w:ascii="Times New Roman" w:hAnsi="Times New Roman" w:eastAsia="宋体" w:cs="Times New Roman"/>
                      <w:color w:val="auto"/>
                      <w:kern w:val="0"/>
                      <w:szCs w:val="21"/>
                      <w:lang w:val="en-US" w:eastAsia="zh-CN"/>
                    </w:rPr>
                    <w:t>/a。新入开发区项目水耗、能耗等达到行业清洁生产标准先进水平。</w:t>
                  </w:r>
                </w:p>
                <w:p w14:paraId="049BB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376" w:firstLineChars="200"/>
                    <w:jc w:val="both"/>
                    <w:textAlignment w:val="auto"/>
                    <w:rPr>
                      <w:rFonts w:hint="default" w:ascii="Times New Roman" w:hAnsi="Times New Roman" w:eastAsia="宋体" w:cs="Times New Roman"/>
                      <w:color w:val="auto"/>
                      <w:spacing w:val="-11"/>
                      <w:kern w:val="0"/>
                      <w:sz w:val="21"/>
                      <w:szCs w:val="21"/>
                      <w:lang w:val="en-US" w:eastAsia="zh-CN"/>
                    </w:rPr>
                  </w:pPr>
                  <w:r>
                    <w:rPr>
                      <w:rFonts w:hint="default" w:ascii="Times New Roman" w:hAnsi="Times New Roman" w:eastAsia="宋体" w:cs="Times New Roman"/>
                      <w:color w:val="auto"/>
                      <w:spacing w:val="-11"/>
                      <w:kern w:val="0"/>
                      <w:sz w:val="21"/>
                      <w:szCs w:val="21"/>
                      <w:lang w:val="en-US" w:eastAsia="zh-CN"/>
                    </w:rPr>
                    <w:t>3、加强工业项目建设用地管理，新建、改建、扩建工业项目占地应符合《工业项目建设用地控制指标》相关要求。</w:t>
                  </w:r>
                </w:p>
                <w:p w14:paraId="6B4E6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4、不断优化能源消费结构，优先利用区域集中供热和工业余热资源，禁止建设分散燃煤供热设施。</w:t>
                  </w:r>
                </w:p>
              </w:tc>
              <w:tc>
                <w:tcPr>
                  <w:tcW w:w="1133" w:type="pct"/>
                  <w:tcBorders>
                    <w:tl2br w:val="nil"/>
                    <w:tr2bl w:val="nil"/>
                  </w:tcBorders>
                  <w:noWrap w:val="0"/>
                  <w:vAlign w:val="center"/>
                </w:tcPr>
                <w:p w14:paraId="0C56F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both"/>
                    <w:textAlignment w:val="auto"/>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 xml:space="preserve">    </w:t>
                  </w:r>
                  <w:r>
                    <w:rPr>
                      <w:rFonts w:hint="default" w:ascii="Times New Roman" w:hAnsi="Times New Roman" w:eastAsia="宋体" w:cs="Times New Roman"/>
                      <w:color w:val="auto"/>
                      <w:spacing w:val="-6"/>
                      <w:kern w:val="0"/>
                      <w:sz w:val="21"/>
                      <w:szCs w:val="21"/>
                    </w:rPr>
                    <w:t>本项目</w:t>
                  </w:r>
                  <w:r>
                    <w:rPr>
                      <w:rFonts w:hint="default" w:ascii="Times New Roman" w:hAnsi="Times New Roman" w:eastAsia="宋体" w:cs="Times New Roman"/>
                      <w:color w:val="auto"/>
                      <w:spacing w:val="-6"/>
                      <w:kern w:val="0"/>
                      <w:sz w:val="21"/>
                      <w:szCs w:val="21"/>
                      <w:lang w:eastAsia="zh-CN"/>
                    </w:rPr>
                    <w:t>不涉及地下水开采，不属于高水耗项目，本项目消耗适量的</w:t>
                  </w:r>
                  <w:r>
                    <w:rPr>
                      <w:rFonts w:hint="default" w:ascii="Times New Roman" w:hAnsi="Times New Roman" w:eastAsia="宋体" w:cs="Times New Roman"/>
                      <w:color w:val="auto"/>
                      <w:spacing w:val="-6"/>
                      <w:kern w:val="0"/>
                      <w:sz w:val="21"/>
                      <w:szCs w:val="21"/>
                      <w:lang w:val="en-US" w:eastAsia="zh-CN"/>
                    </w:rPr>
                    <w:t>土地、水、能源</w:t>
                  </w:r>
                  <w:r>
                    <w:rPr>
                      <w:rFonts w:hint="default" w:ascii="Times New Roman" w:hAnsi="Times New Roman" w:eastAsia="宋体" w:cs="Times New Roman"/>
                      <w:color w:val="auto"/>
                      <w:spacing w:val="-6"/>
                      <w:kern w:val="0"/>
                      <w:sz w:val="21"/>
                      <w:szCs w:val="21"/>
                      <w:lang w:eastAsia="zh-CN"/>
                    </w:rPr>
                    <w:t>，项目资源消耗量相对区域资源利用总量较小，生产过程尽可能做到合理利用和节约能耗，最大限度地减少物耗、能耗，不会突破资源利用上线。</w:t>
                  </w:r>
                </w:p>
              </w:tc>
              <w:tc>
                <w:tcPr>
                  <w:tcW w:w="401" w:type="pct"/>
                  <w:tcBorders>
                    <w:tl2br w:val="nil"/>
                    <w:tr2bl w:val="nil"/>
                  </w:tcBorders>
                  <w:noWrap w:val="0"/>
                  <w:vAlign w:val="center"/>
                </w:tcPr>
                <w:p w14:paraId="2FB25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bl>
          <w:p w14:paraId="020788EA">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5、规划环境影响评价结论及审查意见的符合性</w:t>
            </w:r>
          </w:p>
          <w:p w14:paraId="5A103EE2">
            <w:pPr>
              <w:keepNext w:val="0"/>
              <w:keepLines w:val="0"/>
              <w:suppressLineNumbers w:val="0"/>
              <w:spacing w:before="0" w:beforeAutospacing="0" w:after="0" w:afterAutospacing="0" w:line="360" w:lineRule="auto"/>
              <w:ind w:left="0" w:right="0" w:firstLine="480" w:firstLineChars="200"/>
              <w:rPr>
                <w:rFonts w:hint="default"/>
                <w:lang w:val="en-US" w:eastAsia="zh-CN"/>
              </w:rPr>
            </w:pPr>
            <w:r>
              <w:rPr>
                <w:rFonts w:hint="default" w:ascii="Times New Roman" w:hAnsi="Times New Roman" w:eastAsia="宋体" w:cs="Times New Roman"/>
                <w:b w:val="0"/>
                <w:bCs w:val="0"/>
                <w:color w:val="auto"/>
                <w:sz w:val="24"/>
                <w:lang w:val="en-US" w:eastAsia="zh-CN"/>
              </w:rPr>
              <w:t>规划环境影响评价结论及审查意见的符合性</w:t>
            </w:r>
            <w:r>
              <w:rPr>
                <w:rFonts w:hint="eastAsia" w:cs="Times New Roman"/>
                <w:b w:val="0"/>
                <w:bCs w:val="0"/>
                <w:color w:val="auto"/>
                <w:sz w:val="24"/>
                <w:lang w:val="en-US" w:eastAsia="zh-CN"/>
              </w:rPr>
              <w:t>分析见表1-2。</w:t>
            </w:r>
          </w:p>
          <w:p w14:paraId="1F037749">
            <w:pPr>
              <w:pStyle w:val="5"/>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lang w:eastAsia="zh-CN"/>
              </w:rPr>
            </w:pPr>
            <w:r>
              <w:rPr>
                <w:rFonts w:hint="default" w:ascii="Times New Roman" w:hAnsi="Times New Roman" w:eastAsia="宋体" w:cs="Times New Roman"/>
                <w:b/>
                <w:bCs/>
                <w:color w:val="auto"/>
                <w:kern w:val="0"/>
                <w:sz w:val="24"/>
                <w:szCs w:val="24"/>
              </w:rPr>
              <w:t>表1-</w:t>
            </w:r>
            <w:r>
              <w:rPr>
                <w:rFonts w:hint="default" w:ascii="Times New Roman" w:hAnsi="Times New Roman" w:eastAsia="宋体" w:cs="Times New Roman"/>
                <w:b/>
                <w:bCs/>
                <w:color w:val="auto"/>
                <w:kern w:val="0"/>
                <w:sz w:val="24"/>
                <w:szCs w:val="24"/>
                <w:lang w:val="en-US" w:eastAsia="zh-CN"/>
              </w:rPr>
              <w:t>2</w:t>
            </w:r>
            <w:r>
              <w:rPr>
                <w:rFonts w:hint="default" w:ascii="Times New Roman" w:hAnsi="Times New Roman" w:eastAsia="宋体" w:cs="Times New Roman"/>
                <w:b/>
                <w:bCs/>
                <w:color w:val="auto"/>
                <w:kern w:val="0"/>
                <w:sz w:val="24"/>
                <w:szCs w:val="24"/>
              </w:rPr>
              <w:t xml:space="preserve">  规划环境影响评价结论及审查意见的符合性</w:t>
            </w:r>
          </w:p>
          <w:tbl>
            <w:tblPr>
              <w:tblStyle w:val="33"/>
              <w:tblW w:w="4994"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354"/>
              <w:gridCol w:w="2021"/>
              <w:gridCol w:w="721"/>
            </w:tblGrid>
            <w:tr w14:paraId="2A6ECB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2A431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kern w:val="0"/>
                      <w:szCs w:val="21"/>
                      <w:lang w:eastAsia="zh-CN"/>
                    </w:rPr>
                  </w:pPr>
                  <w:r>
                    <w:rPr>
                      <w:rFonts w:hint="default" w:ascii="Times New Roman" w:hAnsi="Times New Roman" w:eastAsia="宋体" w:cs="Times New Roman"/>
                      <w:b/>
                      <w:bCs/>
                      <w:color w:val="auto"/>
                      <w:kern w:val="0"/>
                      <w:szCs w:val="21"/>
                      <w:lang w:val="en-US" w:eastAsia="zh-CN"/>
                    </w:rPr>
                    <w:t>序号</w:t>
                  </w:r>
                </w:p>
              </w:tc>
              <w:tc>
                <w:tcPr>
                  <w:tcW w:w="3108" w:type="pct"/>
                  <w:tcBorders>
                    <w:tl2br w:val="nil"/>
                    <w:tr2bl w:val="nil"/>
                  </w:tcBorders>
                  <w:noWrap w:val="0"/>
                  <w:vAlign w:val="center"/>
                </w:tcPr>
                <w:p w14:paraId="22F2E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b/>
                      <w:bCs/>
                      <w:color w:val="auto"/>
                      <w:szCs w:val="21"/>
                      <w:lang w:val="en-US" w:eastAsia="zh-CN"/>
                    </w:rPr>
                    <w:t>要求</w:t>
                  </w:r>
                </w:p>
              </w:tc>
              <w:tc>
                <w:tcPr>
                  <w:tcW w:w="1173" w:type="pct"/>
                  <w:tcBorders>
                    <w:tl2br w:val="nil"/>
                    <w:tr2bl w:val="nil"/>
                  </w:tcBorders>
                  <w:noWrap w:val="0"/>
                  <w:vAlign w:val="center"/>
                </w:tcPr>
                <w:p w14:paraId="7E05B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b/>
                      <w:bCs/>
                      <w:color w:val="auto"/>
                      <w:szCs w:val="21"/>
                      <w:lang w:eastAsia="zh-CN"/>
                    </w:rPr>
                    <w:t>本项目</w:t>
                  </w:r>
                </w:p>
              </w:tc>
              <w:tc>
                <w:tcPr>
                  <w:tcW w:w="418" w:type="pct"/>
                  <w:tcBorders>
                    <w:tl2br w:val="nil"/>
                    <w:tr2bl w:val="nil"/>
                  </w:tcBorders>
                  <w:noWrap w:val="0"/>
                  <w:vAlign w:val="center"/>
                </w:tcPr>
                <w:p w14:paraId="7C75E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符合性</w:t>
                  </w:r>
                </w:p>
              </w:tc>
            </w:tr>
            <w:tr w14:paraId="713F5E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2B93A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val="en-US" w:eastAsia="zh-CN"/>
                    </w:rPr>
                    <w:t>1</w:t>
                  </w:r>
                </w:p>
              </w:tc>
              <w:tc>
                <w:tcPr>
                  <w:tcW w:w="3108" w:type="pct"/>
                  <w:tcBorders>
                    <w:tl2br w:val="nil"/>
                    <w:tr2bl w:val="nil"/>
                  </w:tcBorders>
                  <w:noWrap w:val="0"/>
                  <w:vAlign w:val="center"/>
                </w:tcPr>
                <w:p w14:paraId="24ADB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both"/>
                    <w:textAlignment w:val="auto"/>
                    <w:rPr>
                      <w:rFonts w:hint="default" w:ascii="Times New Roman" w:hAnsi="Times New Roman" w:eastAsia="宋体" w:cs="Times New Roman"/>
                      <w:color w:val="auto"/>
                      <w:szCs w:val="21"/>
                      <w:lang w:eastAsia="zh-CN"/>
                    </w:rPr>
                  </w:pPr>
                  <w:r>
                    <w:rPr>
                      <w:rFonts w:hint="eastAsia" w:cs="Times New Roman"/>
                      <w:color w:val="auto"/>
                      <w:szCs w:val="21"/>
                      <w:lang w:val="en-US" w:eastAsia="zh-CN"/>
                    </w:rPr>
                    <w:t xml:space="preserve">    </w:t>
                  </w:r>
                  <w:r>
                    <w:rPr>
                      <w:rFonts w:hint="default" w:ascii="Times New Roman" w:hAnsi="Times New Roman" w:eastAsia="宋体" w:cs="Times New Roman"/>
                      <w:color w:val="auto"/>
                      <w:szCs w:val="21"/>
                      <w:lang w:eastAsia="zh-CN"/>
                    </w:rPr>
                    <w:t>落实国家、区域发展战略，坚持生态优先、提质增效：以生态环境质量改善为核心，做好与各级国土空间规划和生态环境分区管控体系的协调</w:t>
                  </w:r>
                  <w:r>
                    <w:rPr>
                      <w:rFonts w:hint="eastAsia" w:cs="Times New Roman"/>
                      <w:color w:val="auto"/>
                      <w:szCs w:val="21"/>
                      <w:lang w:eastAsia="zh-CN"/>
                    </w:rPr>
                    <w:t>衔接</w:t>
                  </w:r>
                  <w:r>
                    <w:rPr>
                      <w:rFonts w:hint="default" w:ascii="Times New Roman" w:hAnsi="Times New Roman" w:eastAsia="宋体" w:cs="Times New Roman"/>
                      <w:color w:val="auto"/>
                      <w:szCs w:val="21"/>
                      <w:lang w:eastAsia="zh-CN"/>
                    </w:rPr>
                    <w:t>，进一步优化《规划》布局、产业定位。</w:t>
                  </w:r>
                </w:p>
              </w:tc>
              <w:tc>
                <w:tcPr>
                  <w:tcW w:w="1173" w:type="pct"/>
                  <w:tcBorders>
                    <w:tl2br w:val="nil"/>
                    <w:tr2bl w:val="nil"/>
                  </w:tcBorders>
                  <w:noWrap w:val="0"/>
                  <w:vAlign w:val="center"/>
                </w:tcPr>
                <w:p w14:paraId="7117B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本项目建设符合魏县经济开发区总体规划、产业定位以及工业用地要求。</w:t>
                  </w:r>
                </w:p>
              </w:tc>
              <w:tc>
                <w:tcPr>
                  <w:tcW w:w="418" w:type="pct"/>
                  <w:tcBorders>
                    <w:tl2br w:val="nil"/>
                    <w:tr2bl w:val="nil"/>
                  </w:tcBorders>
                  <w:noWrap w:val="0"/>
                  <w:vAlign w:val="center"/>
                </w:tcPr>
                <w:p w14:paraId="54D48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符合</w:t>
                  </w:r>
                </w:p>
              </w:tc>
            </w:tr>
            <w:tr w14:paraId="4BDEEA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027A6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2</w:t>
                  </w:r>
                </w:p>
              </w:tc>
              <w:tc>
                <w:tcPr>
                  <w:tcW w:w="3108" w:type="pct"/>
                  <w:tcBorders>
                    <w:tl2br w:val="nil"/>
                    <w:tr2bl w:val="nil"/>
                  </w:tcBorders>
                  <w:noWrap w:val="0"/>
                  <w:vAlign w:val="center"/>
                </w:tcPr>
                <w:p w14:paraId="4896D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推进绿色低碳发展，实现减污降碳协同增效目标。根据国家、地方碳减排和碳达峰行动方案及路径要求，进一步优化开发区能源结构、交通运输方式等《规划》内容。</w:t>
                  </w:r>
                </w:p>
              </w:tc>
              <w:tc>
                <w:tcPr>
                  <w:tcW w:w="1173" w:type="pct"/>
                  <w:tcBorders>
                    <w:tl2br w:val="nil"/>
                    <w:tr2bl w:val="nil"/>
                  </w:tcBorders>
                  <w:noWrap w:val="0"/>
                  <w:vAlign w:val="center"/>
                </w:tcPr>
                <w:p w14:paraId="448F7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val="en-US"/>
                    </w:rPr>
                  </w:pPr>
                  <w:r>
                    <w:rPr>
                      <w:rFonts w:hint="default" w:ascii="Times New Roman" w:hAnsi="Times New Roman" w:eastAsia="宋体" w:cs="Times New Roman"/>
                      <w:color w:val="auto"/>
                      <w:kern w:val="0"/>
                      <w:szCs w:val="21"/>
                      <w:lang w:val="en-US" w:eastAsia="zh-CN"/>
                    </w:rPr>
                    <w:t>/</w:t>
                  </w:r>
                </w:p>
              </w:tc>
              <w:tc>
                <w:tcPr>
                  <w:tcW w:w="418" w:type="pct"/>
                  <w:tcBorders>
                    <w:tl2br w:val="nil"/>
                    <w:tr2bl w:val="nil"/>
                  </w:tcBorders>
                  <w:noWrap w:val="0"/>
                  <w:vAlign w:val="center"/>
                </w:tcPr>
                <w:p w14:paraId="1C2395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w:t>
                  </w:r>
                </w:p>
              </w:tc>
            </w:tr>
            <w:tr w14:paraId="6566DC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17C450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3</w:t>
                  </w:r>
                </w:p>
              </w:tc>
              <w:tc>
                <w:tcPr>
                  <w:tcW w:w="3108" w:type="pct"/>
                  <w:tcBorders>
                    <w:tl2br w:val="nil"/>
                    <w:tr2bl w:val="nil"/>
                  </w:tcBorders>
                  <w:noWrap w:val="0"/>
                  <w:vAlign w:val="center"/>
                </w:tcPr>
                <w:p w14:paraId="58061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both"/>
                    <w:textAlignment w:val="auto"/>
                    <w:rPr>
                      <w:rFonts w:hint="default" w:ascii="Times New Roman" w:hAnsi="Times New Roman" w:eastAsia="宋体" w:cs="Times New Roman"/>
                      <w:color w:val="auto"/>
                      <w:spacing w:val="-6"/>
                      <w:kern w:val="0"/>
                      <w:sz w:val="21"/>
                      <w:szCs w:val="21"/>
                    </w:rPr>
                  </w:pPr>
                  <w:r>
                    <w:rPr>
                      <w:rFonts w:hint="eastAsia" w:cs="Times New Roman"/>
                      <w:color w:val="auto"/>
                      <w:spacing w:val="-6"/>
                      <w:kern w:val="0"/>
                      <w:sz w:val="21"/>
                      <w:szCs w:val="21"/>
                      <w:lang w:val="en-US" w:eastAsia="zh-CN"/>
                    </w:rPr>
                    <w:t xml:space="preserve">    </w:t>
                  </w:r>
                  <w:r>
                    <w:rPr>
                      <w:rFonts w:hint="default" w:ascii="Times New Roman" w:hAnsi="Times New Roman" w:eastAsia="宋体" w:cs="Times New Roman"/>
                      <w:color w:val="auto"/>
                      <w:spacing w:val="-6"/>
                      <w:kern w:val="0"/>
                      <w:sz w:val="21"/>
                      <w:szCs w:val="21"/>
                      <w:lang w:val="en-US" w:eastAsia="zh-CN"/>
                    </w:rPr>
                    <w:t>严格环境准入条件，推动产业结构调整和转型升级落实《报告书》提出的开发区生态环境准入要求及与规划不符的现有企业环境管理要求。严禁“两高”项目、独立电镀项目、危险废物处置项目入驻；节能环保产业、再生资源循环经济产业禁止建设除再生铝外其他有色金属再生利用项目，纺织服装产业禁止建设涉及印染工序的项目，新兴产业禁止建设化学药品原料药制造、生物药品制品制造类项目；现有化工企业保留现状，不得改扩建，不得新增占地，仅可开展安全、环保、节能和智能化改造；不断提高现有企业清洁生产水平，促进开发区产业转型升级与生态环境保护、人居环境安全相协调。</w:t>
                  </w:r>
                </w:p>
              </w:tc>
              <w:tc>
                <w:tcPr>
                  <w:tcW w:w="1173" w:type="pct"/>
                  <w:tcBorders>
                    <w:tl2br w:val="nil"/>
                    <w:tr2bl w:val="nil"/>
                  </w:tcBorders>
                  <w:noWrap w:val="0"/>
                  <w:vAlign w:val="center"/>
                </w:tcPr>
                <w:p w14:paraId="033A2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eastAsia="zh-CN"/>
                    </w:rPr>
                    <w:t>本项目</w:t>
                  </w:r>
                  <w:r>
                    <w:rPr>
                      <w:rFonts w:hint="default" w:ascii="Times New Roman" w:hAnsi="Times New Roman" w:eastAsia="宋体" w:cs="Times New Roman"/>
                      <w:color w:val="auto"/>
                      <w:szCs w:val="21"/>
                      <w:lang w:val="en-US" w:eastAsia="zh-CN"/>
                    </w:rPr>
                    <w:t>符合魏县经济开发区总体规划、产业定位以及工业用地要求；符合开发区（先进装备制造园区）生态环境准入清单要求；不属于“两高”项目，不属于</w:t>
                  </w:r>
                  <w:r>
                    <w:rPr>
                      <w:rFonts w:hint="default" w:ascii="Times New Roman" w:hAnsi="Times New Roman" w:eastAsia="宋体" w:cs="Times New Roman"/>
                      <w:color w:val="auto"/>
                      <w:kern w:val="0"/>
                      <w:szCs w:val="21"/>
                      <w:lang w:val="en-US" w:eastAsia="zh-CN"/>
                    </w:rPr>
                    <w:t>独立电镀项目、危险废物处置项目。</w:t>
                  </w:r>
                </w:p>
              </w:tc>
              <w:tc>
                <w:tcPr>
                  <w:tcW w:w="418" w:type="pct"/>
                  <w:tcBorders>
                    <w:tl2br w:val="nil"/>
                    <w:tr2bl w:val="nil"/>
                  </w:tcBorders>
                  <w:noWrap w:val="0"/>
                  <w:vAlign w:val="center"/>
                </w:tcPr>
                <w:p w14:paraId="20DCE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716E1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39FA3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4</w:t>
                  </w:r>
                </w:p>
              </w:tc>
              <w:tc>
                <w:tcPr>
                  <w:tcW w:w="3108" w:type="pct"/>
                  <w:tcBorders>
                    <w:tl2br w:val="nil"/>
                    <w:tr2bl w:val="nil"/>
                  </w:tcBorders>
                  <w:noWrap w:val="0"/>
                  <w:vAlign w:val="center"/>
                </w:tcPr>
                <w:p w14:paraId="2311D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严格空间管控要求，进一步优化开发区空间布局。城镇开发边界之外区域(含大运河文化保护带核心监控区和永久基本农田)，在规划期内维持现状不变，禁止开发。结合敏感区分布，设置梯度产业管控空间，开发区紧邻居住区、学校等敏感区域50米范围内禁止新建电镀、喷漆工序，50-100米范围内禁止新建使用溶剂型涂料喷漆工序，将生产车间等污染工序布置在厂区内远离敏感区的一侧，将办公区、停车场、绿化等布设在生产车间与敏感区之间作为缓冲区；先进装备制造园紧邻东风渠东侧100米范围内涉电镀工序企业应采用无铬钝化工艺。</w:t>
                  </w:r>
                </w:p>
              </w:tc>
              <w:tc>
                <w:tcPr>
                  <w:tcW w:w="1173" w:type="pct"/>
                  <w:tcBorders>
                    <w:tl2br w:val="nil"/>
                    <w:tr2bl w:val="nil"/>
                  </w:tcBorders>
                  <w:noWrap w:val="0"/>
                  <w:vAlign w:val="center"/>
                </w:tcPr>
                <w:p w14:paraId="12320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本项目不涉及含大运河文化保护带核心监控区和永久基本农田</w:t>
                  </w:r>
                  <w:r>
                    <w:rPr>
                      <w:rFonts w:hint="default" w:ascii="Times New Roman" w:hAnsi="Times New Roman" w:eastAsia="宋体" w:cs="Times New Roman"/>
                      <w:color w:val="auto"/>
                      <w:kern w:val="0"/>
                      <w:szCs w:val="21"/>
                      <w:lang w:eastAsia="zh-CN"/>
                    </w:rPr>
                    <w:t>。</w:t>
                  </w:r>
                </w:p>
              </w:tc>
              <w:tc>
                <w:tcPr>
                  <w:tcW w:w="418" w:type="pct"/>
                  <w:tcBorders>
                    <w:tl2br w:val="nil"/>
                    <w:tr2bl w:val="nil"/>
                  </w:tcBorders>
                  <w:noWrap w:val="0"/>
                  <w:vAlign w:val="center"/>
                </w:tcPr>
                <w:p w14:paraId="0AA85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7257DC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031B1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5</w:t>
                  </w:r>
                </w:p>
              </w:tc>
              <w:tc>
                <w:tcPr>
                  <w:tcW w:w="3108" w:type="pct"/>
                  <w:tcBorders>
                    <w:tl2br w:val="nil"/>
                    <w:tr2bl w:val="nil"/>
                  </w:tcBorders>
                  <w:noWrap w:val="0"/>
                  <w:vAlign w:val="center"/>
                </w:tcPr>
                <w:p w14:paraId="0F9FD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严守环境质量底线，强化污染物排放总量管控。强化现有及入区企业污染物排放控制要求，严格落实开发区污染物减排方案，通过实施重点行业企业环保绩效创A、企业关停、提标改造，调整运输结构等措施，减少主要污染物和特征污染物的排放量，确保区域环境质量持续改善，促进产业发展与生态环境保护相协调。强化涉重废水污染治理，电镀废水在车间处理达标后全部回用，不外排。环境质量未达到国家或者地方环境质量标准之前，重点行业建设项目主要污染物实行区域倍量削减。</w:t>
                  </w:r>
                </w:p>
              </w:tc>
              <w:tc>
                <w:tcPr>
                  <w:tcW w:w="1173" w:type="pct"/>
                  <w:tcBorders>
                    <w:tl2br w:val="nil"/>
                    <w:tr2bl w:val="nil"/>
                  </w:tcBorders>
                  <w:noWrap w:val="0"/>
                  <w:vAlign w:val="center"/>
                </w:tcPr>
                <w:p w14:paraId="3991DD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396"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spacing w:val="-6"/>
                      <w:kern w:val="0"/>
                      <w:sz w:val="21"/>
                      <w:szCs w:val="21"/>
                      <w:shd w:val="clear" w:color="auto" w:fill="auto"/>
                    </w:rPr>
                    <w:t>本项目</w:t>
                  </w:r>
                  <w:r>
                    <w:rPr>
                      <w:rFonts w:hint="eastAsia" w:cs="Times New Roman"/>
                      <w:color w:val="auto"/>
                      <w:spacing w:val="-6"/>
                      <w:kern w:val="0"/>
                      <w:sz w:val="21"/>
                      <w:szCs w:val="21"/>
                      <w:shd w:val="clear" w:color="auto" w:fill="auto"/>
                      <w:lang w:val="en-US" w:eastAsia="zh-CN"/>
                    </w:rPr>
                    <w:t>不属于重点行业</w:t>
                  </w:r>
                  <w:r>
                    <w:rPr>
                      <w:rFonts w:hint="default" w:ascii="Times New Roman" w:hAnsi="Times New Roman" w:eastAsia="宋体" w:cs="Times New Roman"/>
                      <w:color w:val="auto"/>
                      <w:spacing w:val="-6"/>
                      <w:kern w:val="0"/>
                      <w:sz w:val="21"/>
                      <w:szCs w:val="21"/>
                      <w:shd w:val="clear" w:color="auto" w:fill="auto"/>
                      <w:lang w:val="en-US" w:eastAsia="zh-CN"/>
                    </w:rPr>
                    <w:t>，根据环评分析，采取各项环保措施后，各污染物均达标排放，企业严格落实区域主要污染物削减方案。本项目不涉及重金属，不涉及电镀工艺</w:t>
                  </w:r>
                  <w:r>
                    <w:rPr>
                      <w:rFonts w:hint="default" w:ascii="Times New Roman" w:hAnsi="Times New Roman" w:eastAsia="宋体" w:cs="Times New Roman"/>
                      <w:color w:val="auto"/>
                      <w:kern w:val="0"/>
                      <w:szCs w:val="21"/>
                      <w:lang w:eastAsia="zh-CN"/>
                    </w:rPr>
                    <w:t>。</w:t>
                  </w:r>
                </w:p>
              </w:tc>
              <w:tc>
                <w:tcPr>
                  <w:tcW w:w="418" w:type="pct"/>
                  <w:tcBorders>
                    <w:tl2br w:val="nil"/>
                    <w:tr2bl w:val="nil"/>
                  </w:tcBorders>
                  <w:noWrap w:val="0"/>
                  <w:vAlign w:val="center"/>
                </w:tcPr>
                <w:p w14:paraId="76DF6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305745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55FFC2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w:t>
                  </w:r>
                </w:p>
              </w:tc>
              <w:tc>
                <w:tcPr>
                  <w:tcW w:w="3108" w:type="pct"/>
                  <w:tcBorders>
                    <w:tl2br w:val="nil"/>
                    <w:tr2bl w:val="nil"/>
                  </w:tcBorders>
                  <w:noWrap w:val="0"/>
                  <w:vAlign w:val="center"/>
                </w:tcPr>
                <w:p w14:paraId="46BA8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both"/>
                    <w:textAlignment w:val="auto"/>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 xml:space="preserve">    </w:t>
                  </w:r>
                  <w:r>
                    <w:rPr>
                      <w:rFonts w:hint="default" w:ascii="Times New Roman" w:hAnsi="Times New Roman" w:eastAsia="宋体" w:cs="Times New Roman"/>
                      <w:color w:val="auto"/>
                      <w:kern w:val="0"/>
                      <w:szCs w:val="21"/>
                      <w:lang w:val="en-US" w:eastAsia="zh-CN"/>
                    </w:rPr>
                    <w:t>统筹基础设施建设，严格落实建设内容及时限。2024年底完成魏县经济开发区污水处理有限公司提标改造，2025年底完成再生水供水设施及配套管网的建设，加大再生水回用比例；魏县绿环循环经济产业园有限公司规划远期结合产业发展情况适时扩建，污水经处理后全部回用不外排；开发区用热优先利用区域集中供热及工业余热资源，集中供热覆盖范围禁止建设分散燃煤供热设施。加强管理，确保环境基础设施稳定运行</w:t>
                  </w:r>
                </w:p>
              </w:tc>
              <w:tc>
                <w:tcPr>
                  <w:tcW w:w="1173" w:type="pct"/>
                  <w:tcBorders>
                    <w:tl2br w:val="nil"/>
                    <w:tr2bl w:val="nil"/>
                  </w:tcBorders>
                  <w:noWrap w:val="0"/>
                  <w:vAlign w:val="center"/>
                </w:tcPr>
                <w:p w14:paraId="45CBE3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both"/>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 xml:space="preserve">    本项目生产废水经厂区污水处理站处理达到《污水综合排放标准》（GB8978-1996）表4三级标准，同时满足魏县经济开发区污水处理有限公司进水水质要求后，排入魏县经济开发区污水处理有限公司深度处理，生活废水经化粪池处理后，直接排入魏县经济开发区污水处理有限公司</w:t>
                  </w:r>
                  <w:r>
                    <w:rPr>
                      <w:rFonts w:hint="default" w:ascii="Times New Roman" w:hAnsi="Times New Roman" w:eastAsia="宋体" w:cs="Times New Roman"/>
                      <w:color w:val="auto"/>
                      <w:kern w:val="0"/>
                      <w:szCs w:val="21"/>
                      <w:highlight w:val="none"/>
                      <w:lang w:val="en-US" w:eastAsia="zh-CN"/>
                    </w:rPr>
                    <w:t>，不涉及建设分散燃煤供热设施。</w:t>
                  </w:r>
                </w:p>
              </w:tc>
              <w:tc>
                <w:tcPr>
                  <w:tcW w:w="418" w:type="pct"/>
                  <w:tcBorders>
                    <w:tl2br w:val="nil"/>
                    <w:tr2bl w:val="nil"/>
                  </w:tcBorders>
                  <w:noWrap w:val="0"/>
                  <w:vAlign w:val="center"/>
                </w:tcPr>
                <w:p w14:paraId="790F7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符合</w:t>
                  </w:r>
                </w:p>
              </w:tc>
            </w:tr>
            <w:tr w14:paraId="0155C3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7782F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w:t>
                  </w:r>
                </w:p>
              </w:tc>
              <w:tc>
                <w:tcPr>
                  <w:tcW w:w="3108" w:type="pct"/>
                  <w:tcBorders>
                    <w:tl2br w:val="nil"/>
                    <w:tr2bl w:val="nil"/>
                  </w:tcBorders>
                  <w:noWrap w:val="0"/>
                  <w:vAlign w:val="center"/>
                </w:tcPr>
                <w:p w14:paraId="1AC52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优化运输方式，落实应急运输响应方案。鼓励开发区提高清洁能源汽车运输比例，加快公转铁建设，减轻运输产生的不利环境影响。结合秋冬行业错峰生产和重污染天气应急响应要求，在黄色及以上重污染天气预警期间，重点用车企业实施应急运输响应。</w:t>
                  </w:r>
                </w:p>
              </w:tc>
              <w:tc>
                <w:tcPr>
                  <w:tcW w:w="1173" w:type="pct"/>
                  <w:tcBorders>
                    <w:tl2br w:val="nil"/>
                    <w:tr2bl w:val="nil"/>
                  </w:tcBorders>
                  <w:shd w:val="clear" w:color="auto" w:fill="auto"/>
                  <w:noWrap w:val="0"/>
                  <w:vAlign w:val="center"/>
                </w:tcPr>
                <w:p w14:paraId="6F9451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w:t>
                  </w:r>
                </w:p>
              </w:tc>
              <w:tc>
                <w:tcPr>
                  <w:tcW w:w="418" w:type="pct"/>
                  <w:tcBorders>
                    <w:tl2br w:val="nil"/>
                    <w:tr2bl w:val="nil"/>
                  </w:tcBorders>
                  <w:shd w:val="clear" w:color="auto" w:fill="auto"/>
                  <w:noWrap w:val="0"/>
                  <w:vAlign w:val="center"/>
                </w:tcPr>
                <w:p w14:paraId="1A7C4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w:t>
                  </w:r>
                </w:p>
              </w:tc>
            </w:tr>
            <w:tr w14:paraId="1CD8E8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37F8F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w:t>
                  </w:r>
                </w:p>
              </w:tc>
              <w:tc>
                <w:tcPr>
                  <w:tcW w:w="3108" w:type="pct"/>
                  <w:tcBorders>
                    <w:tl2br w:val="nil"/>
                    <w:tr2bl w:val="nil"/>
                  </w:tcBorders>
                  <w:noWrap w:val="0"/>
                  <w:vAlign w:val="center"/>
                </w:tcPr>
                <w:p w14:paraId="24FFC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健全完善环境监测体系，强化环境风险防范。</w:t>
                  </w:r>
                  <w:r>
                    <w:rPr>
                      <w:rFonts w:hint="eastAsia" w:cs="Times New Roman"/>
                      <w:color w:val="auto"/>
                      <w:kern w:val="0"/>
                      <w:szCs w:val="21"/>
                      <w:lang w:val="en-US" w:eastAsia="zh-CN"/>
                    </w:rPr>
                    <w:t>健全</w:t>
                  </w:r>
                  <w:r>
                    <w:rPr>
                      <w:rFonts w:hint="default" w:ascii="Times New Roman" w:hAnsi="Times New Roman" w:eastAsia="宋体" w:cs="Times New Roman"/>
                      <w:color w:val="auto"/>
                      <w:kern w:val="0"/>
                      <w:szCs w:val="21"/>
                      <w:lang w:val="en-US" w:eastAsia="zh-CN"/>
                    </w:rPr>
                    <w:t>完善包括环境空气、地表水、地下水、土壤等环境要素的监控体系；强化开发区风险防控体系的建立，健全应急响应联动机制。严格落实《报告书》提出的各项环境风险防控措施，提升环境风险防控和应急响应能力，保障区域环境安全。</w:t>
                  </w:r>
                </w:p>
              </w:tc>
              <w:tc>
                <w:tcPr>
                  <w:tcW w:w="1173" w:type="pct"/>
                  <w:tcBorders>
                    <w:tl2br w:val="nil"/>
                    <w:tr2bl w:val="nil"/>
                  </w:tcBorders>
                  <w:shd w:val="clear" w:color="auto" w:fill="auto"/>
                  <w:noWrap w:val="0"/>
                  <w:vAlign w:val="center"/>
                </w:tcPr>
                <w:p w14:paraId="47876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w:t>
                  </w:r>
                </w:p>
              </w:tc>
              <w:tc>
                <w:tcPr>
                  <w:tcW w:w="418" w:type="pct"/>
                  <w:tcBorders>
                    <w:tl2br w:val="nil"/>
                    <w:tr2bl w:val="nil"/>
                  </w:tcBorders>
                  <w:shd w:val="clear" w:color="auto" w:fill="auto"/>
                  <w:noWrap w:val="0"/>
                  <w:vAlign w:val="center"/>
                </w:tcPr>
                <w:p w14:paraId="676D6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w:t>
                  </w:r>
                </w:p>
              </w:tc>
            </w:tr>
            <w:tr w14:paraId="35037E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9" w:type="pct"/>
                  <w:tcBorders>
                    <w:tl2br w:val="nil"/>
                    <w:tr2bl w:val="nil"/>
                  </w:tcBorders>
                  <w:noWrap w:val="0"/>
                  <w:vAlign w:val="center"/>
                </w:tcPr>
                <w:p w14:paraId="2BF58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9</w:t>
                  </w:r>
                </w:p>
              </w:tc>
              <w:tc>
                <w:tcPr>
                  <w:tcW w:w="3108" w:type="pct"/>
                  <w:tcBorders>
                    <w:tl2br w:val="nil"/>
                    <w:tr2bl w:val="nil"/>
                  </w:tcBorders>
                  <w:noWrap w:val="0"/>
                  <w:vAlign w:val="center"/>
                </w:tcPr>
                <w:p w14:paraId="600BC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在《规划》实施过程中，按照相关要求组织开展环境影响跟踪评价；《规划》修编时应及时补充或重新编制环境影响报告书。</w:t>
                  </w:r>
                </w:p>
              </w:tc>
              <w:tc>
                <w:tcPr>
                  <w:tcW w:w="1173" w:type="pct"/>
                  <w:tcBorders>
                    <w:tl2br w:val="nil"/>
                    <w:tr2bl w:val="nil"/>
                  </w:tcBorders>
                  <w:shd w:val="clear" w:color="auto" w:fill="auto"/>
                  <w:noWrap w:val="0"/>
                  <w:vAlign w:val="center"/>
                </w:tcPr>
                <w:p w14:paraId="41229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w:t>
                  </w:r>
                </w:p>
              </w:tc>
              <w:tc>
                <w:tcPr>
                  <w:tcW w:w="418" w:type="pct"/>
                  <w:tcBorders>
                    <w:tl2br w:val="nil"/>
                    <w:tr2bl w:val="nil"/>
                  </w:tcBorders>
                  <w:shd w:val="clear" w:color="auto" w:fill="auto"/>
                  <w:noWrap w:val="0"/>
                  <w:vAlign w:val="center"/>
                </w:tcPr>
                <w:p w14:paraId="699DD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w:t>
                  </w:r>
                </w:p>
              </w:tc>
            </w:tr>
          </w:tbl>
          <w:p w14:paraId="5F713EE5">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b/>
                <w:bCs/>
                <w:color w:val="auto"/>
                <w:kern w:val="0"/>
                <w:sz w:val="24"/>
              </w:rPr>
              <w:t>本项目属于</w:t>
            </w:r>
            <w:r>
              <w:rPr>
                <w:rFonts w:hint="eastAsia" w:cs="Times New Roman"/>
                <w:b/>
                <w:bCs/>
                <w:color w:val="auto"/>
                <w:kern w:val="0"/>
                <w:sz w:val="24"/>
                <w:lang w:eastAsia="zh-CN"/>
              </w:rPr>
              <w:t>食品加工业</w:t>
            </w:r>
            <w:r>
              <w:rPr>
                <w:rFonts w:hint="default" w:ascii="Times New Roman" w:hAnsi="Times New Roman" w:eastAsia="宋体" w:cs="Times New Roman"/>
                <w:b/>
                <w:bCs/>
                <w:color w:val="auto"/>
                <w:kern w:val="0"/>
                <w:sz w:val="24"/>
              </w:rPr>
              <w:t>，位于</w:t>
            </w:r>
            <w:r>
              <w:rPr>
                <w:rFonts w:hint="default" w:ascii="Times New Roman" w:hAnsi="Times New Roman" w:eastAsia="宋体" w:cs="Times New Roman"/>
                <w:b/>
                <w:bCs/>
                <w:color w:val="auto"/>
                <w:kern w:val="0"/>
                <w:sz w:val="24"/>
                <w:lang w:val="en-US" w:eastAsia="zh-CN"/>
              </w:rPr>
              <w:t>河北魏县经济开发区-</w:t>
            </w:r>
            <w:r>
              <w:rPr>
                <w:rFonts w:hint="default" w:ascii="Times New Roman" w:hAnsi="Times New Roman" w:eastAsia="宋体" w:cs="Times New Roman"/>
                <w:b/>
                <w:bCs/>
                <w:color w:val="auto"/>
                <w:sz w:val="24"/>
                <w:lang w:val="en-US" w:eastAsia="zh-CN"/>
              </w:rPr>
              <w:t>先进装备制造园区</w:t>
            </w:r>
            <w:r>
              <w:rPr>
                <w:rFonts w:hint="eastAsia" w:eastAsia="宋体" w:cs="Times New Roman"/>
                <w:b/>
                <w:bCs/>
                <w:color w:val="auto"/>
                <w:sz w:val="24"/>
                <w:lang w:val="en-US" w:eastAsia="zh-CN"/>
              </w:rPr>
              <w:t>-</w:t>
            </w:r>
            <w:r>
              <w:rPr>
                <w:rFonts w:hint="eastAsia" w:cs="Times New Roman"/>
                <w:b/>
                <w:bCs/>
                <w:color w:val="auto"/>
                <w:kern w:val="0"/>
                <w:sz w:val="24"/>
                <w:lang w:val="en-US" w:eastAsia="zh-CN"/>
              </w:rPr>
              <w:t>食品加工产业区范围内</w:t>
            </w:r>
            <w:r>
              <w:rPr>
                <w:rFonts w:hint="default" w:ascii="Times New Roman" w:hAnsi="Times New Roman" w:eastAsia="宋体" w:cs="Times New Roman"/>
                <w:b/>
                <w:bCs/>
                <w:color w:val="auto"/>
                <w:kern w:val="0"/>
                <w:sz w:val="24"/>
              </w:rPr>
              <w:t>，符合</w:t>
            </w:r>
            <w:r>
              <w:rPr>
                <w:rFonts w:hint="default" w:ascii="Times New Roman" w:hAnsi="Times New Roman" w:eastAsia="宋体" w:cs="Times New Roman"/>
                <w:b/>
                <w:bCs/>
                <w:color w:val="auto"/>
                <w:kern w:val="0"/>
                <w:sz w:val="24"/>
                <w:lang w:eastAsia="zh-CN"/>
              </w:rPr>
              <w:t>园区</w:t>
            </w:r>
            <w:r>
              <w:rPr>
                <w:rFonts w:hint="default" w:ascii="Times New Roman" w:hAnsi="Times New Roman" w:eastAsia="宋体" w:cs="Times New Roman"/>
                <w:b/>
                <w:bCs/>
                <w:color w:val="auto"/>
                <w:kern w:val="0"/>
                <w:sz w:val="24"/>
              </w:rPr>
              <w:t>总体规划</w:t>
            </w:r>
            <w:r>
              <w:rPr>
                <w:rFonts w:hint="eastAsia" w:cs="Times New Roman"/>
                <w:b/>
                <w:bCs/>
                <w:color w:val="auto"/>
                <w:kern w:val="0"/>
                <w:sz w:val="24"/>
                <w:lang w:eastAsia="zh-CN"/>
              </w:rPr>
              <w:t>、</w:t>
            </w:r>
            <w:r>
              <w:rPr>
                <w:rFonts w:hint="default" w:ascii="Times New Roman" w:hAnsi="Times New Roman" w:eastAsia="宋体" w:cs="Times New Roman"/>
                <w:b/>
                <w:bCs/>
                <w:color w:val="auto"/>
                <w:kern w:val="0"/>
                <w:sz w:val="24"/>
              </w:rPr>
              <w:t>产业定位</w:t>
            </w:r>
            <w:r>
              <w:rPr>
                <w:rFonts w:hint="eastAsia" w:cs="Times New Roman"/>
                <w:b/>
                <w:bCs/>
                <w:color w:val="auto"/>
                <w:kern w:val="0"/>
                <w:sz w:val="24"/>
                <w:lang w:eastAsia="zh-CN"/>
              </w:rPr>
              <w:t>和产业布局</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sz w:val="24"/>
              </w:rPr>
              <w:t>不在园区准入负面清单内，且不属于高污染、高能耗和资源型产业类型，</w:t>
            </w:r>
            <w:r>
              <w:rPr>
                <w:rFonts w:hint="eastAsia" w:cs="Times New Roman"/>
                <w:b/>
                <w:bCs/>
                <w:color w:val="auto"/>
                <w:sz w:val="24"/>
                <w:lang w:eastAsia="zh-CN"/>
              </w:rPr>
              <w:t>选址经</w:t>
            </w:r>
            <w:r>
              <w:rPr>
                <w:rFonts w:hint="default" w:ascii="Times New Roman" w:hAnsi="Times New Roman" w:eastAsia="宋体" w:cs="Times New Roman"/>
                <w:b/>
                <w:bCs/>
                <w:color w:val="auto"/>
                <w:sz w:val="24"/>
                <w:lang w:val="en-US" w:eastAsia="zh-CN"/>
              </w:rPr>
              <w:t>魏县经济开发区管委会</w:t>
            </w:r>
            <w:r>
              <w:rPr>
                <w:rFonts w:hint="eastAsia" w:cs="Times New Roman"/>
                <w:b/>
                <w:bCs/>
                <w:color w:val="auto"/>
                <w:sz w:val="24"/>
                <w:lang w:eastAsia="zh-CN"/>
              </w:rPr>
              <w:t>预审</w:t>
            </w:r>
            <w:r>
              <w:rPr>
                <w:rFonts w:hint="default" w:ascii="Times New Roman" w:hAnsi="Times New Roman" w:eastAsia="宋体" w:cs="Times New Roman"/>
                <w:b/>
                <w:bCs/>
                <w:color w:val="auto"/>
                <w:sz w:val="24"/>
              </w:rPr>
              <w:t>同意项目入驻园区</w:t>
            </w:r>
            <w:r>
              <w:rPr>
                <w:rFonts w:hint="eastAsia" w:cs="Times New Roman"/>
                <w:b/>
                <w:bCs/>
                <w:color w:val="auto"/>
                <w:sz w:val="24"/>
                <w:lang w:eastAsia="zh-CN"/>
              </w:rPr>
              <w:t>，该</w:t>
            </w:r>
            <w:r>
              <w:rPr>
                <w:rFonts w:hint="default" w:ascii="Times New Roman" w:hAnsi="Times New Roman" w:eastAsia="宋体" w:cs="Times New Roman"/>
                <w:b/>
                <w:bCs/>
                <w:color w:val="auto"/>
                <w:sz w:val="24"/>
              </w:rPr>
              <w:t>项目符合</w:t>
            </w:r>
            <w:r>
              <w:rPr>
                <w:rFonts w:hint="default" w:ascii="Times New Roman" w:hAnsi="Times New Roman" w:eastAsia="宋体" w:cs="Times New Roman"/>
                <w:b/>
                <w:bCs/>
                <w:color w:val="auto"/>
                <w:sz w:val="24"/>
                <w:lang w:eastAsia="zh-CN"/>
              </w:rPr>
              <w:t>河北魏县</w:t>
            </w:r>
            <w:r>
              <w:rPr>
                <w:rFonts w:hint="default" w:ascii="Times New Roman" w:hAnsi="Times New Roman" w:eastAsia="宋体" w:cs="Times New Roman"/>
                <w:b/>
                <w:bCs/>
                <w:color w:val="auto"/>
                <w:sz w:val="24"/>
              </w:rPr>
              <w:t>经济开发区总体规划</w:t>
            </w:r>
            <w:r>
              <w:rPr>
                <w:rFonts w:hint="eastAsia" w:cs="Times New Roman"/>
                <w:b/>
                <w:bCs/>
                <w:color w:val="auto"/>
                <w:sz w:val="24"/>
                <w:lang w:eastAsia="zh-CN"/>
              </w:rPr>
              <w:t>和</w:t>
            </w:r>
            <w:r>
              <w:rPr>
                <w:rFonts w:hint="default" w:ascii="Times New Roman" w:hAnsi="Times New Roman" w:eastAsia="宋体" w:cs="Times New Roman"/>
                <w:b/>
                <w:bCs/>
                <w:color w:val="auto"/>
                <w:sz w:val="24"/>
                <w:lang w:val="en-US" w:eastAsia="zh-CN"/>
              </w:rPr>
              <w:t>规划环境影响评价结论及审查意见</w:t>
            </w:r>
            <w:r>
              <w:rPr>
                <w:rFonts w:hint="default" w:ascii="Times New Roman" w:hAnsi="Times New Roman" w:eastAsia="宋体" w:cs="Times New Roman"/>
                <w:b/>
                <w:bCs/>
                <w:color w:val="auto"/>
                <w:sz w:val="24"/>
              </w:rPr>
              <w:t>要求</w:t>
            </w:r>
            <w:r>
              <w:rPr>
                <w:rFonts w:hint="default" w:ascii="Times New Roman" w:hAnsi="Times New Roman" w:eastAsia="宋体" w:cs="Times New Roman"/>
                <w:b/>
                <w:bCs/>
                <w:color w:val="auto"/>
                <w:sz w:val="24"/>
                <w:lang w:eastAsia="zh-CN"/>
              </w:rPr>
              <w:t>。</w:t>
            </w:r>
          </w:p>
        </w:tc>
      </w:tr>
      <w:tr w14:paraId="7C51E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 w:type="dxa"/>
            <w:vAlign w:val="center"/>
          </w:tcPr>
          <w:p w14:paraId="2010BC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b/>
                <w:bCs/>
                <w:color w:val="auto"/>
                <w:kern w:val="0"/>
                <w:sz w:val="24"/>
              </w:rPr>
              <w:t>其他符合性分析</w:t>
            </w:r>
          </w:p>
        </w:tc>
        <w:tc>
          <w:tcPr>
            <w:tcW w:w="8800" w:type="dxa"/>
            <w:gridSpan w:val="4"/>
            <w:vAlign w:val="center"/>
          </w:tcPr>
          <w:p w14:paraId="3EF6DCCE">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1、产业政策符合性分析</w:t>
            </w:r>
          </w:p>
          <w:p w14:paraId="05D154E5">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根据《产业结构调整指导目录（2024年本）》，本项目不属于限制类项目和淘汰类项目，为允许类项目；不属于《市场准入负面清单（202</w:t>
            </w:r>
            <w:r>
              <w:rPr>
                <w:rFonts w:hint="eastAsia" w:cs="Times New Roman"/>
                <w:b w:val="0"/>
                <w:bCs/>
                <w:color w:val="auto"/>
                <w:sz w:val="24"/>
                <w:szCs w:val="24"/>
                <w:highlight w:val="none"/>
                <w:lang w:val="en-US" w:eastAsia="zh-CN"/>
              </w:rPr>
              <w:t>5</w:t>
            </w:r>
            <w:r>
              <w:rPr>
                <w:rFonts w:hint="default" w:ascii="Times New Roman" w:hAnsi="Times New Roman" w:eastAsia="宋体" w:cs="Times New Roman"/>
                <w:b w:val="0"/>
                <w:bCs/>
                <w:color w:val="auto"/>
                <w:sz w:val="24"/>
                <w:szCs w:val="24"/>
                <w:highlight w:val="none"/>
                <w:lang w:val="en-US" w:eastAsia="zh-CN"/>
              </w:rPr>
              <w:t>年版）》中禁止准入事项，属于市场准入负面清单以外的行业、领域、业务等，市场主体可依法平等进入。且本项目于202</w:t>
            </w:r>
            <w:r>
              <w:rPr>
                <w:rFonts w:hint="eastAsia" w:cs="Times New Roman"/>
                <w:b w:val="0"/>
                <w:bCs/>
                <w:color w:val="auto"/>
                <w:sz w:val="24"/>
                <w:szCs w:val="24"/>
                <w:highlight w:val="none"/>
                <w:lang w:val="en-US" w:eastAsia="zh-CN"/>
              </w:rPr>
              <w:t>6</w:t>
            </w:r>
            <w:r>
              <w:rPr>
                <w:rFonts w:hint="default" w:ascii="Times New Roman" w:hAnsi="Times New Roman" w:eastAsia="宋体" w:cs="Times New Roman"/>
                <w:b w:val="0"/>
                <w:bCs/>
                <w:color w:val="auto"/>
                <w:sz w:val="24"/>
                <w:szCs w:val="24"/>
                <w:highlight w:val="none"/>
                <w:lang w:val="en-US" w:eastAsia="zh-CN"/>
              </w:rPr>
              <w:t>年</w:t>
            </w:r>
            <w:r>
              <w:rPr>
                <w:rFonts w:hint="eastAsia" w:cs="Times New Roman"/>
                <w:b w:val="0"/>
                <w:bCs/>
                <w:color w:val="auto"/>
                <w:sz w:val="24"/>
                <w:szCs w:val="24"/>
                <w:highlight w:val="none"/>
                <w:lang w:val="en-US" w:eastAsia="zh-CN"/>
              </w:rPr>
              <w:t>02</w:t>
            </w:r>
            <w:r>
              <w:rPr>
                <w:rFonts w:hint="default" w:ascii="Times New Roman" w:hAnsi="Times New Roman" w:eastAsia="宋体" w:cs="Times New Roman"/>
                <w:b w:val="0"/>
                <w:bCs/>
                <w:color w:val="auto"/>
                <w:sz w:val="24"/>
                <w:szCs w:val="24"/>
                <w:highlight w:val="none"/>
                <w:lang w:val="en-US" w:eastAsia="zh-CN"/>
              </w:rPr>
              <w:t>月</w:t>
            </w:r>
            <w:r>
              <w:rPr>
                <w:rFonts w:hint="eastAsia" w:cs="Times New Roman"/>
                <w:b w:val="0"/>
                <w:bCs/>
                <w:color w:val="auto"/>
                <w:sz w:val="24"/>
                <w:szCs w:val="24"/>
                <w:highlight w:val="none"/>
                <w:lang w:val="en-US" w:eastAsia="zh-CN"/>
              </w:rPr>
              <w:t>10</w:t>
            </w:r>
            <w:r>
              <w:rPr>
                <w:rFonts w:hint="default" w:ascii="Times New Roman" w:hAnsi="Times New Roman" w:eastAsia="宋体" w:cs="Times New Roman"/>
                <w:b w:val="0"/>
                <w:bCs/>
                <w:color w:val="auto"/>
                <w:sz w:val="24"/>
                <w:szCs w:val="24"/>
                <w:highlight w:val="none"/>
                <w:lang w:val="en-US" w:eastAsia="zh-CN"/>
              </w:rPr>
              <w:t>日已在</w:t>
            </w:r>
            <w:r>
              <w:rPr>
                <w:rFonts w:hint="eastAsia" w:cs="Times New Roman"/>
                <w:b w:val="0"/>
                <w:bCs/>
                <w:color w:val="auto"/>
                <w:sz w:val="24"/>
                <w:szCs w:val="24"/>
                <w:highlight w:val="none"/>
                <w:lang w:val="en-US" w:eastAsia="zh-CN"/>
              </w:rPr>
              <w:t>河北魏县经济开发区管理委员会</w:t>
            </w:r>
            <w:r>
              <w:rPr>
                <w:rFonts w:hint="default" w:ascii="Times New Roman" w:hAnsi="Times New Roman" w:eastAsia="宋体" w:cs="Times New Roman"/>
                <w:b w:val="0"/>
                <w:bCs/>
                <w:color w:val="auto"/>
                <w:sz w:val="24"/>
                <w:szCs w:val="24"/>
                <w:highlight w:val="none"/>
                <w:lang w:val="en-US" w:eastAsia="zh-CN"/>
              </w:rPr>
              <w:t>完成备案，备案编号：</w:t>
            </w:r>
            <w:r>
              <w:rPr>
                <w:rFonts w:hint="eastAsia" w:cs="Times New Roman"/>
                <w:color w:val="auto"/>
                <w:sz w:val="24"/>
                <w:highlight w:val="none"/>
                <w:lang w:val="en-US" w:eastAsia="zh-CN"/>
              </w:rPr>
              <w:t>魏经开审批【2026】002号</w:t>
            </w:r>
            <w:r>
              <w:rPr>
                <w:rFonts w:hint="default" w:ascii="Times New Roman" w:hAnsi="Times New Roman" w:eastAsia="宋体" w:cs="Times New Roman"/>
                <w:b w:val="0"/>
                <w:bCs/>
                <w:color w:val="auto"/>
                <w:sz w:val="24"/>
                <w:szCs w:val="24"/>
                <w:highlight w:val="none"/>
                <w:lang w:val="en-US" w:eastAsia="zh-CN"/>
              </w:rPr>
              <w:t>。因此本项目建设符合国家和地方产业政策要求。</w:t>
            </w:r>
          </w:p>
          <w:p w14:paraId="613CC31E">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、选址可行性分析</w:t>
            </w:r>
          </w:p>
          <w:p w14:paraId="72875709">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sz w:val="24"/>
                <w:szCs w:val="32"/>
                <w:highlight w:val="none"/>
                <w:lang w:eastAsia="zh-CN"/>
              </w:rPr>
            </w:pPr>
            <w:r>
              <w:rPr>
                <w:rFonts w:hint="default" w:ascii="Times New Roman" w:hAnsi="Times New Roman" w:eastAsia="宋体" w:cs="Times New Roman"/>
                <w:color w:val="auto"/>
                <w:sz w:val="24"/>
                <w:szCs w:val="32"/>
                <w:highlight w:val="none"/>
              </w:rPr>
              <w:t>（1）项目位于</w:t>
            </w:r>
            <w:r>
              <w:rPr>
                <w:rFonts w:hint="eastAsia" w:cs="Times New Roman"/>
                <w:color w:val="auto"/>
                <w:sz w:val="24"/>
                <w:szCs w:val="32"/>
                <w:highlight w:val="none"/>
                <w:lang w:eastAsia="zh-CN"/>
              </w:rPr>
              <w:t>河北省邯郸市魏县经济开发区魏县现代农业园区（魏县经济开发区先进装备制造园区规划的食品加工区）</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占地面积40290.98m</w:t>
            </w:r>
            <w:r>
              <w:rPr>
                <w:rFonts w:hint="eastAsia" w:cs="Times New Roman"/>
                <w:color w:val="auto"/>
                <w:sz w:val="24"/>
                <w:szCs w:val="24"/>
                <w:highlight w:val="none"/>
                <w:vertAlign w:val="superscript"/>
                <w:lang w:val="en-US" w:eastAsia="zh-CN"/>
              </w:rPr>
              <w:t>2</w:t>
            </w:r>
            <w:r>
              <w:rPr>
                <w:rFonts w:hint="eastAsia"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t>现已取得不动产权证书号（见附件），土地用地类型为工业用地</w:t>
            </w:r>
            <w:r>
              <w:rPr>
                <w:rFonts w:hint="default" w:ascii="Times New Roman" w:hAnsi="Times New Roman" w:eastAsia="宋体" w:cs="Times New Roman"/>
                <w:color w:val="auto"/>
                <w:sz w:val="24"/>
                <w:szCs w:val="32"/>
                <w:highlight w:val="none"/>
                <w:lang w:eastAsia="zh-CN"/>
              </w:rPr>
              <w:t>，</w:t>
            </w:r>
            <w:r>
              <w:rPr>
                <w:rFonts w:hint="default" w:ascii="Times New Roman" w:hAnsi="Times New Roman" w:eastAsia="宋体" w:cs="Times New Roman"/>
                <w:color w:val="auto"/>
                <w:sz w:val="24"/>
                <w:szCs w:val="32"/>
                <w:highlight w:val="none"/>
              </w:rPr>
              <w:t>符合</w:t>
            </w:r>
            <w:r>
              <w:rPr>
                <w:rFonts w:hint="eastAsia" w:cs="Times New Roman"/>
                <w:color w:val="auto"/>
                <w:sz w:val="24"/>
                <w:szCs w:val="32"/>
                <w:highlight w:val="none"/>
                <w:lang w:eastAsia="zh-CN"/>
              </w:rPr>
              <w:t>产业布局和</w:t>
            </w:r>
            <w:r>
              <w:rPr>
                <w:rFonts w:hint="default" w:ascii="Times New Roman" w:hAnsi="Times New Roman" w:eastAsia="宋体" w:cs="Times New Roman"/>
                <w:color w:val="auto"/>
                <w:sz w:val="24"/>
                <w:szCs w:val="32"/>
                <w:highlight w:val="none"/>
              </w:rPr>
              <w:t>用地</w:t>
            </w:r>
            <w:r>
              <w:rPr>
                <w:rFonts w:hint="eastAsia" w:cs="Times New Roman"/>
                <w:color w:val="auto"/>
                <w:sz w:val="24"/>
                <w:szCs w:val="32"/>
                <w:highlight w:val="none"/>
                <w:lang w:eastAsia="zh-CN"/>
              </w:rPr>
              <w:t>规划</w:t>
            </w:r>
            <w:r>
              <w:rPr>
                <w:rFonts w:hint="default" w:ascii="Times New Roman" w:hAnsi="Times New Roman" w:eastAsia="宋体" w:cs="Times New Roman"/>
                <w:color w:val="auto"/>
                <w:sz w:val="24"/>
                <w:szCs w:val="32"/>
                <w:highlight w:val="none"/>
                <w:lang w:eastAsia="zh-CN"/>
              </w:rPr>
              <w:t>要求。</w:t>
            </w:r>
          </w:p>
          <w:p w14:paraId="4CAF7D83">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（2）本项目厂区附近无国家、省、市规定的自然保护区、风景名胜区、集中式生活饮用水源地等环境敏感区。</w:t>
            </w:r>
          </w:p>
          <w:p w14:paraId="07FE4578">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eastAsia="zh-CN"/>
              </w:rPr>
              <w:t>（</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24"/>
                <w:highlight w:val="none"/>
                <w:lang w:eastAsia="zh-CN"/>
              </w:rPr>
              <w:t>所在</w:t>
            </w:r>
            <w:r>
              <w:rPr>
                <w:rFonts w:hint="default" w:ascii="Times New Roman" w:hAnsi="Times New Roman" w:eastAsia="宋体" w:cs="Times New Roman"/>
                <w:color w:val="auto"/>
                <w:sz w:val="24"/>
                <w:szCs w:val="24"/>
                <w:highlight w:val="none"/>
                <w:lang w:val="en-US" w:eastAsia="zh-CN"/>
              </w:rPr>
              <w:t>地</w:t>
            </w:r>
            <w:r>
              <w:rPr>
                <w:rFonts w:hint="default" w:ascii="Times New Roman" w:hAnsi="Times New Roman" w:eastAsia="宋体" w:cs="Times New Roman"/>
                <w:color w:val="auto"/>
                <w:sz w:val="24"/>
                <w:szCs w:val="24"/>
                <w:highlight w:val="none"/>
                <w:lang w:eastAsia="zh-CN"/>
              </w:rPr>
              <w:t>供水、供电等基础设施配套齐全</w:t>
            </w:r>
            <w:r>
              <w:rPr>
                <w:rFonts w:hint="default" w:ascii="Times New Roman" w:hAnsi="Times New Roman" w:eastAsia="宋体" w:cs="Times New Roman"/>
                <w:color w:val="auto"/>
                <w:sz w:val="24"/>
                <w:szCs w:val="32"/>
                <w:highlight w:val="none"/>
                <w:lang w:val="en-US" w:eastAsia="zh-CN"/>
              </w:rPr>
              <w:t>。</w:t>
            </w:r>
          </w:p>
          <w:p w14:paraId="2DC0592E">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w:t>
            </w:r>
            <w:r>
              <w:rPr>
                <w:rFonts w:hint="default" w:ascii="Times New Roman" w:hAnsi="Times New Roman" w:eastAsia="宋体" w:cs="Times New Roman"/>
                <w:color w:val="auto"/>
                <w:sz w:val="24"/>
                <w:szCs w:val="32"/>
                <w:highlight w:val="none"/>
                <w:lang w:val="en-US" w:eastAsia="zh-CN"/>
              </w:rPr>
              <w:t>4</w:t>
            </w:r>
            <w:r>
              <w:rPr>
                <w:rFonts w:hint="default" w:ascii="Times New Roman" w:hAnsi="Times New Roman" w:eastAsia="宋体" w:cs="Times New Roman"/>
                <w:color w:val="auto"/>
                <w:sz w:val="24"/>
                <w:szCs w:val="32"/>
                <w:highlight w:val="none"/>
              </w:rPr>
              <w:t>）项目不属于</w:t>
            </w:r>
            <w:r>
              <w:rPr>
                <w:rFonts w:hint="default" w:ascii="Times New Roman" w:hAnsi="Times New Roman" w:eastAsia="宋体" w:cs="Times New Roman"/>
                <w:color w:val="auto"/>
                <w:sz w:val="24"/>
                <w:szCs w:val="32"/>
                <w:highlight w:val="none"/>
                <w:lang w:eastAsia="zh-CN"/>
              </w:rPr>
              <w:t>《自然资源要素支撑产业高质量发展指导目录（2024年本）》（自然资发〔2024〕273号）</w:t>
            </w:r>
            <w:r>
              <w:rPr>
                <w:rFonts w:hint="default" w:ascii="Times New Roman" w:hAnsi="Times New Roman" w:eastAsia="宋体" w:cs="Times New Roman"/>
                <w:color w:val="auto"/>
                <w:sz w:val="24"/>
                <w:szCs w:val="32"/>
                <w:highlight w:val="none"/>
                <w:lang w:val="en-US" w:eastAsia="zh-CN"/>
              </w:rPr>
              <w:t>中限制和禁止项目</w:t>
            </w:r>
            <w:r>
              <w:rPr>
                <w:rFonts w:hint="default" w:ascii="Times New Roman" w:hAnsi="Times New Roman" w:eastAsia="宋体" w:cs="Times New Roman"/>
                <w:color w:val="auto"/>
                <w:sz w:val="24"/>
                <w:szCs w:val="32"/>
                <w:highlight w:val="none"/>
              </w:rPr>
              <w:t>。</w:t>
            </w:r>
          </w:p>
          <w:p w14:paraId="26EC2632">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w:t>
            </w:r>
            <w:r>
              <w:rPr>
                <w:rFonts w:hint="default" w:ascii="Times New Roman" w:hAnsi="Times New Roman" w:eastAsia="宋体" w:cs="Times New Roman"/>
                <w:color w:val="auto"/>
                <w:sz w:val="24"/>
                <w:szCs w:val="32"/>
                <w:highlight w:val="none"/>
                <w:lang w:val="en-US" w:eastAsia="zh-CN"/>
              </w:rPr>
              <w:t>5</w:t>
            </w:r>
            <w:r>
              <w:rPr>
                <w:rFonts w:hint="default" w:ascii="Times New Roman" w:hAnsi="Times New Roman" w:eastAsia="宋体" w:cs="Times New Roman"/>
                <w:color w:val="auto"/>
                <w:sz w:val="24"/>
                <w:szCs w:val="32"/>
                <w:highlight w:val="none"/>
              </w:rPr>
              <w:t>）项目距离最近敏感点为</w:t>
            </w:r>
            <w:r>
              <w:rPr>
                <w:rFonts w:hint="default" w:ascii="Times New Roman" w:hAnsi="Times New Roman" w:eastAsia="宋体" w:cs="Times New Roman"/>
                <w:color w:val="auto"/>
                <w:sz w:val="24"/>
                <w:szCs w:val="32"/>
                <w:highlight w:val="none"/>
                <w:lang w:val="en-US" w:eastAsia="zh-CN"/>
              </w:rPr>
              <w:t>项目厂址</w:t>
            </w:r>
            <w:r>
              <w:rPr>
                <w:rFonts w:hint="eastAsia" w:cs="Times New Roman"/>
                <w:color w:val="auto"/>
                <w:sz w:val="24"/>
                <w:szCs w:val="32"/>
                <w:highlight w:val="none"/>
                <w:lang w:val="en-US" w:eastAsia="zh-CN"/>
              </w:rPr>
              <w:t>东南200m处的马头村</w:t>
            </w:r>
            <w:r>
              <w:rPr>
                <w:rFonts w:hint="default" w:ascii="Times New Roman" w:hAnsi="Times New Roman" w:eastAsia="宋体" w:cs="Times New Roman"/>
                <w:color w:val="auto"/>
                <w:sz w:val="24"/>
                <w:szCs w:val="32"/>
                <w:highlight w:val="none"/>
                <w:lang w:val="en-US" w:eastAsia="zh-CN"/>
              </w:rPr>
              <w:t>，</w:t>
            </w:r>
            <w:r>
              <w:rPr>
                <w:rFonts w:hint="eastAsia" w:cs="Times New Roman"/>
                <w:color w:val="auto"/>
                <w:sz w:val="24"/>
                <w:szCs w:val="32"/>
                <w:highlight w:val="none"/>
                <w:lang w:val="en-US" w:eastAsia="zh-CN"/>
              </w:rPr>
              <w:t>园区规划：</w:t>
            </w:r>
            <w:r>
              <w:rPr>
                <w:rFonts w:hint="default" w:ascii="Times New Roman" w:hAnsi="Times New Roman" w:eastAsia="宋体" w:cs="Times New Roman"/>
                <w:color w:val="auto"/>
                <w:sz w:val="24"/>
                <w:szCs w:val="32"/>
                <w:highlight w:val="none"/>
                <w:lang w:val="en-US" w:eastAsia="zh-CN"/>
              </w:rPr>
              <w:t>距</w:t>
            </w:r>
            <w:r>
              <w:rPr>
                <w:rFonts w:hint="eastAsia" w:cs="Times New Roman"/>
                <w:color w:val="auto"/>
                <w:sz w:val="24"/>
                <w:szCs w:val="32"/>
                <w:highlight w:val="none"/>
                <w:lang w:val="en-US" w:eastAsia="zh-CN"/>
              </w:rPr>
              <w:t>马头村</w:t>
            </w:r>
            <w:r>
              <w:rPr>
                <w:rFonts w:hint="default" w:ascii="Times New Roman" w:hAnsi="Times New Roman" w:eastAsia="宋体" w:cs="Times New Roman"/>
                <w:color w:val="auto"/>
                <w:sz w:val="24"/>
                <w:szCs w:val="32"/>
                <w:highlight w:val="none"/>
                <w:lang w:val="en-US" w:eastAsia="zh-CN"/>
              </w:rPr>
              <w:t>50米范围内</w:t>
            </w:r>
            <w:r>
              <w:rPr>
                <w:rFonts w:hint="eastAsia" w:cs="Times New Roman"/>
                <w:color w:val="auto"/>
                <w:sz w:val="24"/>
                <w:szCs w:val="32"/>
                <w:highlight w:val="none"/>
                <w:lang w:val="en-US" w:eastAsia="zh-CN"/>
              </w:rPr>
              <w:t>禁止</w:t>
            </w:r>
            <w:r>
              <w:rPr>
                <w:rFonts w:hint="default" w:ascii="Times New Roman" w:hAnsi="Times New Roman" w:eastAsia="宋体" w:cs="Times New Roman"/>
                <w:color w:val="auto"/>
                <w:sz w:val="24"/>
                <w:szCs w:val="32"/>
                <w:highlight w:val="none"/>
                <w:lang w:val="en-US" w:eastAsia="zh-CN"/>
              </w:rPr>
              <w:t>新建电镀、喷漆工序，50-100米范围内</w:t>
            </w:r>
            <w:r>
              <w:rPr>
                <w:rFonts w:hint="eastAsia" w:cs="Times New Roman"/>
                <w:color w:val="auto"/>
                <w:sz w:val="24"/>
                <w:szCs w:val="32"/>
                <w:highlight w:val="none"/>
                <w:lang w:val="en-US" w:eastAsia="zh-CN"/>
              </w:rPr>
              <w:t>禁止</w:t>
            </w:r>
            <w:r>
              <w:rPr>
                <w:rFonts w:hint="default" w:ascii="Times New Roman" w:hAnsi="Times New Roman" w:eastAsia="宋体" w:cs="Times New Roman"/>
                <w:color w:val="auto"/>
                <w:sz w:val="24"/>
                <w:szCs w:val="32"/>
                <w:highlight w:val="none"/>
                <w:lang w:val="en-US" w:eastAsia="zh-CN"/>
              </w:rPr>
              <w:t>新建使用溶剂型涂料喷漆工序，项目</w:t>
            </w:r>
            <w:r>
              <w:rPr>
                <w:rFonts w:hint="eastAsia" w:cs="Times New Roman"/>
                <w:color w:val="auto"/>
                <w:sz w:val="24"/>
                <w:szCs w:val="32"/>
                <w:highlight w:val="none"/>
                <w:lang w:val="en-US" w:eastAsia="zh-CN"/>
              </w:rPr>
              <w:t>不涉及禁止建设的内容，且不在禁止建设的区域内</w:t>
            </w:r>
            <w:r>
              <w:rPr>
                <w:rFonts w:hint="default" w:ascii="Times New Roman" w:hAnsi="Times New Roman" w:eastAsia="宋体" w:cs="Times New Roman"/>
                <w:color w:val="auto"/>
                <w:sz w:val="24"/>
                <w:szCs w:val="32"/>
                <w:highlight w:val="none"/>
              </w:rPr>
              <w:t>。</w:t>
            </w:r>
          </w:p>
          <w:p w14:paraId="418607AB">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sz w:val="24"/>
                <w:szCs w:val="32"/>
                <w:highlight w:val="none"/>
                <w:lang w:eastAsia="zh-CN"/>
              </w:rPr>
            </w:pPr>
            <w:r>
              <w:rPr>
                <w:rFonts w:hint="default" w:ascii="Times New Roman" w:hAnsi="Times New Roman" w:eastAsia="宋体" w:cs="Times New Roman"/>
                <w:color w:val="auto"/>
                <w:sz w:val="24"/>
                <w:szCs w:val="32"/>
                <w:highlight w:val="none"/>
              </w:rPr>
              <w:t>综上所述，本项目选址可行</w:t>
            </w:r>
            <w:r>
              <w:rPr>
                <w:rFonts w:hint="default" w:ascii="Times New Roman" w:hAnsi="Times New Roman" w:eastAsia="宋体" w:cs="Times New Roman"/>
                <w:color w:val="auto"/>
                <w:sz w:val="24"/>
                <w:szCs w:val="32"/>
                <w:highlight w:val="none"/>
                <w:lang w:eastAsia="zh-CN"/>
              </w:rPr>
              <w:t>。</w:t>
            </w:r>
          </w:p>
          <w:p w14:paraId="02AC7110">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color w:val="auto"/>
                <w:sz w:val="24"/>
                <w:szCs w:val="32"/>
                <w:highlight w:val="none"/>
                <w:lang w:eastAsia="zh-CN"/>
              </w:rPr>
            </w:pPr>
            <w:r>
              <w:rPr>
                <w:rFonts w:hint="default" w:ascii="Times New Roman" w:hAnsi="Times New Roman" w:eastAsia="宋体" w:cs="Times New Roman"/>
                <w:b/>
                <w:bCs/>
                <w:color w:val="auto"/>
                <w:sz w:val="24"/>
                <w:szCs w:val="32"/>
                <w:highlight w:val="none"/>
                <w:lang w:eastAsia="zh-CN"/>
              </w:rPr>
              <w:t>3、本项目与</w:t>
            </w:r>
            <w:r>
              <w:rPr>
                <w:rFonts w:hint="default" w:ascii="Times New Roman" w:hAnsi="Times New Roman" w:eastAsia="宋体" w:cs="Times New Roman"/>
                <w:b/>
                <w:bCs/>
                <w:color w:val="auto"/>
                <w:sz w:val="24"/>
                <w:szCs w:val="32"/>
                <w:highlight w:val="none"/>
                <w:lang w:val="en-US" w:eastAsia="zh-CN"/>
              </w:rPr>
              <w:t>《河北省人民政府关于加快实施“三线一单”生态环境分区管控的意见》(冀政字</w:t>
            </w:r>
            <w:r>
              <w:rPr>
                <w:rFonts w:hint="eastAsia" w:cs="Times New Roman"/>
                <w:b/>
                <w:bCs/>
                <w:color w:val="auto"/>
                <w:sz w:val="24"/>
                <w:szCs w:val="32"/>
                <w:highlight w:val="none"/>
                <w:lang w:val="en-US" w:eastAsia="zh-CN"/>
              </w:rPr>
              <w:t>〔2020〕71号</w:t>
            </w:r>
            <w:r>
              <w:rPr>
                <w:rFonts w:hint="default" w:ascii="Times New Roman" w:hAnsi="Times New Roman" w:eastAsia="宋体" w:cs="Times New Roman"/>
                <w:b/>
                <w:bCs/>
                <w:color w:val="auto"/>
                <w:sz w:val="24"/>
                <w:szCs w:val="32"/>
                <w:highlight w:val="none"/>
                <w:lang w:val="en-US" w:eastAsia="zh-CN"/>
              </w:rPr>
              <w:t>)的</w:t>
            </w:r>
            <w:r>
              <w:rPr>
                <w:rFonts w:hint="default" w:ascii="Times New Roman" w:hAnsi="Times New Roman" w:eastAsia="宋体" w:cs="Times New Roman"/>
                <w:b/>
                <w:bCs/>
                <w:color w:val="auto"/>
                <w:sz w:val="24"/>
                <w:szCs w:val="32"/>
                <w:highlight w:val="none"/>
                <w:lang w:eastAsia="zh-CN"/>
              </w:rPr>
              <w:t>符合性分析</w:t>
            </w:r>
          </w:p>
          <w:p w14:paraId="627A98F0">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sz w:val="24"/>
                <w:szCs w:val="32"/>
                <w:highlight w:val="none"/>
                <w:lang w:eastAsia="zh-CN"/>
              </w:rPr>
            </w:pPr>
            <w:r>
              <w:rPr>
                <w:rFonts w:hint="default" w:ascii="Times New Roman" w:hAnsi="Times New Roman" w:eastAsia="宋体" w:cs="Times New Roman"/>
                <w:color w:val="auto"/>
                <w:sz w:val="24"/>
                <w:szCs w:val="32"/>
                <w:highlight w:val="none"/>
                <w:lang w:eastAsia="zh-CN"/>
              </w:rPr>
              <w:t>本项目与</w:t>
            </w:r>
            <w:r>
              <w:rPr>
                <w:rFonts w:hint="default" w:ascii="Times New Roman" w:hAnsi="Times New Roman" w:eastAsia="宋体" w:cs="Times New Roman"/>
                <w:color w:val="auto"/>
                <w:sz w:val="24"/>
                <w:szCs w:val="32"/>
                <w:highlight w:val="none"/>
                <w:lang w:val="en-US" w:eastAsia="zh-CN"/>
              </w:rPr>
              <w:t>《河北省人民政府关于加快实施“三线一单”生态环境分区管控的意见》(冀政字</w:t>
            </w:r>
            <w:r>
              <w:rPr>
                <w:rFonts w:hint="eastAsia" w:cs="Times New Roman"/>
                <w:color w:val="auto"/>
                <w:sz w:val="24"/>
                <w:szCs w:val="32"/>
                <w:highlight w:val="none"/>
                <w:lang w:val="en-US" w:eastAsia="zh-CN"/>
              </w:rPr>
              <w:t>〔2020〕71号</w:t>
            </w:r>
            <w:r>
              <w:rPr>
                <w:rFonts w:hint="default" w:ascii="Times New Roman" w:hAnsi="Times New Roman" w:eastAsia="宋体" w:cs="Times New Roman"/>
                <w:color w:val="auto"/>
                <w:sz w:val="24"/>
                <w:szCs w:val="32"/>
                <w:highlight w:val="none"/>
                <w:lang w:val="en-US" w:eastAsia="zh-CN"/>
              </w:rPr>
              <w:t>)要求符合性分析见表</w:t>
            </w:r>
            <w:r>
              <w:rPr>
                <w:rFonts w:hint="eastAsia" w:cs="Times New Roman"/>
                <w:color w:val="auto"/>
                <w:sz w:val="24"/>
                <w:szCs w:val="32"/>
                <w:highlight w:val="none"/>
                <w:lang w:val="en-US" w:eastAsia="zh-CN"/>
              </w:rPr>
              <w:t>1-3</w:t>
            </w:r>
            <w:r>
              <w:rPr>
                <w:rFonts w:hint="default" w:ascii="Times New Roman" w:hAnsi="Times New Roman" w:eastAsia="宋体" w:cs="Times New Roman"/>
                <w:color w:val="auto"/>
                <w:sz w:val="24"/>
                <w:szCs w:val="32"/>
                <w:highlight w:val="none"/>
                <w:lang w:eastAsia="zh-CN"/>
              </w:rPr>
              <w:t>。</w:t>
            </w:r>
          </w:p>
          <w:p w14:paraId="4B88C31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sz w:val="24"/>
                <w:szCs w:val="24"/>
                <w:highlight w:val="none"/>
                <w:lang w:eastAsia="zh-CN"/>
              </w:rPr>
              <w:t>表1-</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eastAsia="zh-CN"/>
              </w:rPr>
              <w:t xml:space="preserve"> 项目与河北省“三线一单”符合性分析表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326"/>
              <w:gridCol w:w="3676"/>
              <w:gridCol w:w="833"/>
            </w:tblGrid>
            <w:tr w14:paraId="35DB41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83" w:type="pct"/>
                  <w:gridSpan w:val="2"/>
                  <w:tcBorders>
                    <w:tl2br w:val="nil"/>
                    <w:tr2bl w:val="nil"/>
                  </w:tcBorders>
                  <w:noWrap w:val="0"/>
                  <w:vAlign w:val="center"/>
                </w:tcPr>
                <w:p w14:paraId="55E0CF40">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内容</w:t>
                  </w:r>
                </w:p>
              </w:tc>
              <w:tc>
                <w:tcPr>
                  <w:tcW w:w="2132" w:type="pct"/>
                  <w:tcBorders>
                    <w:tl2br w:val="nil"/>
                    <w:tr2bl w:val="nil"/>
                  </w:tcBorders>
                  <w:noWrap w:val="0"/>
                  <w:vAlign w:val="center"/>
                </w:tcPr>
                <w:p w14:paraId="4F505A8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105" w:leftChars="-50" w:right="-105" w:rightChars="-50"/>
                    <w:jc w:val="center"/>
                    <w:textAlignment w:val="auto"/>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本项目</w:t>
                  </w:r>
                </w:p>
              </w:tc>
              <w:tc>
                <w:tcPr>
                  <w:tcW w:w="483" w:type="pct"/>
                  <w:tcBorders>
                    <w:tl2br w:val="nil"/>
                    <w:tr2bl w:val="nil"/>
                  </w:tcBorders>
                  <w:noWrap w:val="0"/>
                  <w:vAlign w:val="center"/>
                </w:tcPr>
                <w:p w14:paraId="753BD0C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105" w:leftChars="-50" w:right="-105" w:rightChars="-50"/>
                    <w:jc w:val="center"/>
                    <w:textAlignment w:val="auto"/>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符合性</w:t>
                  </w:r>
                </w:p>
              </w:tc>
            </w:tr>
            <w:tr w14:paraId="764DB7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tcBorders>
                    <w:tl2br w:val="nil"/>
                    <w:tr2bl w:val="nil"/>
                  </w:tcBorders>
                  <w:noWrap w:val="0"/>
                  <w:vAlign w:val="center"/>
                </w:tcPr>
                <w:p w14:paraId="296457A6">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生态保护红线</w:t>
                  </w:r>
                </w:p>
              </w:tc>
              <w:tc>
                <w:tcPr>
                  <w:tcW w:w="1928" w:type="pct"/>
                  <w:tcBorders>
                    <w:tl2br w:val="nil"/>
                    <w:tr2bl w:val="nil"/>
                  </w:tcBorders>
                  <w:noWrap w:val="0"/>
                  <w:vAlign w:val="center"/>
                </w:tcPr>
                <w:p w14:paraId="17907968">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重要生态功能区域生态功能不降低、面积不减少、性质不改变。</w:t>
                  </w:r>
                </w:p>
              </w:tc>
              <w:tc>
                <w:tcPr>
                  <w:tcW w:w="2132" w:type="pct"/>
                  <w:tcBorders>
                    <w:tl2br w:val="nil"/>
                    <w:tr2bl w:val="nil"/>
                  </w:tcBorders>
                  <w:noWrap w:val="0"/>
                  <w:vAlign w:val="center"/>
                </w:tcPr>
                <w:p w14:paraId="5462BE80">
                  <w:pPr>
                    <w:keepNext w:val="0"/>
                    <w:keepLines w:val="0"/>
                    <w:suppressLineNumbers w:val="0"/>
                    <w:adjustRightInd w:val="0"/>
                    <w:snapToGrid w:val="0"/>
                    <w:spacing w:before="0" w:beforeLines="0" w:beforeAutospacing="0" w:after="0" w:afterLines="0" w:afterAutospacing="0"/>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本项目位于</w:t>
                  </w:r>
                  <w:r>
                    <w:rPr>
                      <w:rFonts w:hint="eastAsia" w:cs="Times New Roman"/>
                      <w:color w:val="auto"/>
                      <w:kern w:val="0"/>
                      <w:sz w:val="21"/>
                      <w:szCs w:val="21"/>
                      <w:highlight w:val="none"/>
                      <w:lang w:eastAsia="zh-CN"/>
                    </w:rPr>
                    <w:t>河北省邯郸市魏县经济开发区魏县现代农业园区</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占地不在生态保护红线范围内</w:t>
                  </w:r>
                  <w:r>
                    <w:rPr>
                      <w:rFonts w:hint="default" w:ascii="Times New Roman" w:hAnsi="Times New Roman" w:eastAsia="宋体" w:cs="Times New Roman"/>
                      <w:color w:val="auto"/>
                      <w:kern w:val="0"/>
                      <w:sz w:val="21"/>
                      <w:szCs w:val="21"/>
                      <w:highlight w:val="none"/>
                      <w:lang w:eastAsia="zh-CN"/>
                    </w:rPr>
                    <w:t>（邯郸市生态保护红线图</w:t>
                  </w:r>
                  <w:r>
                    <w:rPr>
                      <w:rFonts w:hint="default" w:ascii="Times New Roman" w:hAnsi="Times New Roman" w:eastAsia="宋体" w:cs="Times New Roman"/>
                      <w:color w:val="auto"/>
                      <w:kern w:val="0"/>
                      <w:sz w:val="21"/>
                      <w:szCs w:val="21"/>
                      <w:highlight w:val="none"/>
                      <w:lang w:val="en-US" w:eastAsia="zh-CN"/>
                    </w:rPr>
                    <w:t>见附图</w:t>
                  </w:r>
                  <w:r>
                    <w:rPr>
                      <w:rFonts w:hint="eastAsia"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w:t>
                  </w:r>
                </w:p>
              </w:tc>
              <w:tc>
                <w:tcPr>
                  <w:tcW w:w="483" w:type="pct"/>
                  <w:tcBorders>
                    <w:tl2br w:val="nil"/>
                    <w:tr2bl w:val="nil"/>
                  </w:tcBorders>
                  <w:noWrap w:val="0"/>
                  <w:vAlign w:val="center"/>
                </w:tcPr>
                <w:p w14:paraId="5B3C131C">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r w14:paraId="2FD4DF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tcBorders>
                    <w:tl2br w:val="nil"/>
                    <w:tr2bl w:val="nil"/>
                  </w:tcBorders>
                  <w:noWrap w:val="0"/>
                  <w:vAlign w:val="center"/>
                </w:tcPr>
                <w:p w14:paraId="37DEE857">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环境质量底线</w:t>
                  </w:r>
                </w:p>
              </w:tc>
              <w:tc>
                <w:tcPr>
                  <w:tcW w:w="1928" w:type="pct"/>
                  <w:tcBorders>
                    <w:tl2br w:val="nil"/>
                    <w:tr2bl w:val="nil"/>
                  </w:tcBorders>
                  <w:noWrap w:val="0"/>
                  <w:vAlign w:val="center"/>
                </w:tcPr>
                <w:p w14:paraId="3474039C">
                  <w:pPr>
                    <w:keepNext w:val="0"/>
                    <w:keepLines w:val="0"/>
                    <w:suppressLineNumbers w:val="0"/>
                    <w:adjustRightInd w:val="0"/>
                    <w:snapToGrid w:val="0"/>
                    <w:spacing w:before="0" w:beforeLines="0" w:beforeAutospacing="0" w:after="0" w:afterLines="0" w:afterAutospacing="0"/>
                    <w:ind w:left="0" w:leftChars="0" w:right="0" w:rightChars="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到2025年，地表水国考断面优良(类以上)比例、近岸海域优良海水比例逐步提升；空气中PM</w:t>
                  </w:r>
                  <w:r>
                    <w:rPr>
                      <w:rFonts w:hint="default" w:ascii="Times New Roman" w:hAnsi="Times New Roman" w:eastAsia="宋体" w:cs="Times New Roman"/>
                      <w:color w:val="auto"/>
                      <w:kern w:val="0"/>
                      <w:sz w:val="21"/>
                      <w:szCs w:val="21"/>
                      <w:highlight w:val="none"/>
                      <w:vertAlign w:val="subscript"/>
                      <w:lang w:val="en-US" w:eastAsia="zh-CN"/>
                    </w:rPr>
                    <w:t>2.5</w:t>
                  </w:r>
                  <w:r>
                    <w:rPr>
                      <w:rFonts w:hint="default" w:ascii="Times New Roman" w:hAnsi="Times New Roman" w:eastAsia="宋体" w:cs="Times New Roman"/>
                      <w:color w:val="auto"/>
                      <w:kern w:val="0"/>
                      <w:sz w:val="21"/>
                      <w:szCs w:val="21"/>
                      <w:highlight w:val="none"/>
                      <w:lang w:val="en-US" w:eastAsia="zh-CN"/>
                    </w:rPr>
                    <w:t>年均浓度持续降低、优良天数比例稳步提升；土壤受污染耕地安全利用率、污染地块安全利用率进一步提升。</w:t>
                  </w:r>
                </w:p>
              </w:tc>
              <w:tc>
                <w:tcPr>
                  <w:tcW w:w="2132" w:type="pct"/>
                  <w:tcBorders>
                    <w:tl2br w:val="nil"/>
                    <w:tr2bl w:val="nil"/>
                  </w:tcBorders>
                  <w:noWrap w:val="0"/>
                  <w:vAlign w:val="center"/>
                </w:tcPr>
                <w:p w14:paraId="7E64FC3B">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firstLine="420" w:firstLineChars="200"/>
                    <w:jc w:val="both"/>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①水环境：</w:t>
                  </w:r>
                  <w:r>
                    <w:rPr>
                      <w:rFonts w:hint="eastAsia" w:cs="Times New Roman"/>
                      <w:color w:val="auto"/>
                      <w:kern w:val="0"/>
                      <w:sz w:val="21"/>
                      <w:szCs w:val="21"/>
                      <w:highlight w:val="none"/>
                      <w:lang w:eastAsia="zh-CN"/>
                    </w:rPr>
                    <w:t>本项目</w:t>
                  </w:r>
                  <w:r>
                    <w:rPr>
                      <w:rFonts w:hint="eastAsia" w:cs="Times New Roman"/>
                      <w:color w:val="auto"/>
                      <w:kern w:val="0"/>
                      <w:sz w:val="21"/>
                      <w:szCs w:val="21"/>
                      <w:highlight w:val="none"/>
                      <w:lang w:val="en-US" w:eastAsia="zh-CN"/>
                    </w:rPr>
                    <w:t>生产废水</w:t>
                  </w:r>
                  <w:r>
                    <w:rPr>
                      <w:rFonts w:hint="eastAsia" w:cs="Times New Roman"/>
                      <w:color w:val="auto"/>
                      <w:kern w:val="0"/>
                      <w:sz w:val="21"/>
                      <w:szCs w:val="21"/>
                      <w:highlight w:val="none"/>
                      <w:lang w:eastAsia="zh-CN"/>
                    </w:rPr>
                    <w:t>经厂区污水处理设施“</w:t>
                  </w:r>
                  <w:r>
                    <w:rPr>
                      <w:rFonts w:hint="eastAsia" w:cs="Times New Roman"/>
                      <w:color w:val="auto"/>
                      <w:kern w:val="0"/>
                      <w:sz w:val="21"/>
                      <w:szCs w:val="21"/>
                      <w:highlight w:val="none"/>
                      <w:lang w:val="en-US" w:eastAsia="zh-CN"/>
                    </w:rPr>
                    <w:t>格栅+沉淀+调节+破乳+絮凝+气浮+A/O+沉淀</w:t>
                  </w:r>
                  <w:r>
                    <w:rPr>
                      <w:rFonts w:hint="eastAsia" w:cs="Times New Roman"/>
                      <w:color w:val="auto"/>
                      <w:kern w:val="0"/>
                      <w:sz w:val="21"/>
                      <w:szCs w:val="21"/>
                      <w:highlight w:val="none"/>
                      <w:lang w:eastAsia="zh-CN"/>
                    </w:rPr>
                    <w:t>”达到</w:t>
                  </w:r>
                  <w:r>
                    <w:rPr>
                      <w:rFonts w:hint="eastAsia" w:cs="Times New Roman"/>
                      <w:color w:val="auto"/>
                      <w:kern w:val="0"/>
                      <w:sz w:val="21"/>
                      <w:szCs w:val="21"/>
                      <w:highlight w:val="none"/>
                      <w:lang w:val="en-US" w:eastAsia="zh-CN"/>
                    </w:rPr>
                    <w:t>《污水综合排放标准》（GB8978-1996）表4三级标准</w:t>
                  </w:r>
                  <w:r>
                    <w:rPr>
                      <w:rFonts w:hint="eastAsia" w:cs="Times New Roman"/>
                      <w:color w:val="auto"/>
                      <w:kern w:val="0"/>
                      <w:sz w:val="21"/>
                      <w:szCs w:val="21"/>
                      <w:highlight w:val="none"/>
                      <w:lang w:eastAsia="zh-CN"/>
                    </w:rPr>
                    <w:t>，同时满足魏县经济开发区污水处理有限公司进水水质要求后排入魏县经济开发区污水处理有限公司深度处理，生活废水经化粪池处理后排入园区污水处理厂</w:t>
                  </w:r>
                  <w:r>
                    <w:rPr>
                      <w:rFonts w:hint="default" w:ascii="Times New Roman" w:hAnsi="Times New Roman" w:eastAsia="宋体" w:cs="Times New Roman"/>
                      <w:color w:val="auto"/>
                      <w:kern w:val="0"/>
                      <w:sz w:val="21"/>
                      <w:szCs w:val="21"/>
                      <w:highlight w:val="none"/>
                      <w:lang w:eastAsia="zh-CN"/>
                    </w:rPr>
                    <w:t>；</w:t>
                  </w:r>
                </w:p>
                <w:p w14:paraId="3229E086">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firstLine="420" w:firstLineChars="20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②环境空气：建设项目所在区域为不达标区域，废气污染源对环境影响极小，废气经采取相应治理措施后，均实现达标排放，对区域环境空气质量产生</w:t>
                  </w:r>
                  <w:r>
                    <w:rPr>
                      <w:rFonts w:hint="default" w:ascii="Times New Roman" w:hAnsi="Times New Roman" w:eastAsia="宋体" w:cs="Times New Roman"/>
                      <w:color w:val="auto"/>
                      <w:kern w:val="0"/>
                      <w:sz w:val="21"/>
                      <w:szCs w:val="21"/>
                      <w:highlight w:val="none"/>
                      <w:lang w:eastAsia="zh-CN"/>
                    </w:rPr>
                    <w:t>影响较小</w:t>
                  </w:r>
                  <w:r>
                    <w:rPr>
                      <w:rFonts w:hint="default" w:ascii="Times New Roman" w:hAnsi="Times New Roman" w:eastAsia="宋体" w:cs="Times New Roman"/>
                      <w:color w:val="auto"/>
                      <w:kern w:val="0"/>
                      <w:sz w:val="21"/>
                      <w:szCs w:val="21"/>
                      <w:highlight w:val="none"/>
                    </w:rPr>
                    <w:t>。</w:t>
                  </w:r>
                </w:p>
                <w:p w14:paraId="2504DC50">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firstLine="420" w:firstLineChars="20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③</w:t>
                  </w:r>
                  <w:r>
                    <w:rPr>
                      <w:rFonts w:hint="default" w:ascii="Times New Roman" w:hAnsi="Times New Roman" w:eastAsia="宋体" w:cs="Times New Roman"/>
                      <w:color w:val="auto"/>
                      <w:kern w:val="0"/>
                      <w:sz w:val="21"/>
                      <w:szCs w:val="21"/>
                      <w:highlight w:val="none"/>
                      <w:lang w:eastAsia="zh-CN"/>
                    </w:rPr>
                    <w:t>土壤环境：项目所在区域为建设用地，建成后</w:t>
                  </w:r>
                  <w:r>
                    <w:rPr>
                      <w:rFonts w:hint="eastAsia" w:cs="Times New Roman"/>
                      <w:color w:val="auto"/>
                      <w:kern w:val="0"/>
                      <w:sz w:val="21"/>
                      <w:szCs w:val="21"/>
                      <w:highlight w:val="none"/>
                      <w:lang w:eastAsia="zh-CN"/>
                    </w:rPr>
                    <w:t>实施</w:t>
                  </w:r>
                  <w:r>
                    <w:rPr>
                      <w:rFonts w:hint="default" w:ascii="Times New Roman" w:hAnsi="Times New Roman" w:eastAsia="宋体" w:cs="Times New Roman"/>
                      <w:color w:val="auto"/>
                      <w:kern w:val="0"/>
                      <w:sz w:val="21"/>
                      <w:szCs w:val="21"/>
                      <w:highlight w:val="none"/>
                      <w:lang w:eastAsia="zh-CN"/>
                    </w:rPr>
                    <w:t>分区防渗措施，避免对区域土壤质量产生影响</w:t>
                  </w:r>
                  <w:r>
                    <w:rPr>
                      <w:rFonts w:hint="default" w:ascii="Times New Roman" w:hAnsi="Times New Roman" w:eastAsia="宋体" w:cs="Times New Roman"/>
                      <w:color w:val="auto"/>
                      <w:kern w:val="0"/>
                      <w:sz w:val="21"/>
                      <w:szCs w:val="21"/>
                      <w:highlight w:val="none"/>
                    </w:rPr>
                    <w:t>。</w:t>
                  </w:r>
                </w:p>
              </w:tc>
              <w:tc>
                <w:tcPr>
                  <w:tcW w:w="483" w:type="pct"/>
                  <w:tcBorders>
                    <w:tl2br w:val="nil"/>
                    <w:tr2bl w:val="nil"/>
                  </w:tcBorders>
                  <w:noWrap w:val="0"/>
                  <w:vAlign w:val="center"/>
                </w:tcPr>
                <w:p w14:paraId="4347768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r w14:paraId="34CF47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tcBorders>
                    <w:tl2br w:val="nil"/>
                    <w:tr2bl w:val="nil"/>
                  </w:tcBorders>
                  <w:noWrap w:val="0"/>
                  <w:vAlign w:val="center"/>
                </w:tcPr>
                <w:p w14:paraId="539F7026">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资源利用上限</w:t>
                  </w:r>
                </w:p>
              </w:tc>
              <w:tc>
                <w:tcPr>
                  <w:tcW w:w="1928" w:type="pct"/>
                  <w:tcBorders>
                    <w:tl2br w:val="nil"/>
                    <w:tr2bl w:val="nil"/>
                  </w:tcBorders>
                  <w:noWrap w:val="0"/>
                  <w:vAlign w:val="center"/>
                </w:tcPr>
                <w:p w14:paraId="39749371">
                  <w:pPr>
                    <w:keepNext w:val="0"/>
                    <w:keepLines w:val="0"/>
                    <w:suppressLineNumbers w:val="0"/>
                    <w:adjustRightInd w:val="0"/>
                    <w:snapToGrid w:val="0"/>
                    <w:spacing w:before="0" w:beforeLines="0" w:beforeAutospacing="0" w:after="0" w:afterLines="0" w:afterAutospacing="0"/>
                    <w:ind w:left="0" w:right="0"/>
                    <w:jc w:val="both"/>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lang w:val="en-US" w:eastAsia="zh-CN"/>
                    </w:rPr>
                    <w:t>1、以保障生态安全、改善环境质量为核心，合理确定全省资源利用上线目标，实现水资源与水环境、能源与大气环境、岸线与海洋环境的协同管控。</w:t>
                  </w:r>
                </w:p>
                <w:p w14:paraId="4994BCCA">
                  <w:pPr>
                    <w:keepNext w:val="0"/>
                    <w:keepLines w:val="0"/>
                    <w:suppressLineNumbers w:val="0"/>
                    <w:adjustRightInd w:val="0"/>
                    <w:snapToGrid w:val="0"/>
                    <w:spacing w:before="0" w:beforeLines="0" w:beforeAutospacing="0" w:after="0" w:afterLines="0" w:afterAutospacing="0"/>
                    <w:ind w:left="0" w:right="0" w:firstLine="396"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pacing w:val="-6"/>
                      <w:kern w:val="0"/>
                      <w:sz w:val="21"/>
                      <w:szCs w:val="21"/>
                      <w:highlight w:val="none"/>
                      <w:lang w:val="en-US" w:eastAsia="zh-CN"/>
                    </w:rPr>
                    <w:t>2、到2035年，广泛形成绿色生产生活方式，生态环境根本转变，建成蓝天、碧水、净土的美丽河北。</w:t>
                  </w:r>
                </w:p>
              </w:tc>
              <w:tc>
                <w:tcPr>
                  <w:tcW w:w="2132" w:type="pct"/>
                  <w:tcBorders>
                    <w:tl2br w:val="nil"/>
                    <w:tr2bl w:val="nil"/>
                  </w:tcBorders>
                  <w:noWrap w:val="0"/>
                  <w:vAlign w:val="center"/>
                </w:tcPr>
                <w:p w14:paraId="53E18E50">
                  <w:pPr>
                    <w:keepNext w:val="0"/>
                    <w:keepLines w:val="0"/>
                    <w:suppressLineNumbers w:val="0"/>
                    <w:adjustRightInd w:val="0"/>
                    <w:snapToGrid w:val="0"/>
                    <w:spacing w:before="0" w:beforeLines="0" w:beforeAutospacing="0" w:after="0" w:afterLines="0" w:afterAutospacing="0"/>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项目利用资源包括电力资源和水资源，电力及新鲜水均可满足生产需要，使用量均不会突破地方资源消耗</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天花板</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，因此本项目建设能够满足资源上线。</w:t>
                  </w:r>
                </w:p>
              </w:tc>
              <w:tc>
                <w:tcPr>
                  <w:tcW w:w="483" w:type="pct"/>
                  <w:tcBorders>
                    <w:tl2br w:val="nil"/>
                    <w:tr2bl w:val="nil"/>
                  </w:tcBorders>
                  <w:noWrap w:val="0"/>
                  <w:vAlign w:val="center"/>
                </w:tcPr>
                <w:p w14:paraId="5B2126DE">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r w14:paraId="23C63A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tcBorders>
                    <w:tl2br w:val="nil"/>
                    <w:tr2bl w:val="nil"/>
                  </w:tcBorders>
                  <w:noWrap w:val="0"/>
                  <w:vAlign w:val="center"/>
                </w:tcPr>
                <w:p w14:paraId="76D7E526">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生态环境管控总体要求</w:t>
                  </w:r>
                </w:p>
              </w:tc>
              <w:tc>
                <w:tcPr>
                  <w:tcW w:w="1928" w:type="pct"/>
                  <w:tcBorders>
                    <w:tl2br w:val="nil"/>
                    <w:tr2bl w:val="nil"/>
                  </w:tcBorders>
                  <w:noWrap w:val="0"/>
                  <w:vAlign w:val="center"/>
                </w:tcPr>
                <w:p w14:paraId="7D698EF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20" w:lineRule="exact"/>
                    <w:ind w:left="0" w:right="0" w:firstLine="420" w:firstLineChars="20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重点管控单元。省级以上产业园区重点管控单元。严格产业准入，完善园区设施建设，推动设施提标改造；实施污染物总量控制，落实排污许可证制度；强化资源利用效率和地下水开采管控。</w:t>
                  </w:r>
                </w:p>
              </w:tc>
              <w:tc>
                <w:tcPr>
                  <w:tcW w:w="2132" w:type="pct"/>
                  <w:tcBorders>
                    <w:tl2br w:val="nil"/>
                    <w:tr2bl w:val="nil"/>
                  </w:tcBorders>
                  <w:noWrap w:val="0"/>
                  <w:vAlign w:val="center"/>
                </w:tcPr>
                <w:p w14:paraId="625C0931">
                  <w:pPr>
                    <w:keepNext w:val="0"/>
                    <w:keepLines w:val="0"/>
                    <w:suppressLineNumbers w:val="0"/>
                    <w:adjustRightInd w:val="0"/>
                    <w:snapToGrid w:val="0"/>
                    <w:spacing w:before="0" w:beforeLines="0" w:beforeAutospacing="0" w:after="0" w:afterLines="0" w:afterAutospacing="0"/>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本项目位于</w:t>
                  </w:r>
                  <w:r>
                    <w:rPr>
                      <w:rFonts w:hint="eastAsia" w:cs="Times New Roman"/>
                      <w:color w:val="auto"/>
                      <w:kern w:val="0"/>
                      <w:sz w:val="21"/>
                      <w:szCs w:val="21"/>
                      <w:highlight w:val="none"/>
                      <w:lang w:eastAsia="zh-CN"/>
                    </w:rPr>
                    <w:t>河北省邯郸市魏县经济开发区</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先进装备制造园区</w:t>
                  </w:r>
                  <w:r>
                    <w:rPr>
                      <w:rFonts w:hint="default" w:ascii="Times New Roman" w:hAnsi="Times New Roman" w:eastAsia="宋体" w:cs="Times New Roman"/>
                      <w:color w:val="auto"/>
                      <w:kern w:val="0"/>
                      <w:sz w:val="21"/>
                      <w:szCs w:val="21"/>
                      <w:highlight w:val="none"/>
                      <w:lang w:eastAsia="zh-CN"/>
                    </w:rPr>
                    <w:t>规划</w:t>
                  </w:r>
                  <w:r>
                    <w:rPr>
                      <w:rFonts w:hint="eastAsia" w:cs="Times New Roman"/>
                      <w:color w:val="auto"/>
                      <w:kern w:val="0"/>
                      <w:sz w:val="21"/>
                      <w:szCs w:val="21"/>
                      <w:highlight w:val="none"/>
                      <w:lang w:eastAsia="zh-CN"/>
                    </w:rPr>
                    <w:t>的魏县现代农业园区</w:t>
                  </w:r>
                  <w:r>
                    <w:rPr>
                      <w:rFonts w:hint="default" w:ascii="Times New Roman" w:hAnsi="Times New Roman" w:eastAsia="宋体" w:cs="Times New Roman"/>
                      <w:color w:val="auto"/>
                      <w:kern w:val="0"/>
                      <w:sz w:val="21"/>
                      <w:szCs w:val="21"/>
                      <w:highlight w:val="none"/>
                      <w:lang w:eastAsia="zh-CN"/>
                    </w:rPr>
                    <w:t>，属于重点管控单元，</w:t>
                  </w:r>
                  <w:r>
                    <w:rPr>
                      <w:rFonts w:hint="default" w:ascii="Times New Roman" w:hAnsi="Times New Roman" w:eastAsia="宋体" w:cs="Times New Roman"/>
                      <w:color w:val="auto"/>
                      <w:kern w:val="0"/>
                      <w:sz w:val="21"/>
                      <w:szCs w:val="21"/>
                      <w:highlight w:val="none"/>
                    </w:rPr>
                    <w:t>符合《邯郸市生态环境准入清单(202</w:t>
                  </w:r>
                  <w:r>
                    <w:rPr>
                      <w:rFonts w:hint="eastAsia"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年版）》</w:t>
                  </w:r>
                  <w:r>
                    <w:rPr>
                      <w:rFonts w:hint="default" w:ascii="Times New Roman" w:hAnsi="Times New Roman" w:eastAsia="宋体" w:cs="Times New Roman"/>
                      <w:color w:val="auto"/>
                      <w:kern w:val="0"/>
                      <w:sz w:val="21"/>
                      <w:szCs w:val="21"/>
                      <w:highlight w:val="none"/>
                      <w:lang w:eastAsia="zh-CN"/>
                    </w:rPr>
                    <w:t>魏县</w:t>
                  </w:r>
                  <w:r>
                    <w:rPr>
                      <w:rFonts w:hint="default" w:ascii="Times New Roman" w:hAnsi="Times New Roman" w:eastAsia="宋体" w:cs="Times New Roman"/>
                      <w:color w:val="auto"/>
                      <w:kern w:val="0"/>
                      <w:sz w:val="21"/>
                      <w:szCs w:val="21"/>
                      <w:highlight w:val="none"/>
                    </w:rPr>
                    <w:t>生态环境准入清单要求</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不属于高污染、高能耗和资源型的产业类型，不属于《产业结构调整指导目录（</w:t>
                  </w:r>
                  <w:r>
                    <w:rPr>
                      <w:rFonts w:hint="default" w:ascii="Times New Roman" w:hAnsi="Times New Roman" w:eastAsia="宋体" w:cs="Times New Roman"/>
                      <w:color w:val="auto"/>
                      <w:kern w:val="0"/>
                      <w:sz w:val="21"/>
                      <w:szCs w:val="21"/>
                      <w:highlight w:val="none"/>
                      <w:lang w:val="en-US" w:eastAsia="zh-CN"/>
                    </w:rPr>
                    <w:t>2024</w:t>
                  </w:r>
                  <w:r>
                    <w:rPr>
                      <w:rFonts w:hint="default" w:ascii="Times New Roman" w:hAnsi="Times New Roman" w:eastAsia="宋体" w:cs="Times New Roman"/>
                      <w:color w:val="auto"/>
                      <w:kern w:val="0"/>
                      <w:sz w:val="21"/>
                      <w:szCs w:val="21"/>
                      <w:highlight w:val="none"/>
                    </w:rPr>
                    <w:t>年本）》中限制类、淘汰类，符合环境准入要求</w:t>
                  </w:r>
                  <w:r>
                    <w:rPr>
                      <w:rFonts w:hint="default" w:ascii="Times New Roman" w:hAnsi="Times New Roman" w:eastAsia="宋体" w:cs="Times New Roman"/>
                      <w:color w:val="auto"/>
                      <w:kern w:val="0"/>
                      <w:sz w:val="21"/>
                      <w:szCs w:val="21"/>
                      <w:highlight w:val="none"/>
                      <w:lang w:eastAsia="zh-CN"/>
                    </w:rPr>
                    <w:t>。</w:t>
                  </w:r>
                </w:p>
              </w:tc>
              <w:tc>
                <w:tcPr>
                  <w:tcW w:w="483" w:type="pct"/>
                  <w:tcBorders>
                    <w:tl2br w:val="nil"/>
                    <w:tr2bl w:val="nil"/>
                  </w:tcBorders>
                  <w:noWrap w:val="0"/>
                  <w:vAlign w:val="center"/>
                </w:tcPr>
                <w:p w14:paraId="5C126523">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bl>
          <w:p w14:paraId="2CBE1AA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8"/>
                <w:highlight w:val="none"/>
                <w:lang w:eastAsia="zh-CN"/>
              </w:rPr>
            </w:pPr>
            <w:r>
              <w:rPr>
                <w:rFonts w:hint="default" w:ascii="Times New Roman" w:hAnsi="Times New Roman" w:eastAsia="宋体" w:cs="Times New Roman"/>
                <w:color w:val="auto"/>
                <w:kern w:val="0"/>
                <w:sz w:val="24"/>
                <w:szCs w:val="28"/>
                <w:highlight w:val="none"/>
              </w:rPr>
              <w:t>综上所述，本项目的建设符合</w:t>
            </w:r>
            <w:r>
              <w:rPr>
                <w:rFonts w:hint="default" w:ascii="Times New Roman" w:hAnsi="Times New Roman" w:eastAsia="宋体" w:cs="Times New Roman"/>
                <w:color w:val="auto"/>
                <w:kern w:val="0"/>
                <w:sz w:val="24"/>
                <w:szCs w:val="28"/>
                <w:highlight w:val="none"/>
                <w:lang w:eastAsia="zh-CN"/>
              </w:rPr>
              <w:t>“</w:t>
            </w:r>
            <w:r>
              <w:rPr>
                <w:rFonts w:hint="default" w:ascii="Times New Roman" w:hAnsi="Times New Roman" w:eastAsia="宋体" w:cs="Times New Roman"/>
                <w:color w:val="auto"/>
                <w:kern w:val="0"/>
                <w:sz w:val="24"/>
                <w:szCs w:val="28"/>
                <w:highlight w:val="none"/>
              </w:rPr>
              <w:t>三线一单</w:t>
            </w:r>
            <w:r>
              <w:rPr>
                <w:rFonts w:hint="default" w:ascii="Times New Roman" w:hAnsi="Times New Roman" w:eastAsia="宋体" w:cs="Times New Roman"/>
                <w:color w:val="auto"/>
                <w:kern w:val="0"/>
                <w:sz w:val="24"/>
                <w:szCs w:val="28"/>
                <w:highlight w:val="none"/>
                <w:lang w:eastAsia="zh-CN"/>
              </w:rPr>
              <w:t>”</w:t>
            </w:r>
            <w:r>
              <w:rPr>
                <w:rFonts w:hint="default" w:ascii="Times New Roman" w:hAnsi="Times New Roman" w:eastAsia="宋体" w:cs="Times New Roman"/>
                <w:color w:val="auto"/>
                <w:kern w:val="0"/>
                <w:sz w:val="24"/>
                <w:szCs w:val="28"/>
                <w:highlight w:val="none"/>
              </w:rPr>
              <w:t>管控要求</w:t>
            </w:r>
            <w:r>
              <w:rPr>
                <w:rFonts w:hint="default" w:ascii="Times New Roman" w:hAnsi="Times New Roman" w:eastAsia="宋体" w:cs="Times New Roman"/>
                <w:color w:val="auto"/>
                <w:kern w:val="0"/>
                <w:sz w:val="24"/>
                <w:szCs w:val="28"/>
                <w:highlight w:val="none"/>
                <w:lang w:eastAsia="zh-CN"/>
              </w:rPr>
              <w:t>。</w:t>
            </w:r>
          </w:p>
          <w:p w14:paraId="1185305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val="en-US" w:eastAsia="zh-CN"/>
              </w:rPr>
              <w:t>本项目与《邯郸市生态环境准入清单》（202</w:t>
            </w:r>
            <w:r>
              <w:rPr>
                <w:rFonts w:hint="eastAsia" w:cs="Times New Roman"/>
                <w:b/>
                <w:color w:val="auto"/>
                <w:sz w:val="24"/>
                <w:highlight w:val="none"/>
                <w:lang w:val="en-US" w:eastAsia="zh-CN"/>
              </w:rPr>
              <w:t>5</w:t>
            </w:r>
            <w:r>
              <w:rPr>
                <w:rFonts w:hint="default" w:ascii="Times New Roman" w:hAnsi="Times New Roman" w:eastAsia="宋体" w:cs="Times New Roman"/>
                <w:b/>
                <w:color w:val="auto"/>
                <w:sz w:val="24"/>
                <w:highlight w:val="none"/>
                <w:lang w:val="en-US" w:eastAsia="zh-CN"/>
              </w:rPr>
              <w:t>年版）</w:t>
            </w:r>
            <w:r>
              <w:rPr>
                <w:rFonts w:hint="default" w:ascii="Times New Roman" w:hAnsi="Times New Roman" w:eastAsia="宋体" w:cs="Times New Roman"/>
                <w:b/>
                <w:color w:val="auto"/>
                <w:sz w:val="24"/>
                <w:highlight w:val="none"/>
              </w:rPr>
              <w:t>符合性</w:t>
            </w:r>
            <w:r>
              <w:rPr>
                <w:rFonts w:hint="default" w:ascii="Times New Roman" w:hAnsi="Times New Roman" w:eastAsia="宋体" w:cs="Times New Roman"/>
                <w:b/>
                <w:color w:val="auto"/>
                <w:sz w:val="24"/>
                <w:highlight w:val="none"/>
                <w:lang w:val="en-US" w:eastAsia="zh-CN"/>
              </w:rPr>
              <w:t>分析</w:t>
            </w:r>
          </w:p>
          <w:p w14:paraId="1E37EAF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8"/>
                <w:highlight w:val="none"/>
              </w:rPr>
            </w:pPr>
            <w:r>
              <w:rPr>
                <w:rFonts w:hint="eastAsia"/>
                <w:color w:val="auto"/>
                <w:kern w:val="0"/>
                <w:sz w:val="24"/>
                <w:highlight w:val="none"/>
              </w:rPr>
              <w:t>根据《邯郸市生态环境准入清单》（202</w:t>
            </w:r>
            <w:r>
              <w:rPr>
                <w:rFonts w:hint="eastAsia"/>
                <w:color w:val="auto"/>
                <w:kern w:val="0"/>
                <w:sz w:val="24"/>
                <w:highlight w:val="none"/>
                <w:lang w:val="en-US" w:eastAsia="zh-CN"/>
              </w:rPr>
              <w:t>5</w:t>
            </w:r>
            <w:r>
              <w:rPr>
                <w:rFonts w:hint="eastAsia"/>
                <w:color w:val="auto"/>
                <w:kern w:val="0"/>
                <w:sz w:val="24"/>
                <w:highlight w:val="none"/>
              </w:rPr>
              <w:t>年版）的</w:t>
            </w:r>
            <w:r>
              <w:rPr>
                <w:rFonts w:hint="default" w:ascii="Times New Roman" w:hAnsi="Times New Roman" w:eastAsia="宋体" w:cs="Times New Roman"/>
                <w:color w:val="auto"/>
                <w:kern w:val="0"/>
                <w:sz w:val="24"/>
                <w:szCs w:val="28"/>
                <w:highlight w:val="none"/>
              </w:rPr>
              <w:t>要求，并查阅“河北省三线一单管理平台-公众版”（http</w:t>
            </w:r>
            <w:r>
              <w:rPr>
                <w:rFonts w:hint="eastAsia" w:ascii="Times New Roman" w:hAnsi="Times New Roman" w:eastAsia="宋体" w:cs="Times New Roman"/>
                <w:color w:val="auto"/>
                <w:kern w:val="0"/>
                <w:sz w:val="24"/>
                <w:szCs w:val="28"/>
                <w:highlight w:val="none"/>
                <w:lang w:val="en-US" w:eastAsia="zh-CN"/>
              </w:rPr>
              <w:t>:</w:t>
            </w:r>
            <w:r>
              <w:rPr>
                <w:rFonts w:hint="default" w:ascii="Times New Roman" w:hAnsi="Times New Roman" w:eastAsia="宋体" w:cs="Times New Roman"/>
                <w:color w:val="auto"/>
                <w:kern w:val="0"/>
                <w:sz w:val="24"/>
                <w:szCs w:val="28"/>
                <w:highlight w:val="none"/>
              </w:rPr>
              <w:t>//218.11.12.12</w:t>
            </w:r>
            <w:r>
              <w:rPr>
                <w:rFonts w:hint="eastAsia" w:ascii="Times New Roman" w:hAnsi="Times New Roman" w:eastAsia="宋体" w:cs="Times New Roman"/>
                <w:color w:val="auto"/>
                <w:kern w:val="0"/>
                <w:sz w:val="24"/>
                <w:szCs w:val="28"/>
                <w:highlight w:val="none"/>
                <w:lang w:val="en-US" w:eastAsia="zh-CN"/>
              </w:rPr>
              <w:t>:</w:t>
            </w:r>
            <w:r>
              <w:rPr>
                <w:rFonts w:hint="default" w:ascii="Times New Roman" w:hAnsi="Times New Roman" w:eastAsia="宋体" w:cs="Times New Roman"/>
                <w:color w:val="auto"/>
                <w:kern w:val="0"/>
                <w:sz w:val="24"/>
                <w:szCs w:val="28"/>
                <w:highlight w:val="none"/>
              </w:rPr>
              <w:t>8083/query）平台信息，本项目所在单元类别为重点管控单元</w:t>
            </w:r>
            <w:r>
              <w:rPr>
                <w:rFonts w:hint="eastAsia" w:cs="Times New Roman"/>
                <w:color w:val="auto"/>
                <w:kern w:val="0"/>
                <w:sz w:val="24"/>
                <w:szCs w:val="28"/>
                <w:highlight w:val="none"/>
                <w:lang w:eastAsia="zh-CN"/>
              </w:rPr>
              <w:t>，</w:t>
            </w:r>
            <w:r>
              <w:rPr>
                <w:rFonts w:hint="default" w:ascii="Times New Roman" w:hAnsi="Times New Roman" w:eastAsia="宋体" w:cs="Times New Roman"/>
                <w:color w:val="auto"/>
                <w:kern w:val="0"/>
                <w:sz w:val="24"/>
                <w:szCs w:val="28"/>
                <w:highlight w:val="none"/>
              </w:rPr>
              <w:t>所</w:t>
            </w:r>
            <w:r>
              <w:rPr>
                <w:rFonts w:hint="eastAsia" w:cs="Times New Roman"/>
                <w:color w:val="auto"/>
                <w:kern w:val="0"/>
                <w:sz w:val="24"/>
                <w:szCs w:val="28"/>
                <w:highlight w:val="none"/>
                <w:lang w:eastAsia="zh-CN"/>
              </w:rPr>
              <w:t>处</w:t>
            </w:r>
            <w:r>
              <w:rPr>
                <w:rFonts w:hint="default" w:ascii="Times New Roman" w:hAnsi="Times New Roman" w:eastAsia="宋体" w:cs="Times New Roman"/>
                <w:color w:val="auto"/>
                <w:kern w:val="0"/>
                <w:sz w:val="24"/>
                <w:szCs w:val="28"/>
                <w:highlight w:val="none"/>
              </w:rPr>
              <w:t>重点管控单元</w:t>
            </w:r>
            <w:r>
              <w:rPr>
                <w:rFonts w:hint="eastAsia" w:cs="Times New Roman"/>
                <w:color w:val="auto"/>
                <w:kern w:val="0"/>
                <w:sz w:val="24"/>
                <w:szCs w:val="28"/>
                <w:highlight w:val="none"/>
                <w:lang w:eastAsia="zh-CN"/>
              </w:rPr>
              <w:t>的位置</w:t>
            </w:r>
            <w:r>
              <w:rPr>
                <w:rFonts w:hint="default" w:ascii="Times New Roman" w:hAnsi="Times New Roman" w:eastAsia="宋体" w:cs="Times New Roman"/>
                <w:color w:val="auto"/>
                <w:kern w:val="0"/>
                <w:sz w:val="24"/>
                <w:szCs w:val="28"/>
                <w:highlight w:val="none"/>
              </w:rPr>
              <w:t>见附图。</w:t>
            </w:r>
          </w:p>
          <w:p w14:paraId="59AC364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邯郸市生态环境准入符合性</w:t>
            </w:r>
            <w:r>
              <w:rPr>
                <w:rFonts w:hint="eastAsia" w:cs="Times New Roman"/>
                <w:b w:val="0"/>
                <w:bCs w:val="0"/>
                <w:color w:val="auto"/>
                <w:sz w:val="24"/>
                <w:szCs w:val="24"/>
                <w:highlight w:val="none"/>
                <w:lang w:eastAsia="zh-CN"/>
              </w:rPr>
              <w:t>分析见表</w:t>
            </w:r>
            <w:r>
              <w:rPr>
                <w:rFonts w:hint="eastAsia" w:cs="Times New Roman"/>
                <w:b w:val="0"/>
                <w:bCs w:val="0"/>
                <w:color w:val="auto"/>
                <w:sz w:val="24"/>
                <w:szCs w:val="24"/>
                <w:highlight w:val="none"/>
                <w:lang w:val="en-US" w:eastAsia="zh-CN"/>
              </w:rPr>
              <w:t>1-4；</w:t>
            </w:r>
            <w:r>
              <w:rPr>
                <w:rFonts w:hint="default" w:ascii="Times New Roman" w:hAnsi="Times New Roman" w:eastAsia="宋体" w:cs="Times New Roman"/>
                <w:b w:val="0"/>
                <w:bCs w:val="0"/>
                <w:color w:val="auto"/>
                <w:sz w:val="24"/>
                <w:szCs w:val="24"/>
                <w:highlight w:val="none"/>
                <w:lang w:val="en-US" w:eastAsia="zh-CN"/>
              </w:rPr>
              <w:t>魏县生态环境准入清单</w:t>
            </w:r>
            <w:r>
              <w:rPr>
                <w:rFonts w:hint="eastAsia" w:cs="Times New Roman"/>
                <w:b w:val="0"/>
                <w:bCs w:val="0"/>
                <w:color w:val="auto"/>
                <w:sz w:val="24"/>
                <w:szCs w:val="24"/>
                <w:highlight w:val="none"/>
                <w:lang w:val="en-US" w:eastAsia="zh-CN"/>
              </w:rPr>
              <w:t>见表1-5。</w:t>
            </w:r>
          </w:p>
          <w:p w14:paraId="539D8F4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表</w:t>
            </w:r>
            <w:r>
              <w:rPr>
                <w:rFonts w:hint="default" w:ascii="Times New Roman" w:hAnsi="Times New Roman" w:eastAsia="宋体" w:cs="Times New Roman"/>
                <w:b/>
                <w:bCs/>
                <w:color w:val="auto"/>
                <w:sz w:val="24"/>
                <w:szCs w:val="24"/>
                <w:highlight w:val="none"/>
                <w:lang w:val="en-US" w:eastAsia="zh-CN"/>
              </w:rPr>
              <w:t xml:space="preserve">1-4  </w:t>
            </w:r>
            <w:r>
              <w:rPr>
                <w:rFonts w:hint="default" w:ascii="Times New Roman" w:hAnsi="Times New Roman" w:eastAsia="宋体" w:cs="Times New Roman"/>
                <w:b/>
                <w:bCs/>
                <w:color w:val="auto"/>
                <w:sz w:val="24"/>
                <w:szCs w:val="24"/>
                <w:highlight w:val="none"/>
                <w:lang w:eastAsia="zh-CN"/>
              </w:rPr>
              <w:t>邯郸市生态环境准入符合性一览表</w:t>
            </w:r>
          </w:p>
          <w:tbl>
            <w:tblPr>
              <w:tblStyle w:val="5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64"/>
              <w:gridCol w:w="259"/>
              <w:gridCol w:w="5119"/>
              <w:gridCol w:w="2164"/>
              <w:gridCol w:w="612"/>
            </w:tblGrid>
            <w:tr w14:paraId="5096BD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36F3E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管控单元分类</w:t>
                  </w:r>
                </w:p>
              </w:tc>
              <w:tc>
                <w:tcPr>
                  <w:tcW w:w="2969" w:type="pct"/>
                  <w:tcBorders>
                    <w:tl2br w:val="nil"/>
                    <w:tr2bl w:val="nil"/>
                  </w:tcBorders>
                  <w:vAlign w:val="center"/>
                </w:tcPr>
                <w:p w14:paraId="7931E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全市生态空间总体管控要求</w:t>
                  </w:r>
                </w:p>
              </w:tc>
              <w:tc>
                <w:tcPr>
                  <w:tcW w:w="1255" w:type="pct"/>
                  <w:tcBorders>
                    <w:tl2br w:val="nil"/>
                    <w:tr2bl w:val="nil"/>
                  </w:tcBorders>
                  <w:vAlign w:val="center"/>
                </w:tcPr>
                <w:p w14:paraId="30389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本项目</w:t>
                  </w:r>
                </w:p>
              </w:tc>
              <w:tc>
                <w:tcPr>
                  <w:tcW w:w="355" w:type="pct"/>
                  <w:tcBorders>
                    <w:tl2br w:val="nil"/>
                    <w:tr2bl w:val="nil"/>
                  </w:tcBorders>
                  <w:vAlign w:val="center"/>
                </w:tcPr>
                <w:p w14:paraId="73807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spacing w:val="-20"/>
                      <w:kern w:val="2"/>
                      <w:sz w:val="21"/>
                      <w:szCs w:val="21"/>
                      <w:highlight w:val="none"/>
                      <w:lang w:val="zh-CN" w:eastAsia="zh-CN" w:bidi="zh-CN"/>
                    </w:rPr>
                  </w:pPr>
                  <w:r>
                    <w:rPr>
                      <w:rFonts w:hint="default" w:ascii="Times New Roman" w:hAnsi="Times New Roman" w:eastAsia="宋体" w:cs="Times New Roman"/>
                      <w:b/>
                      <w:bCs w:val="0"/>
                      <w:snapToGrid/>
                      <w:color w:val="auto"/>
                      <w:spacing w:val="-20"/>
                      <w:kern w:val="2"/>
                      <w:sz w:val="21"/>
                      <w:szCs w:val="21"/>
                      <w:highlight w:val="none"/>
                      <w:lang w:val="zh-CN" w:eastAsia="zh-CN" w:bidi="zh-CN"/>
                    </w:rPr>
                    <w:t>符合性</w:t>
                  </w:r>
                </w:p>
              </w:tc>
            </w:tr>
            <w:tr w14:paraId="2ACD2F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0" w:type="pct"/>
                  <w:vMerge w:val="restart"/>
                  <w:tcBorders>
                    <w:tl2br w:val="nil"/>
                    <w:tr2bl w:val="nil"/>
                  </w:tcBorders>
                  <w:vAlign w:val="center"/>
                </w:tcPr>
                <w:p w14:paraId="12153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空</w:t>
                  </w:r>
                </w:p>
                <w:p w14:paraId="783FC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间</w:t>
                  </w:r>
                </w:p>
                <w:p w14:paraId="78B50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布</w:t>
                  </w:r>
                </w:p>
                <w:p w14:paraId="1FA49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局</w:t>
                  </w:r>
                </w:p>
                <w:p w14:paraId="3F68A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val="0"/>
                      <w:bCs/>
                      <w:snapToGrid/>
                      <w:color w:val="auto"/>
                      <w:kern w:val="2"/>
                      <w:sz w:val="21"/>
                      <w:szCs w:val="21"/>
                      <w:highlight w:val="none"/>
                      <w:lang w:val="en-US" w:eastAsia="zh-CN" w:bidi="zh-CN"/>
                    </w:rPr>
                  </w:pPr>
                  <w:r>
                    <w:rPr>
                      <w:rFonts w:hint="eastAsia" w:cs="Times New Roman"/>
                      <w:b w:val="0"/>
                      <w:bCs/>
                      <w:snapToGrid/>
                      <w:color w:val="auto"/>
                      <w:kern w:val="2"/>
                      <w:sz w:val="21"/>
                      <w:szCs w:val="21"/>
                      <w:highlight w:val="none"/>
                      <w:lang w:val="en-US" w:eastAsia="zh-CN" w:bidi="zh-CN"/>
                    </w:rPr>
                    <w:t>约</w:t>
                  </w:r>
                </w:p>
                <w:p w14:paraId="1D257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en-US" w:eastAsia="zh-CN" w:bidi="zh-CN"/>
                    </w:rPr>
                  </w:pPr>
                  <w:r>
                    <w:rPr>
                      <w:rFonts w:hint="eastAsia" w:cs="Times New Roman"/>
                      <w:b w:val="0"/>
                      <w:bCs/>
                      <w:snapToGrid/>
                      <w:color w:val="auto"/>
                      <w:kern w:val="2"/>
                      <w:sz w:val="21"/>
                      <w:szCs w:val="21"/>
                      <w:highlight w:val="none"/>
                      <w:lang w:val="en-US" w:eastAsia="zh-CN" w:bidi="zh-CN"/>
                    </w:rPr>
                    <w:t>束</w:t>
                  </w:r>
                </w:p>
              </w:tc>
              <w:tc>
                <w:tcPr>
                  <w:tcW w:w="150" w:type="pct"/>
                  <w:tcBorders>
                    <w:tl2br w:val="nil"/>
                    <w:tr2bl w:val="nil"/>
                  </w:tcBorders>
                  <w:vAlign w:val="center"/>
                </w:tcPr>
                <w:p w14:paraId="22F7F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限制类活动</w:t>
                  </w:r>
                </w:p>
              </w:tc>
              <w:tc>
                <w:tcPr>
                  <w:tcW w:w="2969" w:type="pct"/>
                  <w:tcBorders>
                    <w:tl2br w:val="nil"/>
                    <w:tr2bl w:val="nil"/>
                  </w:tcBorders>
                  <w:vAlign w:val="center"/>
                </w:tcPr>
                <w:p w14:paraId="0EB95B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eastAsia" w:cs="Times New Roman"/>
                      <w:b w:val="0"/>
                      <w:bCs/>
                      <w:snapToGrid/>
                      <w:color w:val="auto"/>
                      <w:kern w:val="2"/>
                      <w:sz w:val="21"/>
                      <w:szCs w:val="21"/>
                      <w:highlight w:val="none"/>
                      <w:lang w:val="en-US" w:eastAsia="zh-CN" w:bidi="zh-CN"/>
                    </w:rPr>
                    <w:t xml:space="preserve">    </w:t>
                  </w:r>
                  <w:r>
                    <w:rPr>
                      <w:rFonts w:hint="default" w:ascii="Times New Roman" w:hAnsi="Times New Roman" w:eastAsia="宋体" w:cs="Times New Roman"/>
                      <w:b w:val="0"/>
                      <w:bCs/>
                      <w:snapToGrid/>
                      <w:color w:val="auto"/>
                      <w:kern w:val="2"/>
                      <w:sz w:val="21"/>
                      <w:szCs w:val="21"/>
                      <w:highlight w:val="none"/>
                      <w:lang w:val="zh-CN" w:eastAsia="zh-CN" w:bidi="zh-CN"/>
                    </w:rPr>
                    <w:t>1.生态保护红线外的生态空间，原则上按限制开发区域的要求进行管理。</w:t>
                  </w:r>
                </w:p>
                <w:p w14:paraId="0C148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2.从严控制生态空间转为城镇空间和农业空间。</w:t>
                  </w:r>
                </w:p>
                <w:p w14:paraId="34AAE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3.严格控制新增建设占用生态保护红线外的生态空间。符合区域准入条件的建设项目，涉及占用生态空间中的林地、草原等，按有关法律法规规定办理；涉及占用生态空间中其他未作明确规定的用地，应当加强论证和管理。</w:t>
                  </w:r>
                </w:p>
                <w:p w14:paraId="2B02E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严格限制农业开发占用生态保护红线外的生态空间，符合条件的农业开发项目，须依法由市县级及以上地方人民政府统筹安排。生态保护红线外的耕地，除符合国家生态退耕条件，并纳入国家生态退耕总体安排，或因国家重大生态工程建设需要外，不得随意转用。</w:t>
                  </w:r>
                </w:p>
              </w:tc>
              <w:tc>
                <w:tcPr>
                  <w:tcW w:w="1255" w:type="pct"/>
                  <w:tcBorders>
                    <w:tl2br w:val="nil"/>
                    <w:tr2bl w:val="nil"/>
                  </w:tcBorders>
                  <w:vAlign w:val="center"/>
                </w:tcPr>
                <w:p w14:paraId="4EFAEF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本项目不涉及占用生态空间中的林地、草原等，不存在占用耕地情况，本项目已取得不动产权证书号（见附件），土地用地类型为工业用地，符合园</w:t>
                  </w:r>
                  <w:r>
                    <w:rPr>
                      <w:rFonts w:hint="eastAsia" w:cs="Times New Roman"/>
                      <w:b w:val="0"/>
                      <w:bCs/>
                      <w:snapToGrid/>
                      <w:color w:val="auto"/>
                      <w:kern w:val="2"/>
                      <w:sz w:val="21"/>
                      <w:szCs w:val="21"/>
                      <w:highlight w:val="none"/>
                      <w:lang w:val="zh-CN" w:eastAsia="zh-CN" w:bidi="zh-CN"/>
                    </w:rPr>
                    <w:t>区</w:t>
                  </w:r>
                  <w:r>
                    <w:rPr>
                      <w:rFonts w:hint="default" w:ascii="Times New Roman" w:hAnsi="Times New Roman" w:eastAsia="宋体" w:cs="Times New Roman"/>
                      <w:b w:val="0"/>
                      <w:bCs/>
                      <w:snapToGrid/>
                      <w:color w:val="auto"/>
                      <w:kern w:val="2"/>
                      <w:sz w:val="21"/>
                      <w:szCs w:val="21"/>
                      <w:highlight w:val="none"/>
                      <w:lang w:val="zh-CN" w:eastAsia="zh-CN" w:bidi="zh-CN"/>
                    </w:rPr>
                    <w:t>用地布局规划要求。</w:t>
                  </w:r>
                </w:p>
              </w:tc>
              <w:tc>
                <w:tcPr>
                  <w:tcW w:w="355" w:type="pct"/>
                  <w:tcBorders>
                    <w:tl2br w:val="nil"/>
                    <w:tr2bl w:val="nil"/>
                  </w:tcBorders>
                  <w:vAlign w:val="center"/>
                </w:tcPr>
                <w:p w14:paraId="6743C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665AB2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0" w:type="pct"/>
                  <w:vMerge w:val="continue"/>
                  <w:tcBorders>
                    <w:tl2br w:val="nil"/>
                    <w:tr2bl w:val="nil"/>
                  </w:tcBorders>
                  <w:vAlign w:val="center"/>
                </w:tcPr>
                <w:p w14:paraId="0BD9D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p>
              </w:tc>
              <w:tc>
                <w:tcPr>
                  <w:tcW w:w="150" w:type="pct"/>
                  <w:tcBorders>
                    <w:tl2br w:val="nil"/>
                    <w:tr2bl w:val="nil"/>
                  </w:tcBorders>
                  <w:vAlign w:val="center"/>
                </w:tcPr>
                <w:p w14:paraId="663124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允许类活动</w:t>
                  </w:r>
                </w:p>
              </w:tc>
              <w:tc>
                <w:tcPr>
                  <w:tcW w:w="2969" w:type="pct"/>
                  <w:tcBorders>
                    <w:tl2br w:val="nil"/>
                    <w:tr2bl w:val="nil"/>
                  </w:tcBorders>
                  <w:vAlign w:val="center"/>
                </w:tcPr>
                <w:p w14:paraId="78C1A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1.鼓励城镇空间和符合国家生态退耕条件的农业空间转为生态空间。</w:t>
                  </w:r>
                </w:p>
                <w:p w14:paraId="15E20D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2.鼓励各地根据生态保护需要和规划，结合土地综合整治、工矿废弃地复垦利用、矿山环境恢复治理等各类工程实施，因地制宜促进生态空间内建设用地逐步有序退出。</w:t>
                  </w:r>
                </w:p>
              </w:tc>
              <w:tc>
                <w:tcPr>
                  <w:tcW w:w="1255" w:type="pct"/>
                  <w:tcBorders>
                    <w:tl2br w:val="nil"/>
                    <w:tr2bl w:val="nil"/>
                  </w:tcBorders>
                  <w:vAlign w:val="center"/>
                </w:tcPr>
                <w:p w14:paraId="38419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项目不涉及土地综合整治、工矿废弃地复垦利用、矿山环境恢复治理等各类工程</w:t>
                  </w:r>
                  <w:r>
                    <w:rPr>
                      <w:rFonts w:hint="eastAsia" w:cs="Times New Roman"/>
                      <w:b w:val="0"/>
                      <w:bCs/>
                      <w:snapToGrid/>
                      <w:color w:val="auto"/>
                      <w:kern w:val="2"/>
                      <w:sz w:val="21"/>
                      <w:szCs w:val="21"/>
                      <w:highlight w:val="none"/>
                      <w:lang w:val="zh-CN" w:eastAsia="zh-CN" w:bidi="zh-CN"/>
                    </w:rPr>
                    <w:t>。</w:t>
                  </w:r>
                </w:p>
              </w:tc>
              <w:tc>
                <w:tcPr>
                  <w:tcW w:w="355" w:type="pct"/>
                  <w:tcBorders>
                    <w:tl2br w:val="nil"/>
                    <w:tr2bl w:val="nil"/>
                  </w:tcBorders>
                  <w:vAlign w:val="center"/>
                </w:tcPr>
                <w:p w14:paraId="7C9A5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003E93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202A8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污染</w:t>
                  </w:r>
                </w:p>
                <w:p w14:paraId="4DB0E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物防</w:t>
                  </w:r>
                </w:p>
                <w:p w14:paraId="580501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控目</w:t>
                  </w:r>
                </w:p>
                <w:p w14:paraId="4806F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标</w:t>
                  </w:r>
                </w:p>
              </w:tc>
              <w:tc>
                <w:tcPr>
                  <w:tcW w:w="2969" w:type="pct"/>
                  <w:tcBorders>
                    <w:tl2br w:val="nil"/>
                    <w:tr2bl w:val="nil"/>
                  </w:tcBorders>
                  <w:vAlign w:val="center"/>
                </w:tcPr>
                <w:p w14:paraId="72644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202</w:t>
                  </w:r>
                  <w:r>
                    <w:rPr>
                      <w:rFonts w:hint="eastAsia" w:cs="Times New Roman"/>
                      <w:b w:val="0"/>
                      <w:bCs/>
                      <w:snapToGrid/>
                      <w:color w:val="auto"/>
                      <w:kern w:val="2"/>
                      <w:sz w:val="21"/>
                      <w:szCs w:val="21"/>
                      <w:highlight w:val="none"/>
                      <w:lang w:val="en-US" w:eastAsia="zh-CN" w:bidi="zh-CN"/>
                    </w:rPr>
                    <w:t>5</w:t>
                  </w:r>
                  <w:r>
                    <w:rPr>
                      <w:rFonts w:hint="default" w:ascii="Times New Roman" w:hAnsi="Times New Roman" w:eastAsia="宋体" w:cs="Times New Roman"/>
                      <w:b w:val="0"/>
                      <w:bCs/>
                      <w:snapToGrid/>
                      <w:color w:val="auto"/>
                      <w:kern w:val="2"/>
                      <w:sz w:val="21"/>
                      <w:szCs w:val="21"/>
                      <w:highlight w:val="none"/>
                      <w:lang w:val="zh-CN" w:eastAsia="zh-CN" w:bidi="zh-CN"/>
                    </w:rPr>
                    <w:t>年SO</w:t>
                  </w:r>
                  <w:r>
                    <w:rPr>
                      <w:rFonts w:hint="default" w:ascii="Times New Roman" w:hAnsi="Times New Roman" w:eastAsia="宋体" w:cs="Times New Roman"/>
                      <w:b w:val="0"/>
                      <w:bCs/>
                      <w:snapToGrid/>
                      <w:color w:val="auto"/>
                      <w:kern w:val="2"/>
                      <w:sz w:val="21"/>
                      <w:szCs w:val="21"/>
                      <w:highlight w:val="none"/>
                      <w:vertAlign w:val="subscript"/>
                      <w:lang w:val="zh-CN" w:eastAsia="zh-CN" w:bidi="zh-CN"/>
                    </w:rPr>
                    <w:t>2</w:t>
                  </w:r>
                  <w:r>
                    <w:rPr>
                      <w:rFonts w:hint="default" w:ascii="Times New Roman" w:hAnsi="Times New Roman" w:eastAsia="宋体" w:cs="Times New Roman"/>
                      <w:b w:val="0"/>
                      <w:bCs/>
                      <w:snapToGrid/>
                      <w:color w:val="auto"/>
                      <w:kern w:val="2"/>
                      <w:sz w:val="21"/>
                      <w:szCs w:val="21"/>
                      <w:highlight w:val="none"/>
                      <w:lang w:val="zh-CN" w:eastAsia="zh-CN" w:bidi="zh-CN"/>
                    </w:rPr>
                    <w:t>、NO</w:t>
                  </w:r>
                  <w:r>
                    <w:rPr>
                      <w:rFonts w:hint="default" w:ascii="Times New Roman" w:hAnsi="Times New Roman" w:eastAsia="宋体" w:cs="Times New Roman"/>
                      <w:b w:val="0"/>
                      <w:bCs/>
                      <w:snapToGrid/>
                      <w:color w:val="auto"/>
                      <w:kern w:val="2"/>
                      <w:sz w:val="21"/>
                      <w:szCs w:val="21"/>
                      <w:highlight w:val="none"/>
                      <w:vertAlign w:val="subscript"/>
                      <w:lang w:val="zh-CN" w:eastAsia="zh-CN" w:bidi="zh-CN"/>
                    </w:rPr>
                    <w:t>2</w:t>
                  </w:r>
                  <w:r>
                    <w:rPr>
                      <w:rFonts w:hint="default" w:ascii="Times New Roman" w:hAnsi="Times New Roman" w:eastAsia="宋体" w:cs="Times New Roman"/>
                      <w:b w:val="0"/>
                      <w:bCs/>
                      <w:snapToGrid/>
                      <w:color w:val="auto"/>
                      <w:kern w:val="2"/>
                      <w:sz w:val="21"/>
                      <w:szCs w:val="21"/>
                      <w:highlight w:val="none"/>
                      <w:lang w:val="zh-CN" w:eastAsia="zh-CN" w:bidi="zh-CN"/>
                    </w:rPr>
                    <w:t>、PM</w:t>
                  </w:r>
                  <w:r>
                    <w:rPr>
                      <w:rFonts w:hint="default" w:ascii="Times New Roman" w:hAnsi="Times New Roman" w:eastAsia="宋体" w:cs="Times New Roman"/>
                      <w:b w:val="0"/>
                      <w:bCs/>
                      <w:snapToGrid/>
                      <w:color w:val="auto"/>
                      <w:kern w:val="2"/>
                      <w:sz w:val="21"/>
                      <w:szCs w:val="21"/>
                      <w:highlight w:val="none"/>
                      <w:vertAlign w:val="subscript"/>
                      <w:lang w:val="zh-CN" w:eastAsia="zh-CN" w:bidi="zh-CN"/>
                    </w:rPr>
                    <w:t>2.5</w:t>
                  </w:r>
                  <w:r>
                    <w:rPr>
                      <w:rFonts w:hint="default" w:ascii="Times New Roman" w:hAnsi="Times New Roman" w:eastAsia="宋体" w:cs="Times New Roman"/>
                      <w:b w:val="0"/>
                      <w:bCs/>
                      <w:snapToGrid/>
                      <w:color w:val="auto"/>
                      <w:kern w:val="2"/>
                      <w:sz w:val="21"/>
                      <w:szCs w:val="21"/>
                      <w:highlight w:val="none"/>
                      <w:lang w:val="zh-CN" w:eastAsia="zh-CN" w:bidi="zh-CN"/>
                    </w:rPr>
                    <w:t>年均浓度分别达到20微克/立方米、38微克/立方米、42微克/立方米，遏制O</w:t>
                  </w:r>
                  <w:r>
                    <w:rPr>
                      <w:rFonts w:hint="default" w:ascii="Times New Roman" w:hAnsi="Times New Roman" w:eastAsia="宋体" w:cs="Times New Roman"/>
                      <w:b w:val="0"/>
                      <w:bCs/>
                      <w:snapToGrid/>
                      <w:color w:val="auto"/>
                      <w:kern w:val="2"/>
                      <w:sz w:val="21"/>
                      <w:szCs w:val="21"/>
                      <w:highlight w:val="none"/>
                      <w:vertAlign w:val="subscript"/>
                      <w:lang w:val="zh-CN" w:eastAsia="zh-CN" w:bidi="zh-CN"/>
                    </w:rPr>
                    <w:t>3</w:t>
                  </w:r>
                  <w:r>
                    <w:rPr>
                      <w:rFonts w:hint="default" w:ascii="Times New Roman" w:hAnsi="Times New Roman" w:eastAsia="宋体" w:cs="Times New Roman"/>
                      <w:b w:val="0"/>
                      <w:bCs/>
                      <w:snapToGrid/>
                      <w:color w:val="auto"/>
                      <w:kern w:val="2"/>
                      <w:sz w:val="21"/>
                      <w:szCs w:val="21"/>
                      <w:highlight w:val="none"/>
                      <w:lang w:val="zh-CN" w:eastAsia="zh-CN" w:bidi="zh-CN"/>
                    </w:rPr>
                    <w:t>恶化态势，优良天数比例控制在58%以上。2035年SO</w:t>
                  </w:r>
                  <w:r>
                    <w:rPr>
                      <w:rFonts w:hint="default" w:ascii="Times New Roman" w:hAnsi="Times New Roman" w:eastAsia="宋体" w:cs="Times New Roman"/>
                      <w:b w:val="0"/>
                      <w:bCs/>
                      <w:snapToGrid/>
                      <w:color w:val="auto"/>
                      <w:kern w:val="2"/>
                      <w:sz w:val="21"/>
                      <w:szCs w:val="21"/>
                      <w:highlight w:val="none"/>
                      <w:vertAlign w:val="subscript"/>
                      <w:lang w:val="zh-CN" w:eastAsia="zh-CN" w:bidi="zh-CN"/>
                    </w:rPr>
                    <w:t>2</w:t>
                  </w:r>
                  <w:r>
                    <w:rPr>
                      <w:rFonts w:hint="default" w:ascii="Times New Roman" w:hAnsi="Times New Roman" w:eastAsia="宋体" w:cs="Times New Roman"/>
                      <w:b w:val="0"/>
                      <w:bCs/>
                      <w:snapToGrid/>
                      <w:color w:val="auto"/>
                      <w:kern w:val="2"/>
                      <w:sz w:val="21"/>
                      <w:szCs w:val="21"/>
                      <w:highlight w:val="none"/>
                      <w:lang w:val="zh-CN" w:eastAsia="zh-CN" w:bidi="zh-CN"/>
                    </w:rPr>
                    <w:t>、NO</w:t>
                  </w:r>
                  <w:r>
                    <w:rPr>
                      <w:rFonts w:hint="default" w:ascii="Times New Roman" w:hAnsi="Times New Roman" w:eastAsia="宋体" w:cs="Times New Roman"/>
                      <w:b w:val="0"/>
                      <w:bCs/>
                      <w:snapToGrid/>
                      <w:color w:val="auto"/>
                      <w:kern w:val="2"/>
                      <w:sz w:val="21"/>
                      <w:szCs w:val="21"/>
                      <w:highlight w:val="none"/>
                      <w:vertAlign w:val="subscript"/>
                      <w:lang w:val="zh-CN" w:eastAsia="zh-CN" w:bidi="zh-CN"/>
                    </w:rPr>
                    <w:t>2</w:t>
                  </w:r>
                  <w:r>
                    <w:rPr>
                      <w:rFonts w:hint="default" w:ascii="Times New Roman" w:hAnsi="Times New Roman" w:eastAsia="宋体" w:cs="Times New Roman"/>
                      <w:b w:val="0"/>
                      <w:bCs/>
                      <w:snapToGrid/>
                      <w:color w:val="auto"/>
                      <w:kern w:val="2"/>
                      <w:sz w:val="21"/>
                      <w:szCs w:val="21"/>
                      <w:highlight w:val="none"/>
                      <w:lang w:val="zh-CN" w:eastAsia="zh-CN" w:bidi="zh-CN"/>
                    </w:rPr>
                    <w:t>、PM</w:t>
                  </w:r>
                  <w:r>
                    <w:rPr>
                      <w:rFonts w:hint="default" w:ascii="Times New Roman" w:hAnsi="Times New Roman" w:eastAsia="宋体" w:cs="Times New Roman"/>
                      <w:b w:val="0"/>
                      <w:bCs/>
                      <w:snapToGrid/>
                      <w:color w:val="auto"/>
                      <w:kern w:val="2"/>
                      <w:sz w:val="21"/>
                      <w:szCs w:val="21"/>
                      <w:highlight w:val="none"/>
                      <w:vertAlign w:val="subscript"/>
                      <w:lang w:val="zh-CN" w:eastAsia="zh-CN" w:bidi="zh-CN"/>
                    </w:rPr>
                    <w:t>2.5</w:t>
                  </w:r>
                  <w:r>
                    <w:rPr>
                      <w:rFonts w:hint="default" w:ascii="Times New Roman" w:hAnsi="Times New Roman" w:eastAsia="宋体" w:cs="Times New Roman"/>
                      <w:b w:val="0"/>
                      <w:bCs/>
                      <w:snapToGrid/>
                      <w:color w:val="auto"/>
                      <w:kern w:val="2"/>
                      <w:sz w:val="21"/>
                      <w:szCs w:val="21"/>
                      <w:highlight w:val="none"/>
                      <w:lang w:val="zh-CN" w:eastAsia="zh-CN" w:bidi="zh-CN"/>
                    </w:rPr>
                    <w:t>年均浓度分别达到20微克/立方米、38微克/立方米、35微克/立方米，O</w:t>
                  </w:r>
                  <w:r>
                    <w:rPr>
                      <w:rFonts w:hint="default" w:ascii="Times New Roman" w:hAnsi="Times New Roman" w:eastAsia="宋体" w:cs="Times New Roman"/>
                      <w:b w:val="0"/>
                      <w:bCs/>
                      <w:snapToGrid/>
                      <w:color w:val="auto"/>
                      <w:kern w:val="2"/>
                      <w:sz w:val="21"/>
                      <w:szCs w:val="21"/>
                      <w:highlight w:val="none"/>
                      <w:vertAlign w:val="subscript"/>
                      <w:lang w:val="zh-CN" w:eastAsia="zh-CN" w:bidi="zh-CN"/>
                    </w:rPr>
                    <w:t>3</w:t>
                  </w:r>
                  <w:r>
                    <w:rPr>
                      <w:rFonts w:hint="default" w:ascii="Times New Roman" w:hAnsi="Times New Roman" w:eastAsia="宋体" w:cs="Times New Roman"/>
                      <w:b w:val="0"/>
                      <w:bCs/>
                      <w:snapToGrid/>
                      <w:color w:val="auto"/>
                      <w:kern w:val="2"/>
                      <w:sz w:val="21"/>
                      <w:szCs w:val="21"/>
                      <w:highlight w:val="none"/>
                      <w:lang w:val="zh-CN" w:eastAsia="zh-CN" w:bidi="zh-CN"/>
                    </w:rPr>
                    <w:t>在现状基础上得到控制，优良天数比例控制在75%以上。</w:t>
                  </w:r>
                </w:p>
              </w:tc>
              <w:tc>
                <w:tcPr>
                  <w:tcW w:w="1255" w:type="pct"/>
                  <w:tcBorders>
                    <w:tl2br w:val="nil"/>
                    <w:tr2bl w:val="nil"/>
                  </w:tcBorders>
                  <w:vAlign w:val="center"/>
                </w:tcPr>
                <w:p w14:paraId="60833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本项目废气均采取了可行性技术，可达标排放。</w:t>
                  </w:r>
                </w:p>
              </w:tc>
              <w:tc>
                <w:tcPr>
                  <w:tcW w:w="355" w:type="pct"/>
                  <w:tcBorders>
                    <w:tl2br w:val="nil"/>
                    <w:tr2bl w:val="nil"/>
                  </w:tcBorders>
                  <w:vAlign w:val="center"/>
                </w:tcPr>
                <w:p w14:paraId="7A493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4C4563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0B4B7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空间</w:t>
                  </w:r>
                </w:p>
                <w:p w14:paraId="63178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布局</w:t>
                  </w:r>
                </w:p>
                <w:p w14:paraId="2FC47F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约束</w:t>
                  </w:r>
                </w:p>
              </w:tc>
              <w:tc>
                <w:tcPr>
                  <w:tcW w:w="2969" w:type="pct"/>
                  <w:tcBorders>
                    <w:tl2br w:val="nil"/>
                    <w:tr2bl w:val="nil"/>
                  </w:tcBorders>
                  <w:vAlign w:val="center"/>
                </w:tcPr>
                <w:p w14:paraId="375AC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1、严格落实钢铁、水泥、平板玻璃等行业产能置换政策，严禁新增钢铁、焦化、水泥和平板玻璃等产能，禁止新增化工园区。</w:t>
                  </w:r>
                </w:p>
                <w:p w14:paraId="52589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2、严控“两高”产业规模。以钢铁、焦化、水泥、平板玻璃、煤电等行业企业为重点，严格控制新增产能，遏制高耗能、高排放项目盲目发展。持续巩固去产能成果，严格落实产业准入条件，坚决防止反弹。</w:t>
                  </w:r>
                </w:p>
                <w:p w14:paraId="02F8F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3.严格执行质量、环保、能耗、安全等法规标准，加大重点行业低效和过剩产能压减力度，淘汰4.3米焦炉，关停部分1000立方米以下高炉和100吨以下转炉。</w:t>
                  </w:r>
                </w:p>
                <w:p w14:paraId="0C0D8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4.发展壮大“532”市域主导产业，加快新旧动能转换。提升传统优势产业发展能级，完成钢铁产业整合重组，延伸钢铁产业链条，加快建设全国重要精品钢材生产基地，形成“一集群五基地”产业格局。</w:t>
                  </w:r>
                </w:p>
                <w:p w14:paraId="56398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5.严格控制高耗能项目建设，提高市场准入门槛，严格控制新增煤电机组装机规模，审慎发展石油化工等项目。</w:t>
                  </w:r>
                </w:p>
                <w:p w14:paraId="06066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6.严格散煤生产、加工、储运、销售环节监管，“禁煤区”“高污染燃料禁燃区”不得新设散煤经营网点。</w:t>
                  </w:r>
                </w:p>
                <w:p w14:paraId="5C4CE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7.推进煤炭、钢铁、焦化、水泥等大宗货物年运输量150万吨以上的大型工矿企业、大型物流园区以及港口集疏运铁路专用线、管道或封闭管廊等建设。</w:t>
                  </w:r>
                </w:p>
                <w:p w14:paraId="1DC25A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cs="Times New Roman"/>
                      <w:b w:val="0"/>
                      <w:bCs/>
                      <w:snapToGrid/>
                      <w:color w:val="auto"/>
                      <w:kern w:val="2"/>
                      <w:sz w:val="21"/>
                      <w:szCs w:val="21"/>
                      <w:highlight w:val="none"/>
                      <w:lang w:val="en-US"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8.确保“散乱污”企业动态清零。建立“散乱污”企业动态管理机制，定期开展“回头看”，坚决杜绝“散乱污”企业项目建设和已取缔的“散乱污”企业异地转移，死灰复燃。</w:t>
                  </w:r>
                  <w:r>
                    <w:rPr>
                      <w:rFonts w:hint="eastAsia" w:cs="Times New Roman"/>
                      <w:b w:val="0"/>
                      <w:bCs/>
                      <w:snapToGrid/>
                      <w:color w:val="auto"/>
                      <w:kern w:val="2"/>
                      <w:sz w:val="21"/>
                      <w:szCs w:val="21"/>
                      <w:highlight w:val="none"/>
                      <w:lang w:val="en-US" w:eastAsia="zh-CN" w:bidi="zh-CN"/>
                    </w:rPr>
                    <w:t xml:space="preserve"> </w:t>
                  </w:r>
                </w:p>
                <w:p w14:paraId="256D2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9.对30万千瓦及以上热电联产机组覆盖范围内的自备燃煤电厂实施关停整合。</w:t>
                  </w:r>
                </w:p>
                <w:p w14:paraId="4FA77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10.积极参与京津冀协同发展生态环境联建联防联治。聚焦对接服务京津，突出承接疏解合作功能，全力推进京津冀协同发展取得更大成效。强化多领域协同治理和保护，深化区域大气污染协同治理，强化区域生态环境联合执法，深化拓展生态保护补偿机制。</w:t>
                  </w:r>
                </w:p>
                <w:p w14:paraId="2E62E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11.按照统一规划、统一标准、统一监测、统一污染防治措施的要求，落实省内跨区域联防联控机制，强化与周边市联防联控，鼓励县（市、区）积极开展联防联控。落实“省—市—县”重污染天气应对三级预案体系，规范重污染天气预警、启动、响应、解除工作流程，严格执行重点行业企业绩效分级管控措施，加强应急减排清单标准化管理。</w:t>
                  </w:r>
                </w:p>
              </w:tc>
              <w:tc>
                <w:tcPr>
                  <w:tcW w:w="1255" w:type="pct"/>
                  <w:tcBorders>
                    <w:tl2br w:val="nil"/>
                    <w:tr2bl w:val="nil"/>
                  </w:tcBorders>
                  <w:vAlign w:val="center"/>
                </w:tcPr>
                <w:p w14:paraId="314FD4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本项目位于河北魏县经济开发区，不属于钢铁、水泥、平板玻璃等行业</w:t>
                  </w:r>
                  <w:r>
                    <w:rPr>
                      <w:rFonts w:hint="eastAsia" w:cs="Times New Roman"/>
                      <w:b w:val="0"/>
                      <w:bCs/>
                      <w:snapToGrid/>
                      <w:color w:val="auto"/>
                      <w:kern w:val="2"/>
                      <w:sz w:val="21"/>
                      <w:szCs w:val="21"/>
                      <w:highlight w:val="none"/>
                      <w:lang w:val="zh-CN" w:eastAsia="zh-CN" w:bidi="zh-CN"/>
                    </w:rPr>
                    <w:t>。</w:t>
                  </w:r>
                </w:p>
                <w:p w14:paraId="35918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3、本项目严格执行质量、环保、能耗、安全等法规标准要求；</w:t>
                  </w:r>
                </w:p>
                <w:p w14:paraId="2CC7F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4、本项目不涉及。</w:t>
                  </w:r>
                </w:p>
                <w:p w14:paraId="340DB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5、本项目不涉及。</w:t>
                  </w:r>
                </w:p>
                <w:p w14:paraId="1C083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6、本项目不涉及。</w:t>
                  </w:r>
                </w:p>
                <w:p w14:paraId="4E8F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7、本项目不涉及。</w:t>
                  </w:r>
                </w:p>
                <w:p w14:paraId="4EAC1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8、本项目不涉及“散乱污”企业。</w:t>
                  </w:r>
                </w:p>
                <w:p w14:paraId="7A0A1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9、本项目不涉及。</w:t>
                  </w:r>
                </w:p>
                <w:p w14:paraId="3EB71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10、建设单位服从上级部门安排，积极参与京津冀协同发展生态环境联建联防联治，不断深化区域大气污染协同治理。</w:t>
                  </w:r>
                </w:p>
                <w:p w14:paraId="781E5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11、本项目建成后，应及时编制重污染天气应急预案。</w:t>
                  </w:r>
                </w:p>
              </w:tc>
              <w:tc>
                <w:tcPr>
                  <w:tcW w:w="355" w:type="pct"/>
                  <w:tcBorders>
                    <w:tl2br w:val="nil"/>
                    <w:tr2bl w:val="nil"/>
                  </w:tcBorders>
                  <w:vAlign w:val="center"/>
                </w:tcPr>
                <w:p w14:paraId="29053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53581B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513F0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污染物排放</w:t>
                  </w:r>
                </w:p>
              </w:tc>
              <w:tc>
                <w:tcPr>
                  <w:tcW w:w="2969" w:type="pct"/>
                  <w:tcBorders>
                    <w:tl2br w:val="nil"/>
                    <w:tr2bl w:val="nil"/>
                  </w:tcBorders>
                  <w:vAlign w:val="center"/>
                </w:tcPr>
                <w:p w14:paraId="650C5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1.开展重点行业能源消耗、资源效率对标对表行动，推动重点污染企业搬迁入园、改造升级或依法退出。对未按期完成有组织、无组织超低排放改造、超标排放的重点行业企业实施停产整治。</w:t>
                  </w:r>
                </w:p>
                <w:p w14:paraId="48558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2.以钢铁、焦化、水泥、平板玻璃等行业为重点，开展清洁化、循环化、低碳化改造。</w:t>
                  </w:r>
                </w:p>
                <w:p w14:paraId="51C99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3.全面推进燃煤电厂超净排放改造。</w:t>
                  </w:r>
                </w:p>
                <w:p w14:paraId="54583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4.加强焦化、建材(水泥、平板玻璃、陶瓷)等重点行业有组织超低排放监督管理，对物料储存、输送和生产工艺过程等无组织排放情况开展排查，建立清单，实施深度治理。</w:t>
                  </w:r>
                </w:p>
                <w:p w14:paraId="713DF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5.深入开展工业窑炉和锅炉综合治理。全面提升砖瓦、石灰、耐火材料等行业工业窑炉的治污设施处理能力。</w:t>
                  </w:r>
                </w:p>
                <w:p w14:paraId="2D5EB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6.推进消耗臭氧层物质淘汰国际履约工作，建立ODS销售使用清单，完善备案制度，加强含氢氯氟烃流通和消费监管，严格源头准入，加快消耗臭氧层物质替代。</w:t>
                  </w:r>
                </w:p>
                <w:p w14:paraId="449E3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7、强化涉VOCs企业“一厂一策”精细管控，完善源头、过程和末端的VOCs全过程控制体系，推进涉VOCs产业集群配套建设一批有机溶剂集中回收处置中心、活性炭集中处理中心、集中涂装中心。</w:t>
                  </w:r>
                </w:p>
                <w:p w14:paraId="444BB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cs="Times New Roman"/>
                      <w:b w:val="0"/>
                      <w:bCs/>
                      <w:snapToGrid/>
                      <w:color w:val="auto"/>
                      <w:kern w:val="2"/>
                      <w:sz w:val="21"/>
                      <w:szCs w:val="21"/>
                      <w:highlight w:val="none"/>
                      <w:lang w:val="en-US"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8.对涉粉状物料十大行业935家企业开展提升改造专项行动，按照“标杆建设一批、改造提升一批、优化整合一批、淘汰退出一批”的总体要求，统一标准、统一时间表，从生产工艺、产品质量、产能规模、污染治理等方面提出具体治理任务，确保无组织排放得到全面控制。</w:t>
                  </w:r>
                  <w:r>
                    <w:rPr>
                      <w:rFonts w:hint="eastAsia" w:cs="Times New Roman"/>
                      <w:b w:val="0"/>
                      <w:bCs/>
                      <w:snapToGrid/>
                      <w:color w:val="auto"/>
                      <w:kern w:val="2"/>
                      <w:sz w:val="21"/>
                      <w:szCs w:val="21"/>
                      <w:highlight w:val="none"/>
                      <w:lang w:val="en-US" w:eastAsia="zh-CN" w:bidi="zh-CN"/>
                    </w:rPr>
                    <w:t xml:space="preserve"> </w:t>
                  </w:r>
                </w:p>
                <w:p w14:paraId="17358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9、严控建筑工地、裸土裸地、公路、城市和县乡(镇)道路扬尘，实行“以克论净”和尘负荷考核。逐年提高城镇绿化率和全市林木覆盖率。</w:t>
                  </w:r>
                </w:p>
                <w:p w14:paraId="341E0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left"/>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10.对市主城区235块裸土裸地和270块春白地实施硬化和绿化，确保动态清零。2021年底，在完成112处露天矿山修复的基础上，再完成26处露天矿山修复。重点行业107家企业有组织和无组织排放稳定实现超低排放，实现超低新常态。六个行业450家企业稳定达到“邯郸限值”。</w:t>
                  </w:r>
                </w:p>
                <w:p w14:paraId="6D599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11.严控露天烧烤及秸秆焚烧污染。</w:t>
                  </w:r>
                </w:p>
                <w:p w14:paraId="663BD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12.实施农业氨排放削减。2021年，在全市推广氨排放控制措施，完成210万亩农田推广应用，有效降低氨对PM2.5的影响。</w:t>
                  </w:r>
                </w:p>
                <w:p w14:paraId="4301C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13.完善能源消耗总量和强度调控，重点控制化石能源消费，逐步转向碳排放总量和强度“双控”制度。严格执行污染物排放总量控制，加强节能审查事中事后监管。深化排污权交易改革，构建排污权政府储备。建立生态产品价值实现机制。优化生态保护补偿政策。深化生态环境领域“放管服”改革，推进环境影响评价审批和监督执法“两个正面清单”制度化、规范化。</w:t>
                  </w:r>
                </w:p>
              </w:tc>
              <w:tc>
                <w:tcPr>
                  <w:tcW w:w="1255" w:type="pct"/>
                  <w:tcBorders>
                    <w:tl2br w:val="nil"/>
                    <w:tr2bl w:val="nil"/>
                  </w:tcBorders>
                  <w:vAlign w:val="center"/>
                </w:tcPr>
                <w:p w14:paraId="184A0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本项目位于省级园区。</w:t>
                  </w:r>
                </w:p>
                <w:p w14:paraId="1D197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2E851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7C129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本项目物料全部密闭储存。</w:t>
                  </w:r>
                </w:p>
                <w:p w14:paraId="5E10F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5、本项目采用天然气清洁能源，经排气筒排放。</w:t>
                  </w:r>
                </w:p>
                <w:p w14:paraId="060D7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6</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618F6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项目所在园区尚未配套建设有机溶剂集中回收处置中心；本项目建成后，应及时编制“一厂一策”方案。</w:t>
                  </w:r>
                </w:p>
                <w:p w14:paraId="5A3C0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8</w:t>
                  </w:r>
                  <w:r>
                    <w:rPr>
                      <w:rFonts w:hint="eastAsia" w:cs="Times New Roman"/>
                      <w:b w:val="0"/>
                      <w:bCs/>
                      <w:snapToGrid/>
                      <w:color w:val="auto"/>
                      <w:kern w:val="2"/>
                      <w:sz w:val="21"/>
                      <w:szCs w:val="21"/>
                      <w:highlight w:val="none"/>
                      <w:lang w:val="en-US" w:eastAsia="zh-CN" w:bidi="zh-CN"/>
                    </w:rPr>
                    <w:t>.</w:t>
                  </w:r>
                  <w:r>
                    <w:rPr>
                      <w:rFonts w:hint="eastAsia" w:ascii="Times New Roman" w:hAnsi="Times New Roman" w:eastAsia="宋体" w:cs="Times New Roman"/>
                      <w:b w:val="0"/>
                      <w:bCs/>
                      <w:snapToGrid/>
                      <w:color w:val="auto"/>
                      <w:kern w:val="2"/>
                      <w:sz w:val="21"/>
                      <w:szCs w:val="21"/>
                      <w:highlight w:val="none"/>
                      <w:lang w:val="zh-CN" w:eastAsia="zh-CN" w:bidi="zh-CN"/>
                    </w:rPr>
                    <w:t>本项目不涉及</w:t>
                  </w:r>
                  <w:r>
                    <w:rPr>
                      <w:rFonts w:hint="default" w:ascii="Times New Roman" w:hAnsi="Times New Roman" w:eastAsia="宋体" w:cs="Times New Roman"/>
                      <w:b w:val="0"/>
                      <w:bCs/>
                      <w:snapToGrid/>
                      <w:color w:val="auto"/>
                      <w:kern w:val="2"/>
                      <w:sz w:val="21"/>
                      <w:szCs w:val="21"/>
                      <w:highlight w:val="none"/>
                      <w:lang w:val="zh-CN" w:eastAsia="zh-CN" w:bidi="zh-CN"/>
                    </w:rPr>
                    <w:t>。</w:t>
                  </w:r>
                </w:p>
                <w:p w14:paraId="2F8BE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9</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本报告要求了施工期扬尘治理。</w:t>
                  </w:r>
                </w:p>
                <w:p w14:paraId="6C793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10</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1C11E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626964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12</w:t>
                  </w:r>
                  <w:r>
                    <w:rPr>
                      <w:rFonts w:hint="eastAsia" w:cs="Times New Roman"/>
                      <w:b w:val="0"/>
                      <w:bCs/>
                      <w:snapToGrid/>
                      <w:color w:val="auto"/>
                      <w:kern w:val="2"/>
                      <w:sz w:val="21"/>
                      <w:szCs w:val="21"/>
                      <w:highlight w:val="none"/>
                      <w:lang w:val="en-US" w:eastAsia="zh-CN" w:bidi="zh-CN"/>
                    </w:rPr>
                    <w:t>.</w:t>
                  </w:r>
                  <w:r>
                    <w:rPr>
                      <w:rFonts w:hint="eastAsia" w:ascii="Times New Roman" w:hAnsi="Times New Roman" w:eastAsia="宋体" w:cs="Times New Roman"/>
                      <w:b w:val="0"/>
                      <w:bCs/>
                      <w:snapToGrid/>
                      <w:color w:val="auto"/>
                      <w:kern w:val="2"/>
                      <w:sz w:val="21"/>
                      <w:szCs w:val="21"/>
                      <w:highlight w:val="none"/>
                      <w:lang w:val="zh-CN" w:eastAsia="zh-CN" w:bidi="zh-CN"/>
                    </w:rPr>
                    <w:t>本项目不涉及</w:t>
                  </w:r>
                  <w:r>
                    <w:rPr>
                      <w:rFonts w:hint="default" w:ascii="Times New Roman" w:hAnsi="Times New Roman" w:eastAsia="宋体" w:cs="Times New Roman"/>
                      <w:b w:val="0"/>
                      <w:bCs/>
                      <w:snapToGrid/>
                      <w:color w:val="auto"/>
                      <w:kern w:val="2"/>
                      <w:sz w:val="21"/>
                      <w:szCs w:val="21"/>
                      <w:highlight w:val="none"/>
                      <w:lang w:val="zh-CN" w:eastAsia="zh-CN" w:bidi="zh-CN"/>
                    </w:rPr>
                    <w:t>。</w:t>
                  </w:r>
                </w:p>
                <w:p w14:paraId="18F52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本项目严格执行污染物排放总量控制。</w:t>
                  </w:r>
                </w:p>
              </w:tc>
              <w:tc>
                <w:tcPr>
                  <w:tcW w:w="355" w:type="pct"/>
                  <w:tcBorders>
                    <w:tl2br w:val="nil"/>
                    <w:tr2bl w:val="nil"/>
                  </w:tcBorders>
                  <w:vAlign w:val="center"/>
                </w:tcPr>
                <w:p w14:paraId="0101B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eastAsia" w:ascii="Times New Roman" w:hAnsi="Times New Roman" w:eastAsia="宋体" w:cs="Times New Roman"/>
                      <w:b w:val="0"/>
                      <w:bCs/>
                      <w:snapToGrid/>
                      <w:color w:val="auto"/>
                      <w:kern w:val="2"/>
                      <w:sz w:val="21"/>
                      <w:szCs w:val="21"/>
                      <w:highlight w:val="none"/>
                      <w:lang w:val="zh-CN" w:eastAsia="zh-CN" w:bidi="zh-CN"/>
                    </w:rPr>
                    <w:t>符合</w:t>
                  </w:r>
                </w:p>
              </w:tc>
            </w:tr>
            <w:tr w14:paraId="2C4B77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05CDD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环境</w:t>
                  </w:r>
                </w:p>
                <w:p w14:paraId="42ED0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风险</w:t>
                  </w:r>
                </w:p>
                <w:p w14:paraId="47804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防控</w:t>
                  </w:r>
                </w:p>
              </w:tc>
              <w:tc>
                <w:tcPr>
                  <w:tcW w:w="2969" w:type="pct"/>
                  <w:tcBorders>
                    <w:tl2br w:val="nil"/>
                    <w:tr2bl w:val="nil"/>
                  </w:tcBorders>
                  <w:vAlign w:val="center"/>
                </w:tcPr>
                <w:p w14:paraId="56779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eastAsia" w:cs="Times New Roman"/>
                      <w:b w:val="0"/>
                      <w:bCs/>
                      <w:snapToGrid/>
                      <w:color w:val="auto"/>
                      <w:kern w:val="2"/>
                      <w:sz w:val="21"/>
                      <w:szCs w:val="21"/>
                      <w:highlight w:val="none"/>
                      <w:lang w:val="en-US" w:eastAsia="zh-CN" w:bidi="zh-CN"/>
                    </w:rPr>
                    <w:t xml:space="preserve">    </w:t>
                  </w:r>
                  <w:r>
                    <w:rPr>
                      <w:rFonts w:hint="default" w:ascii="Times New Roman" w:hAnsi="Times New Roman" w:eastAsia="宋体" w:cs="Times New Roman"/>
                      <w:b w:val="0"/>
                      <w:bCs/>
                      <w:snapToGrid/>
                      <w:color w:val="auto"/>
                      <w:spacing w:val="-6"/>
                      <w:kern w:val="2"/>
                      <w:sz w:val="21"/>
                      <w:szCs w:val="21"/>
                      <w:highlight w:val="none"/>
                      <w:lang w:val="zh-CN" w:eastAsia="zh-CN" w:bidi="zh-CN"/>
                    </w:rPr>
                    <w:t>建立完善省、市环境空气质量预报预警体系建设，推进大气污染物时空分布及传输规律研究，提高预警信息前瞻性和准确率，提前72小时发布重污染天气预警信息，指导企业调整生产计划，有效落实应急减排措施，最大程度减轻重污染天气应急响应对企业生产造成的影响。</w:t>
                  </w:r>
                </w:p>
              </w:tc>
              <w:tc>
                <w:tcPr>
                  <w:tcW w:w="1255" w:type="pct"/>
                  <w:tcBorders>
                    <w:tl2br w:val="nil"/>
                    <w:tr2bl w:val="nil"/>
                  </w:tcBorders>
                  <w:vAlign w:val="center"/>
                </w:tcPr>
                <w:p w14:paraId="2C7DE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本项目建成后应及时制定重污染天气应急响应方案</w:t>
                  </w:r>
                </w:p>
              </w:tc>
              <w:tc>
                <w:tcPr>
                  <w:tcW w:w="355" w:type="pct"/>
                  <w:tcBorders>
                    <w:tl2br w:val="nil"/>
                    <w:tr2bl w:val="nil"/>
                  </w:tcBorders>
                  <w:vAlign w:val="center"/>
                </w:tcPr>
                <w:p w14:paraId="64AE6D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159D98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52278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资源</w:t>
                  </w:r>
                </w:p>
                <w:p w14:paraId="5C00E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开发</w:t>
                  </w:r>
                </w:p>
                <w:p w14:paraId="509B6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利用</w:t>
                  </w:r>
                </w:p>
              </w:tc>
              <w:tc>
                <w:tcPr>
                  <w:tcW w:w="2969" w:type="pct"/>
                  <w:tcBorders>
                    <w:tl2br w:val="nil"/>
                    <w:tr2bl w:val="nil"/>
                  </w:tcBorders>
                  <w:vAlign w:val="center"/>
                </w:tcPr>
                <w:p w14:paraId="4899E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1.新上涉气建设项目绩效评价达到B级及以上水平。</w:t>
                  </w:r>
                </w:p>
                <w:p w14:paraId="7D47F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2.严格控制煤炭消费总量。对新增耗煤项目实施等(减)量替代。实施工业企业精准减煤工程，对钢铁、焦化、电力等用煤大户通过技改和加强管理降低能耗。</w:t>
                  </w:r>
                </w:p>
                <w:p w14:paraId="273D4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3.重点推进秸秆机械化直接还田、秸秆饲料化利用、秸秆燃料化利用、秸秆基料化利用、秸秆发电及工业原料化利用和秸秆收储运体系建设。</w:t>
                  </w:r>
                </w:p>
                <w:p w14:paraId="28376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4.推进畜禽粪污综合利用，规模化畜禽养殖场全部建成粪污治理设施。</w:t>
                  </w:r>
                </w:p>
                <w:p w14:paraId="2D11B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5.严格散煤生产、加工、储运、销售环节监管，“禁煤区”“高污染燃料禁燃区”不得新设散煤经营网点。加强散煤质量抽检，散煤销售网点和燃煤使用单位的抽检覆盖率达到100%。</w:t>
                  </w:r>
                </w:p>
              </w:tc>
              <w:tc>
                <w:tcPr>
                  <w:tcW w:w="1255" w:type="pct"/>
                  <w:tcBorders>
                    <w:tl2br w:val="nil"/>
                    <w:tr2bl w:val="nil"/>
                  </w:tcBorders>
                  <w:vAlign w:val="center"/>
                </w:tcPr>
                <w:p w14:paraId="394F8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本项目达到B级及以上水平。</w:t>
                  </w:r>
                </w:p>
                <w:p w14:paraId="53C02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本项目不新增煤炭消费量。</w:t>
                  </w:r>
                </w:p>
                <w:p w14:paraId="1C61A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本项目不涉及秸秆资源。</w:t>
                  </w:r>
                </w:p>
                <w:p w14:paraId="36195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67CD64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6E448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0494FA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25089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管控</w:t>
                  </w:r>
                </w:p>
                <w:p w14:paraId="76DA9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维度</w:t>
                  </w:r>
                </w:p>
              </w:tc>
              <w:tc>
                <w:tcPr>
                  <w:tcW w:w="2969" w:type="pct"/>
                  <w:tcBorders>
                    <w:tl2br w:val="nil"/>
                    <w:tr2bl w:val="nil"/>
                  </w:tcBorders>
                  <w:vAlign w:val="center"/>
                </w:tcPr>
                <w:p w14:paraId="1630A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全市水环境总体管控要求</w:t>
                  </w:r>
                </w:p>
              </w:tc>
              <w:tc>
                <w:tcPr>
                  <w:tcW w:w="1255" w:type="pct"/>
                  <w:tcBorders>
                    <w:tl2br w:val="nil"/>
                    <w:tr2bl w:val="nil"/>
                  </w:tcBorders>
                  <w:vAlign w:val="center"/>
                </w:tcPr>
                <w:p w14:paraId="36D3D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本项目</w:t>
                  </w:r>
                </w:p>
              </w:tc>
              <w:tc>
                <w:tcPr>
                  <w:tcW w:w="355" w:type="pct"/>
                  <w:tcBorders>
                    <w:tl2br w:val="nil"/>
                    <w:tr2bl w:val="nil"/>
                  </w:tcBorders>
                  <w:vAlign w:val="center"/>
                </w:tcPr>
                <w:p w14:paraId="3C92B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spacing w:val="-20"/>
                      <w:kern w:val="2"/>
                      <w:sz w:val="21"/>
                      <w:szCs w:val="21"/>
                      <w:highlight w:val="none"/>
                      <w:lang w:val="zh-CN" w:eastAsia="zh-CN" w:bidi="zh-CN"/>
                    </w:rPr>
                    <w:t>符合性</w:t>
                  </w:r>
                </w:p>
              </w:tc>
            </w:tr>
            <w:tr w14:paraId="5F5304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3D341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污染物防控目标</w:t>
                  </w:r>
                </w:p>
              </w:tc>
              <w:tc>
                <w:tcPr>
                  <w:tcW w:w="2969" w:type="pct"/>
                  <w:tcBorders>
                    <w:tl2br w:val="nil"/>
                    <w:tr2bl w:val="nil"/>
                  </w:tcBorders>
                  <w:vAlign w:val="center"/>
                </w:tcPr>
                <w:p w14:paraId="0DBD5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2025年地表水Ⅲ类及以上水体断面比例达到27%以上，劣V类水体基本消除；2035年全面消除劣V类水质。</w:t>
                  </w:r>
                </w:p>
              </w:tc>
              <w:tc>
                <w:tcPr>
                  <w:tcW w:w="1255" w:type="pct"/>
                  <w:tcBorders>
                    <w:tl2br w:val="nil"/>
                    <w:tr2bl w:val="nil"/>
                  </w:tcBorders>
                  <w:vAlign w:val="center"/>
                </w:tcPr>
                <w:p w14:paraId="69E590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eastAsia" w:cs="Times New Roman"/>
                      <w:b w:val="0"/>
                      <w:bCs/>
                      <w:snapToGrid/>
                      <w:color w:val="auto"/>
                      <w:kern w:val="2"/>
                      <w:sz w:val="21"/>
                      <w:szCs w:val="21"/>
                      <w:highlight w:val="none"/>
                      <w:lang w:val="en-US" w:eastAsia="zh-CN" w:bidi="zh-CN"/>
                    </w:rPr>
                    <w:t xml:space="preserve">    </w:t>
                  </w:r>
                  <w:r>
                    <w:rPr>
                      <w:rFonts w:hint="default" w:ascii="Times New Roman" w:hAnsi="Times New Roman" w:eastAsia="宋体" w:cs="Times New Roman"/>
                      <w:b w:val="0"/>
                      <w:bCs/>
                      <w:snapToGrid/>
                      <w:color w:val="auto"/>
                      <w:kern w:val="2"/>
                      <w:sz w:val="21"/>
                      <w:szCs w:val="21"/>
                      <w:highlight w:val="none"/>
                      <w:lang w:val="zh-CN" w:eastAsia="zh-CN" w:bidi="zh-CN"/>
                    </w:rPr>
                    <w:t>项目</w:t>
                  </w:r>
                  <w:r>
                    <w:rPr>
                      <w:rFonts w:hint="eastAsia" w:cs="Times New Roman"/>
                      <w:b w:val="0"/>
                      <w:bCs/>
                      <w:snapToGrid/>
                      <w:color w:val="auto"/>
                      <w:kern w:val="2"/>
                      <w:sz w:val="21"/>
                      <w:szCs w:val="21"/>
                      <w:highlight w:val="none"/>
                      <w:lang w:val="zh-CN" w:eastAsia="zh-CN" w:bidi="zh-CN"/>
                    </w:rPr>
                    <w:t>不直接排入地表</w:t>
                  </w:r>
                  <w:r>
                    <w:rPr>
                      <w:rFonts w:hint="default" w:ascii="Times New Roman" w:hAnsi="Times New Roman" w:eastAsia="宋体" w:cs="Times New Roman"/>
                      <w:b w:val="0"/>
                      <w:bCs/>
                      <w:snapToGrid/>
                      <w:color w:val="auto"/>
                      <w:kern w:val="2"/>
                      <w:sz w:val="21"/>
                      <w:szCs w:val="21"/>
                      <w:highlight w:val="none"/>
                      <w:lang w:val="zh-CN" w:eastAsia="zh-CN" w:bidi="zh-CN"/>
                    </w:rPr>
                    <w:t>水体</w:t>
                  </w:r>
                  <w:r>
                    <w:rPr>
                      <w:rFonts w:hint="eastAsia" w:cs="Times New Roman"/>
                      <w:b w:val="0"/>
                      <w:bCs/>
                      <w:snapToGrid/>
                      <w:color w:val="auto"/>
                      <w:kern w:val="2"/>
                      <w:sz w:val="21"/>
                      <w:szCs w:val="21"/>
                      <w:highlight w:val="none"/>
                      <w:lang w:val="zh-CN" w:eastAsia="zh-CN" w:bidi="zh-CN"/>
                    </w:rPr>
                    <w:t>，周边地表水</w:t>
                  </w:r>
                  <w:r>
                    <w:rPr>
                      <w:rFonts w:hint="default" w:ascii="Times New Roman" w:hAnsi="Times New Roman" w:eastAsia="宋体" w:cs="Times New Roman"/>
                      <w:b w:val="0"/>
                      <w:bCs/>
                      <w:snapToGrid/>
                      <w:color w:val="auto"/>
                      <w:kern w:val="2"/>
                      <w:sz w:val="21"/>
                      <w:szCs w:val="21"/>
                      <w:highlight w:val="none"/>
                      <w:lang w:val="zh-CN" w:eastAsia="zh-CN" w:bidi="zh-CN"/>
                    </w:rPr>
                    <w:t>东风渠水质目标为Ⅲ类，</w:t>
                  </w:r>
                  <w:r>
                    <w:rPr>
                      <w:rFonts w:hint="eastAsia" w:ascii="Times New Roman" w:hAnsi="Times New Roman" w:eastAsia="宋体" w:cs="Times New Roman"/>
                      <w:b w:val="0"/>
                      <w:bCs/>
                      <w:snapToGrid/>
                      <w:color w:val="auto"/>
                      <w:kern w:val="2"/>
                      <w:sz w:val="21"/>
                      <w:szCs w:val="21"/>
                      <w:highlight w:val="none"/>
                      <w:lang w:val="zh-CN" w:eastAsia="zh-CN" w:bidi="zh-CN"/>
                    </w:rPr>
                    <w:t>魏大馆排水渠</w:t>
                  </w:r>
                  <w:r>
                    <w:rPr>
                      <w:rFonts w:hint="default" w:ascii="Times New Roman" w:hAnsi="Times New Roman" w:eastAsia="宋体" w:cs="Times New Roman"/>
                      <w:b w:val="0"/>
                      <w:bCs/>
                      <w:snapToGrid/>
                      <w:color w:val="auto"/>
                      <w:kern w:val="2"/>
                      <w:sz w:val="21"/>
                      <w:szCs w:val="21"/>
                      <w:highlight w:val="none"/>
                      <w:lang w:val="zh-CN" w:eastAsia="zh-CN" w:bidi="zh-CN"/>
                    </w:rPr>
                    <w:t>为排沥河道</w:t>
                  </w:r>
                  <w:r>
                    <w:rPr>
                      <w:rFonts w:hint="eastAsia" w:cs="Times New Roman"/>
                      <w:b w:val="0"/>
                      <w:bCs/>
                      <w:snapToGrid/>
                      <w:color w:val="auto"/>
                      <w:kern w:val="2"/>
                      <w:sz w:val="21"/>
                      <w:szCs w:val="21"/>
                      <w:highlight w:val="none"/>
                      <w:lang w:val="zh-CN" w:eastAsia="zh-CN" w:bidi="zh-CN"/>
                    </w:rPr>
                    <w:t>。</w:t>
                  </w:r>
                </w:p>
              </w:tc>
              <w:tc>
                <w:tcPr>
                  <w:tcW w:w="355" w:type="pct"/>
                  <w:tcBorders>
                    <w:tl2br w:val="nil"/>
                    <w:tr2bl w:val="nil"/>
                  </w:tcBorders>
                  <w:vAlign w:val="center"/>
                </w:tcPr>
                <w:p w14:paraId="24E56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3DB956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53719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空间</w:t>
                  </w:r>
                </w:p>
                <w:p w14:paraId="5D127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布局</w:t>
                  </w:r>
                </w:p>
              </w:tc>
              <w:tc>
                <w:tcPr>
                  <w:tcW w:w="2969" w:type="pct"/>
                  <w:tcBorders>
                    <w:tl2br w:val="nil"/>
                    <w:tr2bl w:val="nil"/>
                  </w:tcBorders>
                  <w:vAlign w:val="center"/>
                </w:tcPr>
                <w:p w14:paraId="3B33B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1.强化饮用水水源保护。建立县级及以上集中式饮用水水源清单，明确水质目标，实行达标管理。</w:t>
                  </w:r>
                </w:p>
                <w:p w14:paraId="32EC4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2、开展水环境承载力评价。推进美丽河湖保护与建设，发挥引领示范作用。</w:t>
                  </w:r>
                </w:p>
                <w:p w14:paraId="57917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3、保护河湖生态空间。落实生态保护红线制度。禁止侵占自然湿地等水源涵养生态空间，已侵占的全部予以恢复。</w:t>
                  </w:r>
                </w:p>
                <w:p w14:paraId="1A1B2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4、严格水域岸线用途管制和土地开发利用。新建项目应按照有关法律法规和技术标准要求，留足河道、湖泊、水库岸边地带的管理和保护范围。</w:t>
                  </w:r>
                </w:p>
                <w:p w14:paraId="40606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子牙河水系、漳卫南水系、黑龙港水系和徒骇马颊河水系干流沿岸以及岳城水库水源地、羊角铺地下水水源地等重要饮用水源地补给区，严格控制化学原料和化学制品制造、医药制造、制革、造纸、焦化、化学纤维制造、石油加工、纺织印染等项目，合理布局生产装置及危险化学品仓储等设施。</w:t>
                  </w:r>
                </w:p>
                <w:p w14:paraId="2C8CB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6.优化养殖产业空间布局。以饮用水水源、水质较好湖库、国家级湿地（公园）等环境敏感区域为重点，科学划定养殖区，明确适养、限养和禁养区。全面清理禁养区相关养殖项目，严防反弹。</w:t>
                  </w:r>
                </w:p>
                <w:p w14:paraId="0984A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在跃峰渠工程管理范围内从事工程建设活动的，建设单位或个人应当将工程建设方案报送市水行政主管部门审查同意后，方可按照基本建设程序履行审批手续。市水行政主管部门依法对施工进行监督。穿、跨、临渠的桥梁、道路、管道、缆线、取水、排水、监测等工程设施的建设单位、产权单位或者使用单位，应当对设施进行日常检查和维护，保证其正常运行，发现危害渠道安全、妨碍渠水畅通等情况的，应当及时进行整改、消除安全隐患。</w:t>
                  </w:r>
                </w:p>
              </w:tc>
              <w:tc>
                <w:tcPr>
                  <w:tcW w:w="1255" w:type="pct"/>
                  <w:tcBorders>
                    <w:tl2br w:val="nil"/>
                    <w:tr2bl w:val="nil"/>
                  </w:tcBorders>
                  <w:vAlign w:val="center"/>
                </w:tcPr>
                <w:p w14:paraId="583B7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eastAsia" w:cs="Times New Roman"/>
                      <w:b w:val="0"/>
                      <w:bCs/>
                      <w:snapToGrid/>
                      <w:color w:val="auto"/>
                      <w:kern w:val="2"/>
                      <w:sz w:val="21"/>
                      <w:szCs w:val="21"/>
                      <w:highlight w:val="none"/>
                      <w:lang w:val="zh-CN" w:eastAsia="zh-CN" w:bidi="zh-CN"/>
                    </w:rPr>
                    <w:t>本项目不涉及。</w:t>
                  </w:r>
                </w:p>
                <w:p w14:paraId="3F8EA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eastAsia" w:cs="Times New Roman"/>
                      <w:color w:val="auto"/>
                      <w:kern w:val="0"/>
                      <w:szCs w:val="21"/>
                      <w:highlight w:val="none"/>
                      <w:lang w:val="en-US" w:eastAsia="zh-CN"/>
                    </w:rPr>
                    <w:t>本项目生产废水经厂区污水处理站处理后达到《污水综合排放标准》（GB8978-1996）表4三级标准，同时满足魏县经济开发区污水处理有限公司进水水质要求后，排入魏县经济开发区污水处理有限公司深度处理，生活废水经化粪池处理后，排入魏县经济开发区污水处理有限公司</w:t>
                  </w:r>
                  <w:r>
                    <w:rPr>
                      <w:rFonts w:hint="eastAsia" w:ascii="Times New Roman" w:hAnsi="Times New Roman" w:eastAsia="宋体" w:cs="Times New Roman"/>
                      <w:b w:val="0"/>
                      <w:bCs/>
                      <w:snapToGrid/>
                      <w:color w:val="auto"/>
                      <w:kern w:val="2"/>
                      <w:sz w:val="21"/>
                      <w:szCs w:val="21"/>
                      <w:highlight w:val="none"/>
                      <w:lang w:val="zh-CN" w:eastAsia="zh-CN" w:bidi="zh-CN"/>
                    </w:rPr>
                    <w:t>。</w:t>
                  </w:r>
                </w:p>
                <w:p w14:paraId="044CC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本项目不涉及生态红线、河湖生态空间</w:t>
                  </w:r>
                </w:p>
                <w:p w14:paraId="7BA88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eastAsia"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4</w:t>
                  </w:r>
                  <w:r>
                    <w:rPr>
                      <w:rFonts w:hint="eastAsia" w:cs="Times New Roman"/>
                      <w:b w:val="0"/>
                      <w:bCs/>
                      <w:snapToGrid/>
                      <w:color w:val="auto"/>
                      <w:spacing w:val="-6"/>
                      <w:kern w:val="2"/>
                      <w:sz w:val="21"/>
                      <w:szCs w:val="21"/>
                      <w:highlight w:val="none"/>
                      <w:lang w:val="en-US" w:eastAsia="zh-CN" w:bidi="zh-CN"/>
                    </w:rPr>
                    <w:t>.</w:t>
                  </w:r>
                  <w:r>
                    <w:rPr>
                      <w:rFonts w:hint="eastAsia" w:cs="Times New Roman"/>
                      <w:color w:val="auto"/>
                      <w:spacing w:val="-6"/>
                      <w:kern w:val="0"/>
                      <w:sz w:val="21"/>
                      <w:szCs w:val="21"/>
                      <w:highlight w:val="none"/>
                      <w:lang w:val="en-US" w:eastAsia="zh-CN"/>
                    </w:rPr>
                    <w:t>本项目生产废水经厂区污水处理站处理后达到《污水综合排放标准》（GB8978-1996）表4三级标准，同时满足魏县经济开发区污水处理有限公司进水水质要求后排入魏县经济开发区污水处理有限公司深度处理，生活废水经化粪池处理后排入魏县经济开发区污水处理有限公司</w:t>
                  </w:r>
                  <w:r>
                    <w:rPr>
                      <w:rFonts w:hint="eastAsia" w:ascii="Times New Roman" w:hAnsi="Times New Roman" w:eastAsia="宋体" w:cs="Times New Roman"/>
                      <w:b w:val="0"/>
                      <w:bCs/>
                      <w:snapToGrid/>
                      <w:color w:val="auto"/>
                      <w:spacing w:val="-6"/>
                      <w:kern w:val="2"/>
                      <w:sz w:val="21"/>
                      <w:szCs w:val="21"/>
                      <w:highlight w:val="none"/>
                      <w:lang w:val="zh-CN" w:eastAsia="zh-CN" w:bidi="zh-CN"/>
                    </w:rPr>
                    <w:t>。</w:t>
                  </w:r>
                </w:p>
                <w:p w14:paraId="5C8DE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本项目不涉及南水北调、岳城水库、羊角铺等重要饮用水水源保护区和补给区。</w:t>
                  </w:r>
                </w:p>
                <w:p w14:paraId="26D56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6</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2BB7A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34289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742578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2102E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污染物排放</w:t>
                  </w:r>
                </w:p>
              </w:tc>
              <w:tc>
                <w:tcPr>
                  <w:tcW w:w="2969" w:type="pct"/>
                  <w:tcBorders>
                    <w:tl2br w:val="nil"/>
                    <w:tr2bl w:val="nil"/>
                  </w:tcBorders>
                  <w:vAlign w:val="center"/>
                </w:tcPr>
                <w:p w14:paraId="40E64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eastAsia" w:cs="Times New Roman"/>
                      <w:b w:val="0"/>
                      <w:bCs/>
                      <w:snapToGrid/>
                      <w:color w:val="auto"/>
                      <w:kern w:val="2"/>
                      <w:sz w:val="21"/>
                      <w:szCs w:val="21"/>
                      <w:highlight w:val="none"/>
                      <w:lang w:val="en-US" w:eastAsia="zh-CN" w:bidi="zh-CN"/>
                    </w:rPr>
                    <w:t xml:space="preserve">    </w:t>
                  </w:r>
                  <w:r>
                    <w:rPr>
                      <w:rFonts w:hint="default" w:ascii="Times New Roman" w:hAnsi="Times New Roman" w:eastAsia="宋体" w:cs="Times New Roman"/>
                      <w:b w:val="0"/>
                      <w:bCs/>
                      <w:snapToGrid/>
                      <w:color w:val="auto"/>
                      <w:kern w:val="2"/>
                      <w:sz w:val="21"/>
                      <w:szCs w:val="21"/>
                      <w:highlight w:val="none"/>
                      <w:lang w:val="zh-CN" w:eastAsia="zh-CN" w:bidi="zh-CN"/>
                    </w:rPr>
                    <w:t>1.严查非法排污行为，压实地方政府属地责任，建立健全长效监管机制，促进国考重要水功能区稳定达标。</w:t>
                  </w:r>
                </w:p>
                <w:p w14:paraId="76405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2.加快老旧城区、城中村和城乡接合部</w:t>
                  </w:r>
                  <w:r>
                    <w:rPr>
                      <w:rFonts w:hint="eastAsia" w:cs="Times New Roman"/>
                      <w:b w:val="0"/>
                      <w:bCs/>
                      <w:snapToGrid/>
                      <w:color w:val="auto"/>
                      <w:kern w:val="2"/>
                      <w:sz w:val="21"/>
                      <w:szCs w:val="21"/>
                      <w:highlight w:val="none"/>
                      <w:lang w:val="zh-CN" w:eastAsia="zh-CN" w:bidi="zh-CN"/>
                    </w:rPr>
                    <w:t>生活废水</w:t>
                  </w:r>
                  <w:r>
                    <w:rPr>
                      <w:rFonts w:hint="default" w:ascii="Times New Roman" w:hAnsi="Times New Roman" w:eastAsia="宋体" w:cs="Times New Roman"/>
                      <w:b w:val="0"/>
                      <w:bCs/>
                      <w:snapToGrid/>
                      <w:color w:val="auto"/>
                      <w:kern w:val="2"/>
                      <w:sz w:val="21"/>
                      <w:szCs w:val="21"/>
                      <w:highlight w:val="none"/>
                      <w:lang w:val="zh-CN" w:eastAsia="zh-CN" w:bidi="zh-CN"/>
                    </w:rPr>
                    <w:t>收集设施建设，提升城市</w:t>
                  </w:r>
                  <w:r>
                    <w:rPr>
                      <w:rFonts w:hint="eastAsia" w:cs="Times New Roman"/>
                      <w:b w:val="0"/>
                      <w:bCs/>
                      <w:snapToGrid/>
                      <w:color w:val="auto"/>
                      <w:kern w:val="2"/>
                      <w:sz w:val="21"/>
                      <w:szCs w:val="21"/>
                      <w:highlight w:val="none"/>
                      <w:lang w:val="zh-CN" w:eastAsia="zh-CN" w:bidi="zh-CN"/>
                    </w:rPr>
                    <w:t>生活废水</w:t>
                  </w:r>
                  <w:r>
                    <w:rPr>
                      <w:rFonts w:hint="default" w:ascii="Times New Roman" w:hAnsi="Times New Roman" w:eastAsia="宋体" w:cs="Times New Roman"/>
                      <w:b w:val="0"/>
                      <w:bCs/>
                      <w:snapToGrid/>
                      <w:color w:val="auto"/>
                      <w:kern w:val="2"/>
                      <w:sz w:val="21"/>
                      <w:szCs w:val="21"/>
                      <w:highlight w:val="none"/>
                      <w:lang w:val="zh-CN" w:eastAsia="zh-CN" w:bidi="zh-CN"/>
                    </w:rPr>
                    <w:t>集中收集效能。加快乡镇级污水处理厂建设，补齐污水处理能力短板。</w:t>
                  </w:r>
                </w:p>
                <w:p w14:paraId="4FAB1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3.严格排水许可监管，杜绝雨污混接错接，遏制雨水管网违法排污。加强雨水管网运行维护，定期清疏管道污泥。</w:t>
                  </w:r>
                </w:p>
                <w:p w14:paraId="7E00A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河流两岸现有的林地、草地、滩地应维持原状，不得开发占用；缓冲带内的现有农田不得施加化肥和农药；缓冲带内的现有违法违章建筑应依法依规由政府组织清除。生态缓冲带应按照“守、退、补”的原则严格保护，控制岸线开发强度。</w:t>
                  </w:r>
                </w:p>
                <w:p w14:paraId="12F34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5、针对性推进“散乱污”企业整治、工业全面达标排放计划、工业集聚区（省级以上经济技术开发区、高新技术产业开发区以及省级以下各类工业集聚区）水污染治理、城镇污水处理基础设施建设、畜禽养殖废弃物资源化综合利用、化肥和农药使用量零增长、农村人居环境整治和河湖内源治理等工程措施，确保污染负荷大幅度削减。</w:t>
                  </w:r>
                </w:p>
                <w:p w14:paraId="3AB96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6.严格执行相关流域和行业水污染物排放标准，对未达到相应排放标准和排放限值的企业实施污水处理设施提升改造。</w:t>
                  </w:r>
                </w:p>
                <w:p w14:paraId="6A88A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对集中式饮用水水源保护区、水质优良河流湖库沿岸沿线、引黄入淀沿线、南水北调工程沿线、自然保护区等环境敏感区，通过建设生态沟渠、植物隔离条带、净化塘、地表径流积池等设施减缓农田氮磷流失，减少对水体环境的直接污染。</w:t>
                  </w:r>
                </w:p>
              </w:tc>
              <w:tc>
                <w:tcPr>
                  <w:tcW w:w="1255" w:type="pct"/>
                  <w:tcBorders>
                    <w:tl2br w:val="nil"/>
                    <w:tr2bl w:val="nil"/>
                  </w:tcBorders>
                  <w:vAlign w:val="center"/>
                </w:tcPr>
                <w:p w14:paraId="51EB4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74F18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eastAsia"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2</w:t>
                  </w:r>
                  <w:r>
                    <w:rPr>
                      <w:rFonts w:hint="eastAsia" w:cs="Times New Roman"/>
                      <w:b w:val="0"/>
                      <w:bCs/>
                      <w:snapToGrid/>
                      <w:color w:val="auto"/>
                      <w:spacing w:val="-6"/>
                      <w:kern w:val="2"/>
                      <w:sz w:val="21"/>
                      <w:szCs w:val="21"/>
                      <w:highlight w:val="none"/>
                      <w:lang w:val="en-US" w:eastAsia="zh-CN" w:bidi="zh-CN"/>
                    </w:rPr>
                    <w:t>.</w:t>
                  </w:r>
                  <w:r>
                    <w:rPr>
                      <w:rFonts w:hint="eastAsia" w:cs="Times New Roman"/>
                      <w:color w:val="auto"/>
                      <w:spacing w:val="-6"/>
                      <w:kern w:val="0"/>
                      <w:sz w:val="21"/>
                      <w:szCs w:val="21"/>
                      <w:highlight w:val="none"/>
                      <w:lang w:val="en-US" w:eastAsia="zh-CN"/>
                    </w:rPr>
                    <w:t>本项目生产废水经厂区污水处理站处理后达到《污水综合排放标准》（GB8978-1996）表4三级标准，同时满足魏县经济开发区污水处理有限公司进水水质要求后，排入魏县经济开发区污水处理有限公司深度处理，生活废水经化粪池处理后，直接排入魏县经济开发区污水处理有限公司</w:t>
                  </w:r>
                  <w:r>
                    <w:rPr>
                      <w:rFonts w:hint="eastAsia" w:ascii="Times New Roman" w:hAnsi="Times New Roman" w:eastAsia="宋体" w:cs="Times New Roman"/>
                      <w:b w:val="0"/>
                      <w:bCs/>
                      <w:snapToGrid/>
                      <w:color w:val="auto"/>
                      <w:spacing w:val="-6"/>
                      <w:kern w:val="2"/>
                      <w:sz w:val="21"/>
                      <w:szCs w:val="21"/>
                      <w:highlight w:val="none"/>
                      <w:lang w:val="zh-CN" w:eastAsia="zh-CN" w:bidi="zh-CN"/>
                    </w:rPr>
                    <w:t>。</w:t>
                  </w:r>
                </w:p>
                <w:p w14:paraId="2FC0B1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本项目实行雨污分流</w:t>
                  </w:r>
                </w:p>
                <w:p w14:paraId="5C030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4182E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w:t>
                  </w:r>
                  <w:r>
                    <w:rPr>
                      <w:rFonts w:hint="eastAsia" w:ascii="Times New Roman" w:hAnsi="Times New Roman" w:eastAsia="宋体" w:cs="Times New Roman"/>
                      <w:b w:val="0"/>
                      <w:bCs/>
                      <w:snapToGrid/>
                      <w:color w:val="auto"/>
                      <w:kern w:val="2"/>
                      <w:sz w:val="21"/>
                      <w:szCs w:val="21"/>
                      <w:highlight w:val="none"/>
                      <w:lang w:val="zh-CN" w:eastAsia="zh-CN" w:bidi="zh-CN"/>
                    </w:rPr>
                    <w:t>不属于。</w:t>
                  </w:r>
                </w:p>
                <w:p w14:paraId="22486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6</w:t>
                  </w:r>
                  <w:r>
                    <w:rPr>
                      <w:rFonts w:hint="eastAsia" w:cs="Times New Roman"/>
                      <w:b w:val="0"/>
                      <w:bCs/>
                      <w:snapToGrid/>
                      <w:color w:val="auto"/>
                      <w:spacing w:val="-6"/>
                      <w:kern w:val="2"/>
                      <w:sz w:val="21"/>
                      <w:szCs w:val="21"/>
                      <w:highlight w:val="none"/>
                      <w:lang w:val="en-US" w:eastAsia="zh-CN" w:bidi="zh-CN"/>
                    </w:rPr>
                    <w:t>.</w:t>
                  </w:r>
                  <w:r>
                    <w:rPr>
                      <w:rFonts w:hint="default" w:ascii="Times New Roman" w:hAnsi="Times New Roman" w:eastAsia="宋体" w:cs="Times New Roman"/>
                      <w:b w:val="0"/>
                      <w:bCs/>
                      <w:snapToGrid/>
                      <w:color w:val="auto"/>
                      <w:spacing w:val="-6"/>
                      <w:kern w:val="2"/>
                      <w:sz w:val="21"/>
                      <w:szCs w:val="21"/>
                      <w:highlight w:val="none"/>
                      <w:lang w:val="zh-CN" w:eastAsia="zh-CN" w:bidi="zh-CN"/>
                    </w:rPr>
                    <w:t>本项目废水</w:t>
                  </w:r>
                  <w:r>
                    <w:rPr>
                      <w:rFonts w:hint="eastAsia" w:cs="Times New Roman"/>
                      <w:b w:val="0"/>
                      <w:bCs/>
                      <w:snapToGrid/>
                      <w:color w:val="auto"/>
                      <w:spacing w:val="-6"/>
                      <w:kern w:val="2"/>
                      <w:sz w:val="21"/>
                      <w:szCs w:val="21"/>
                      <w:highlight w:val="none"/>
                      <w:lang w:val="zh-CN" w:eastAsia="zh-CN" w:bidi="zh-CN"/>
                    </w:rPr>
                    <w:t>满足《</w:t>
                  </w:r>
                  <w:r>
                    <w:rPr>
                      <w:rFonts w:hint="default" w:ascii="Times New Roman" w:hAnsi="Times New Roman" w:eastAsia="宋体" w:cs="Times New Roman"/>
                      <w:b w:val="0"/>
                      <w:bCs/>
                      <w:snapToGrid/>
                      <w:color w:val="auto"/>
                      <w:spacing w:val="-6"/>
                      <w:kern w:val="2"/>
                      <w:sz w:val="21"/>
                      <w:szCs w:val="21"/>
                      <w:highlight w:val="none"/>
                      <w:lang w:val="zh-CN" w:eastAsia="zh-CN" w:bidi="zh-CN"/>
                    </w:rPr>
                    <w:t>污水综合排放标准》（GB8978-1996）表4三级标准，同时满足魏县经济开发区污水处理有限公司进水水质要求。</w:t>
                  </w:r>
                </w:p>
                <w:p w14:paraId="623AB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539E6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718403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0D489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环境风险防控</w:t>
                  </w:r>
                </w:p>
              </w:tc>
              <w:tc>
                <w:tcPr>
                  <w:tcW w:w="2969" w:type="pct"/>
                  <w:tcBorders>
                    <w:tl2br w:val="nil"/>
                    <w:tr2bl w:val="nil"/>
                  </w:tcBorders>
                  <w:vAlign w:val="center"/>
                </w:tcPr>
                <w:p w14:paraId="43F915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加强监测能力建设，定期开展市、县、乡、农村集中式饮用水水源及南水北调输水工程水质监测。</w:t>
                  </w:r>
                </w:p>
                <w:p w14:paraId="7CEA3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定期监测入河排污口，对超标排放的进行通报、督办。建设完善监管体制机制，督促各地落实属地监管责任。</w:t>
                  </w:r>
                </w:p>
                <w:p w14:paraId="6F7EF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3.推进重点控制断面上游3-5千米，下游100-500米内生态缓冲带建设，在水域与陆地之间因地制宜建设乔灌草相结合的立体植物带，利用缓冲带植物的吸附和分解作用，拦截污染、净化水体、提升生态系统完整性。</w:t>
                  </w:r>
                </w:p>
                <w:p w14:paraId="4B572B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4.有效防控饮用水水源保护区环境风险。每年对集中式饮用水水源保护区开展基础调查与评估，将可能影响水源水质安全的风险源全部列入档案，加强风险应急防控，建立联防联控应急机制。</w:t>
                  </w:r>
                </w:p>
                <w:p w14:paraId="360BF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污水集中处理设施产生的污泥应进行稳定化、无害化和资源化处理处置。在完成危险废物鉴定的基础上，鼓励城镇污泥合规采取协同焚烧、建材利用、土地利用等方式，对处理后的污泥进行资源化利用。禁止不达标的污泥进入耕地。</w:t>
                  </w:r>
                </w:p>
              </w:tc>
              <w:tc>
                <w:tcPr>
                  <w:tcW w:w="1255" w:type="pct"/>
                  <w:tcBorders>
                    <w:tl2br w:val="nil"/>
                    <w:tr2bl w:val="nil"/>
                  </w:tcBorders>
                  <w:vAlign w:val="center"/>
                </w:tcPr>
                <w:p w14:paraId="3E2DB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本项目用水由园区集中供水，水厂定期进行水质监测。</w:t>
                  </w:r>
                </w:p>
                <w:p w14:paraId="42AC5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eastAsia" w:ascii="Times New Roman" w:hAnsi="Times New Roman" w:eastAsia="宋体" w:cs="Times New Roman"/>
                      <w:b w:val="0"/>
                      <w:bCs/>
                      <w:snapToGrid/>
                      <w:color w:val="auto"/>
                      <w:kern w:val="2"/>
                      <w:sz w:val="21"/>
                      <w:szCs w:val="21"/>
                      <w:highlight w:val="none"/>
                      <w:lang w:val="zh-CN" w:eastAsia="zh-CN" w:bidi="zh-CN"/>
                    </w:rPr>
                    <w:t>本项目不涉及。</w:t>
                  </w:r>
                  <w:r>
                    <w:rPr>
                      <w:rFonts w:hint="default" w:ascii="Times New Roman" w:hAnsi="Times New Roman" w:eastAsia="宋体" w:cs="Times New Roman"/>
                      <w:b w:val="0"/>
                      <w:bCs/>
                      <w:snapToGrid/>
                      <w:color w:val="auto"/>
                      <w:kern w:val="2"/>
                      <w:sz w:val="21"/>
                      <w:szCs w:val="21"/>
                      <w:highlight w:val="none"/>
                      <w:lang w:val="zh-CN" w:eastAsia="zh-CN" w:bidi="zh-CN"/>
                    </w:rPr>
                    <w:t>3、本项目不涉及。</w:t>
                  </w:r>
                </w:p>
                <w:p w14:paraId="3F1C1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本项目不涉及集中式饮用水源水源保护区。</w:t>
                  </w:r>
                </w:p>
                <w:p w14:paraId="0975E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w:t>
                  </w:r>
                  <w:r>
                    <w:rPr>
                      <w:rFonts w:hint="eastAsia" w:ascii="Times New Roman" w:hAnsi="Times New Roman" w:eastAsia="宋体" w:cs="Times New Roman"/>
                      <w:b w:val="0"/>
                      <w:bCs/>
                      <w:snapToGrid/>
                      <w:color w:val="auto"/>
                      <w:kern w:val="2"/>
                      <w:sz w:val="21"/>
                      <w:szCs w:val="21"/>
                      <w:highlight w:val="none"/>
                      <w:lang w:val="zh-CN" w:eastAsia="zh-CN" w:bidi="zh-CN"/>
                    </w:rPr>
                    <w:t>不涉及。</w:t>
                  </w:r>
                </w:p>
              </w:tc>
              <w:tc>
                <w:tcPr>
                  <w:tcW w:w="355" w:type="pct"/>
                  <w:tcBorders>
                    <w:tl2br w:val="nil"/>
                    <w:tr2bl w:val="nil"/>
                  </w:tcBorders>
                  <w:vAlign w:val="center"/>
                </w:tcPr>
                <w:p w14:paraId="5042E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eastAsia" w:ascii="Times New Roman" w:hAnsi="Times New Roman" w:eastAsia="宋体" w:cs="Times New Roman"/>
                      <w:b w:val="0"/>
                      <w:bCs/>
                      <w:snapToGrid/>
                      <w:color w:val="auto"/>
                      <w:kern w:val="2"/>
                      <w:sz w:val="21"/>
                      <w:szCs w:val="21"/>
                      <w:highlight w:val="none"/>
                      <w:lang w:val="zh-CN" w:eastAsia="zh-CN" w:bidi="zh-CN"/>
                    </w:rPr>
                    <w:t>符合</w:t>
                  </w:r>
                </w:p>
              </w:tc>
            </w:tr>
            <w:tr w14:paraId="16BDAD6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7C56E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资源开发利用</w:t>
                  </w:r>
                </w:p>
              </w:tc>
              <w:tc>
                <w:tcPr>
                  <w:tcW w:w="2969" w:type="pct"/>
                  <w:tcBorders>
                    <w:tl2br w:val="nil"/>
                    <w:tr2bl w:val="nil"/>
                  </w:tcBorders>
                  <w:vAlign w:val="center"/>
                </w:tcPr>
                <w:p w14:paraId="3DA1B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推进畜禽粪污集中处理与资源化利用，强化病死畜禽无害化处理体系建设。持续推进畜禽粪污资源化利用，以种养结合、协同减排为引导，强化粪污收运还田体系建设，结合实际选择粪污肥料化、燃料化、基质化等资源化利用模式，实现粪污就近利用。</w:t>
                  </w:r>
                </w:p>
                <w:p w14:paraId="36A7F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调整种植业结构，大力发展精细农业，推广优质高产多抗的农作物品种，发展高效生态循环农业。有效控制化肥使用量，实现主要农作物测土配方施肥技术全覆盖。在政策上鼓励施用有机肥，减少农田化肥氮磷流失。</w:t>
                  </w:r>
                </w:p>
              </w:tc>
              <w:tc>
                <w:tcPr>
                  <w:tcW w:w="1255" w:type="pct"/>
                  <w:tcBorders>
                    <w:tl2br w:val="nil"/>
                    <w:tr2bl w:val="nil"/>
                  </w:tcBorders>
                  <w:vAlign w:val="center"/>
                </w:tcPr>
                <w:p w14:paraId="197EC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eastAsia" w:cs="Times New Roman"/>
                      <w:b w:val="0"/>
                      <w:bCs/>
                      <w:snapToGrid/>
                      <w:color w:val="auto"/>
                      <w:kern w:val="2"/>
                      <w:sz w:val="21"/>
                      <w:szCs w:val="21"/>
                      <w:highlight w:val="none"/>
                      <w:lang w:val="en-US" w:eastAsia="zh-CN" w:bidi="zh-CN"/>
                    </w:rPr>
                    <w:t xml:space="preserve">    </w:t>
                  </w: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491D1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6E266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3B096D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7EEA3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管控</w:t>
                  </w:r>
                </w:p>
                <w:p w14:paraId="5B469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维度</w:t>
                  </w:r>
                </w:p>
              </w:tc>
              <w:tc>
                <w:tcPr>
                  <w:tcW w:w="2969" w:type="pct"/>
                  <w:tcBorders>
                    <w:tl2br w:val="nil"/>
                    <w:tr2bl w:val="nil"/>
                  </w:tcBorders>
                  <w:vAlign w:val="center"/>
                </w:tcPr>
                <w:p w14:paraId="63139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全市土壤环境总体管控要求</w:t>
                  </w:r>
                </w:p>
              </w:tc>
              <w:tc>
                <w:tcPr>
                  <w:tcW w:w="1255" w:type="pct"/>
                  <w:tcBorders>
                    <w:tl2br w:val="nil"/>
                    <w:tr2bl w:val="nil"/>
                  </w:tcBorders>
                  <w:vAlign w:val="center"/>
                </w:tcPr>
                <w:p w14:paraId="7270B1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本项目</w:t>
                  </w:r>
                </w:p>
              </w:tc>
              <w:tc>
                <w:tcPr>
                  <w:tcW w:w="355" w:type="pct"/>
                  <w:tcBorders>
                    <w:tl2br w:val="nil"/>
                    <w:tr2bl w:val="nil"/>
                  </w:tcBorders>
                  <w:vAlign w:val="center"/>
                </w:tcPr>
                <w:p w14:paraId="592CF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spacing w:val="-20"/>
                      <w:kern w:val="2"/>
                      <w:sz w:val="21"/>
                      <w:szCs w:val="21"/>
                      <w:highlight w:val="none"/>
                      <w:lang w:val="zh-CN" w:eastAsia="zh-CN" w:bidi="zh-CN"/>
                    </w:rPr>
                    <w:t>符合性</w:t>
                  </w:r>
                </w:p>
              </w:tc>
            </w:tr>
            <w:tr w14:paraId="08F770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6CE29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污染</w:t>
                  </w:r>
                </w:p>
                <w:p w14:paraId="56CE3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物防</w:t>
                  </w:r>
                </w:p>
                <w:p w14:paraId="4C9BE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控目</w:t>
                  </w:r>
                </w:p>
                <w:p w14:paraId="3AFBF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标</w:t>
                  </w:r>
                </w:p>
              </w:tc>
              <w:tc>
                <w:tcPr>
                  <w:tcW w:w="2969" w:type="pct"/>
                  <w:tcBorders>
                    <w:tl2br w:val="nil"/>
                    <w:tr2bl w:val="nil"/>
                  </w:tcBorders>
                  <w:vAlign w:val="center"/>
                </w:tcPr>
                <w:p w14:paraId="5B26B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2025年受污染耕地安全利用率达到95%以上，重点建设用地安全利用得到有效保障。</w:t>
                  </w:r>
                </w:p>
              </w:tc>
              <w:tc>
                <w:tcPr>
                  <w:tcW w:w="1255" w:type="pct"/>
                  <w:tcBorders>
                    <w:tl2br w:val="nil"/>
                    <w:tr2bl w:val="nil"/>
                  </w:tcBorders>
                  <w:vAlign w:val="center"/>
                </w:tcPr>
                <w:p w14:paraId="0D0F7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根据</w:t>
                  </w:r>
                  <w:r>
                    <w:rPr>
                      <w:rFonts w:hint="eastAsia" w:ascii="Times New Roman" w:hAnsi="Times New Roman" w:eastAsia="宋体" w:cs="Times New Roman"/>
                      <w:b w:val="0"/>
                      <w:bCs/>
                      <w:snapToGrid/>
                      <w:color w:val="auto"/>
                      <w:kern w:val="2"/>
                      <w:sz w:val="21"/>
                      <w:szCs w:val="21"/>
                      <w:highlight w:val="none"/>
                      <w:lang w:val="zh-CN" w:eastAsia="zh-CN" w:bidi="zh-CN"/>
                    </w:rPr>
                    <w:t>园区</w:t>
                  </w:r>
                  <w:r>
                    <w:rPr>
                      <w:rFonts w:hint="default" w:ascii="Times New Roman" w:hAnsi="Times New Roman" w:eastAsia="宋体" w:cs="Times New Roman"/>
                      <w:b w:val="0"/>
                      <w:bCs/>
                      <w:snapToGrid/>
                      <w:color w:val="auto"/>
                      <w:kern w:val="2"/>
                      <w:sz w:val="21"/>
                      <w:szCs w:val="21"/>
                      <w:highlight w:val="none"/>
                      <w:lang w:val="zh-CN" w:eastAsia="zh-CN" w:bidi="zh-CN"/>
                    </w:rPr>
                    <w:t>土壤环境监测，项目所在区域土壤没有受到污染，土壤对人体健康的风险可以忽略。</w:t>
                  </w:r>
                </w:p>
              </w:tc>
              <w:tc>
                <w:tcPr>
                  <w:tcW w:w="355" w:type="pct"/>
                  <w:tcBorders>
                    <w:tl2br w:val="nil"/>
                    <w:tr2bl w:val="nil"/>
                  </w:tcBorders>
                  <w:vAlign w:val="center"/>
                </w:tcPr>
                <w:p w14:paraId="46A33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2AF2BB3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0B02C1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空间</w:t>
                  </w:r>
                </w:p>
                <w:p w14:paraId="4A1BB3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布局</w:t>
                  </w:r>
                </w:p>
              </w:tc>
              <w:tc>
                <w:tcPr>
                  <w:tcW w:w="2969" w:type="pct"/>
                  <w:tcBorders>
                    <w:tl2br w:val="nil"/>
                    <w:tr2bl w:val="nil"/>
                  </w:tcBorders>
                  <w:vAlign w:val="center"/>
                </w:tcPr>
                <w:p w14:paraId="2361E3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1.在未污染耕地集中区域全面推进高标准农田建设，将符合条件的未污染耕地划入永久基本农田，不得新建有色金属冶炼、石油加工、化工、焦化、电镀、制革、铅蓄电池等可能造成土壤污染的建设项目。</w:t>
                  </w:r>
                </w:p>
                <w:p w14:paraId="61B5B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组织对关闭、搬迁、腾退工业企业用地进行全面排查，动态更新疑似污染地块名单、污染地块名录，确保符合《中华人民共和国土壤污染防治法》《污染地块土壤环境管理办法(试行)》等要求的建设用地地块全部纳入全国污染地块土壤环境管理信息系统加强监管。</w:t>
                  </w:r>
                </w:p>
                <w:p w14:paraId="0D054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土壤污染重点监管单位应全面落实土壤污染防治义务，严格控制有毒有害物质排放，制定自行监测方案并组织实施。企业自行监测、隐患排查以及执法部门监督检查发现土壤和地下水污染的，相关企业要制定整改方案和建立台账清单。</w:t>
                  </w:r>
                </w:p>
                <w:p w14:paraId="76610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推动工业固废综合利用，促进工业固废减量化、资源化。加强塑料污染防控，强化对生产、使用、销售塑料制品单位的监督检查，有序禁止限制部分塑料制品生产、销售、使用。5.2021年底前，配合省相关部门对褐煤开采洗选、非金属废料和碎屑加工处理、白酒制造、金属家具制造、再生橡胶制造、生物药品制造行业企业等开展用地土壤污染状况调查，进一步摸清相关非重点行业企业土壤污染状况及分布，支撑非重点行业企业用地土壤污染防治和风险管控。</w:t>
                  </w:r>
                </w:p>
              </w:tc>
              <w:tc>
                <w:tcPr>
                  <w:tcW w:w="1255" w:type="pct"/>
                  <w:tcBorders>
                    <w:tl2br w:val="nil"/>
                    <w:tr2bl w:val="nil"/>
                  </w:tcBorders>
                  <w:vAlign w:val="center"/>
                </w:tcPr>
                <w:p w14:paraId="14AF7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34EBE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7446B6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w:t>
                  </w:r>
                  <w:r>
                    <w:rPr>
                      <w:rFonts w:hint="eastAsia" w:ascii="Times New Roman" w:hAnsi="Times New Roman" w:eastAsia="宋体" w:cs="Times New Roman"/>
                      <w:b w:val="0"/>
                      <w:bCs/>
                      <w:snapToGrid/>
                      <w:color w:val="auto"/>
                      <w:kern w:val="2"/>
                      <w:sz w:val="21"/>
                      <w:szCs w:val="21"/>
                      <w:highlight w:val="none"/>
                      <w:lang w:val="zh-CN" w:eastAsia="zh-CN" w:bidi="zh-CN"/>
                    </w:rPr>
                    <w:t>不属于</w:t>
                  </w:r>
                  <w:r>
                    <w:rPr>
                      <w:rFonts w:hint="default" w:ascii="Times New Roman" w:hAnsi="Times New Roman" w:eastAsia="宋体" w:cs="Times New Roman"/>
                      <w:b w:val="0"/>
                      <w:bCs/>
                      <w:snapToGrid/>
                      <w:color w:val="auto"/>
                      <w:kern w:val="2"/>
                      <w:sz w:val="21"/>
                      <w:szCs w:val="21"/>
                      <w:highlight w:val="none"/>
                      <w:lang w:val="zh-CN" w:eastAsia="zh-CN" w:bidi="zh-CN"/>
                    </w:rPr>
                    <w:t>。</w:t>
                  </w:r>
                </w:p>
                <w:p w14:paraId="265DA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本项目固体废物分类收集、处置</w:t>
                  </w:r>
                  <w:r>
                    <w:rPr>
                      <w:rFonts w:hint="eastAsia" w:cs="Times New Roman"/>
                      <w:b w:val="0"/>
                      <w:bCs/>
                      <w:snapToGrid/>
                      <w:color w:val="auto"/>
                      <w:kern w:val="2"/>
                      <w:sz w:val="21"/>
                      <w:szCs w:val="21"/>
                      <w:highlight w:val="none"/>
                      <w:lang w:val="zh-CN" w:eastAsia="zh-CN" w:bidi="zh-CN"/>
                    </w:rPr>
                    <w:t>。</w:t>
                  </w:r>
                </w:p>
                <w:p w14:paraId="359F3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056A5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5A0CCF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0941F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污染</w:t>
                  </w:r>
                </w:p>
                <w:p w14:paraId="32057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物排</w:t>
                  </w:r>
                </w:p>
                <w:p w14:paraId="52D8F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放</w:t>
                  </w:r>
                </w:p>
              </w:tc>
              <w:tc>
                <w:tcPr>
                  <w:tcW w:w="2969" w:type="pct"/>
                  <w:tcBorders>
                    <w:tl2br w:val="nil"/>
                    <w:tr2bl w:val="nil"/>
                  </w:tcBorders>
                  <w:vAlign w:val="center"/>
                </w:tcPr>
                <w:p w14:paraId="14FF84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1.依法加强未污染耕地土壤的保护，未利用地不得污染和破坏，确保优先保护类耕地面积不减少、土壤环境质量不下降。</w:t>
                  </w:r>
                </w:p>
                <w:p w14:paraId="71C5B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2.治理修复优先采取不影响农业生产、不降低土壤生产功能的农艺、生物修复措施，采取措施防止产生二次污染。</w:t>
                  </w:r>
                </w:p>
                <w:p w14:paraId="554BE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3.严防农业面源污染。持续实施化肥农药减量增效行动，化肥农药使用量持续保持负增长。持续开展耕地周边涉重金属行业企业污染源排查整治，强化耕地土壤污染源头防控。</w:t>
                  </w:r>
                </w:p>
                <w:p w14:paraId="56445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4.加强企业拆除活动污染防治现场检查，督促企业落实拆除活动污染防治措施。</w:t>
                  </w:r>
                </w:p>
              </w:tc>
              <w:tc>
                <w:tcPr>
                  <w:tcW w:w="1255" w:type="pct"/>
                  <w:tcBorders>
                    <w:tl2br w:val="nil"/>
                    <w:tr2bl w:val="nil"/>
                  </w:tcBorders>
                  <w:vAlign w:val="center"/>
                </w:tcPr>
                <w:p w14:paraId="1FB24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本项目不涉及优先保护类耕地。</w:t>
                  </w:r>
                </w:p>
                <w:p w14:paraId="66AB3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2FDEC3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32918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755A7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本项目危险废物由有资质单位处置</w:t>
                  </w:r>
                  <w:r>
                    <w:rPr>
                      <w:rFonts w:hint="eastAsia" w:cs="Times New Roman"/>
                      <w:b w:val="0"/>
                      <w:bCs/>
                      <w:snapToGrid/>
                      <w:color w:val="auto"/>
                      <w:kern w:val="2"/>
                      <w:sz w:val="21"/>
                      <w:szCs w:val="21"/>
                      <w:highlight w:val="none"/>
                      <w:lang w:val="zh-CN" w:eastAsia="zh-CN" w:bidi="zh-CN"/>
                    </w:rPr>
                    <w:t>。</w:t>
                  </w:r>
                </w:p>
                <w:p w14:paraId="1E539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6</w:t>
                  </w:r>
                  <w:r>
                    <w:rPr>
                      <w:rFonts w:hint="eastAsia" w:cs="Times New Roman"/>
                      <w:b w:val="0"/>
                      <w:bCs/>
                      <w:snapToGrid/>
                      <w:color w:val="auto"/>
                      <w:kern w:val="2"/>
                      <w:sz w:val="21"/>
                      <w:szCs w:val="21"/>
                      <w:highlight w:val="none"/>
                      <w:lang w:val="en-US" w:eastAsia="zh-CN" w:bidi="zh-CN"/>
                    </w:rPr>
                    <w:t>.</w:t>
                  </w:r>
                  <w:r>
                    <w:rPr>
                      <w:rFonts w:hint="eastAsia" w:cs="Times New Roman"/>
                      <w:color w:val="auto"/>
                      <w:kern w:val="0"/>
                      <w:szCs w:val="21"/>
                      <w:highlight w:val="none"/>
                      <w:lang w:val="en-US" w:eastAsia="zh-CN"/>
                    </w:rPr>
                    <w:t>本项目生产废水经厂区污水处理站处理后达到《污水综合排放标准》（GB8978-1996）</w:t>
                  </w:r>
                </w:p>
              </w:tc>
              <w:tc>
                <w:tcPr>
                  <w:tcW w:w="355" w:type="pct"/>
                  <w:tcBorders>
                    <w:tl2br w:val="nil"/>
                    <w:tr2bl w:val="nil"/>
                  </w:tcBorders>
                  <w:vAlign w:val="center"/>
                </w:tcPr>
                <w:p w14:paraId="12877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p>
              </w:tc>
            </w:tr>
            <w:tr w14:paraId="7123E23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57560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污染</w:t>
                  </w:r>
                </w:p>
                <w:p w14:paraId="75431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物排</w:t>
                  </w:r>
                </w:p>
                <w:p w14:paraId="7EB795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放</w:t>
                  </w:r>
                </w:p>
              </w:tc>
              <w:tc>
                <w:tcPr>
                  <w:tcW w:w="2969" w:type="pct"/>
                  <w:tcBorders>
                    <w:tl2br w:val="nil"/>
                    <w:tr2bl w:val="nil"/>
                  </w:tcBorders>
                  <w:vAlign w:val="top"/>
                </w:tcPr>
                <w:p w14:paraId="3F4F0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5.统筹区域危险废物利用处置能力建设，实现危险废物产生量与利用处置需求的基本匹配。积极推进危险废物环境监管智能监控体系建设，提升危险废物智能化监管水平。</w:t>
                  </w:r>
                </w:p>
                <w:p w14:paraId="0A5F6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6.加快城镇(园区)污水处理厂管网覆盖范围内村庄污水管网建设。加强集中式污水处理设施建设。统筹厕所粪污无害化集中处理和生活灰水有效管控。</w:t>
                  </w:r>
                </w:p>
                <w:p w14:paraId="5CCAF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7.继续开展10万亩及以上农田灌溉水水质监测，加强监督检查，防止未经处理或达不到农田灌溉水质标准的废(污)水进入农田灌溉系统。</w:t>
                  </w:r>
                </w:p>
              </w:tc>
              <w:tc>
                <w:tcPr>
                  <w:tcW w:w="1255" w:type="pct"/>
                  <w:tcBorders>
                    <w:tl2br w:val="nil"/>
                    <w:tr2bl w:val="nil"/>
                  </w:tcBorders>
                  <w:vAlign w:val="top"/>
                </w:tcPr>
                <w:p w14:paraId="116E7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b w:val="0"/>
                      <w:bCs/>
                      <w:snapToGrid/>
                      <w:color w:val="auto"/>
                      <w:kern w:val="2"/>
                      <w:sz w:val="21"/>
                      <w:szCs w:val="21"/>
                      <w:highlight w:val="none"/>
                      <w:lang w:val="zh-CN" w:eastAsia="zh-CN" w:bidi="zh-CN"/>
                    </w:rPr>
                  </w:pPr>
                  <w:r>
                    <w:rPr>
                      <w:rFonts w:hint="eastAsia" w:cs="Times New Roman"/>
                      <w:color w:val="auto"/>
                      <w:kern w:val="0"/>
                      <w:szCs w:val="21"/>
                      <w:highlight w:val="none"/>
                      <w:lang w:val="en-US" w:eastAsia="zh-CN"/>
                    </w:rPr>
                    <w:t>表4三级标准，同时满足魏县经济开发区污水处理有限公司进水水质要求后排入魏县经济开发区污水处理有限公司深度处理，生活废水经化粪池处理后排入魏县经济开发区污水处理有限公司</w:t>
                  </w:r>
                  <w:r>
                    <w:rPr>
                      <w:rFonts w:hint="eastAsia" w:ascii="Times New Roman" w:hAnsi="Times New Roman" w:eastAsia="宋体" w:cs="Times New Roman"/>
                      <w:b w:val="0"/>
                      <w:bCs/>
                      <w:snapToGrid/>
                      <w:color w:val="auto"/>
                      <w:kern w:val="2"/>
                      <w:sz w:val="21"/>
                      <w:szCs w:val="21"/>
                      <w:highlight w:val="none"/>
                      <w:lang w:val="zh-CN" w:eastAsia="zh-CN" w:bidi="zh-CN"/>
                    </w:rPr>
                    <w:t>。</w:t>
                  </w:r>
                </w:p>
                <w:p w14:paraId="05729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7</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0780B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1E2661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5EC21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环境</w:t>
                  </w:r>
                </w:p>
                <w:p w14:paraId="6AC8C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风险</w:t>
                  </w:r>
                </w:p>
                <w:p w14:paraId="39278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防控</w:t>
                  </w:r>
                </w:p>
              </w:tc>
              <w:tc>
                <w:tcPr>
                  <w:tcW w:w="2969" w:type="pct"/>
                  <w:tcBorders>
                    <w:tl2br w:val="nil"/>
                    <w:tr2bl w:val="nil"/>
                  </w:tcBorders>
                  <w:vAlign w:val="center"/>
                </w:tcPr>
                <w:p w14:paraId="78C37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1.纳入全国污染地块土壤环境管理信息系统的地块，应按照国家有关环境标准和技术规范开展土壤污染状况调查、评估、风险管控或修复。土壤环境质量符合用地规划要求后，方可进入用地程序。</w:t>
                  </w:r>
                </w:p>
                <w:p w14:paraId="06CA5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严格落实建设用地土壤污染风险管控和修复名录制度，以用途变更为住宅、公共管理与公共服务用地的污染地块，危险化学品生产企业搬迁改造的遗留地块为重点，采用水泥窑协同处置等适宜方式加快处理环境风险管理污染土壤，加强风险管控和治理修复。对暂不开发利用的污染地块，采取风险管控措施，开展土壤及地下水污染状况监测。</w:t>
                  </w:r>
                </w:p>
                <w:p w14:paraId="2500B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396"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3.疑似污染地块或污染地块的土地征收、回收、收购环节，严格执行相关规定，及时查询相关地块土壤环境质量状况。涉及成片污染地块分期分批开发的，以及污染地块周边土地开发的，要优化开发时序，防止受污染土壤及其后续风险管控和修复影响周边拟入驻敏感人群。</w:t>
                  </w:r>
                </w:p>
              </w:tc>
              <w:tc>
                <w:tcPr>
                  <w:tcW w:w="1255" w:type="pct"/>
                  <w:tcBorders>
                    <w:tl2br w:val="nil"/>
                    <w:tr2bl w:val="nil"/>
                  </w:tcBorders>
                  <w:vAlign w:val="center"/>
                </w:tcPr>
                <w:p w14:paraId="52F10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本项目加强风险管控，以防污染土壤</w:t>
                  </w:r>
                  <w:r>
                    <w:rPr>
                      <w:rFonts w:hint="eastAsia" w:cs="Times New Roman"/>
                      <w:b w:val="0"/>
                      <w:bCs/>
                      <w:snapToGrid/>
                      <w:color w:val="auto"/>
                      <w:kern w:val="2"/>
                      <w:sz w:val="21"/>
                      <w:szCs w:val="21"/>
                      <w:highlight w:val="none"/>
                      <w:lang w:val="zh-CN" w:eastAsia="zh-CN" w:bidi="zh-CN"/>
                    </w:rPr>
                    <w:t>。</w:t>
                  </w:r>
                </w:p>
                <w:p w14:paraId="279A5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4478B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062B5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58EEE6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13A1DF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资源开发利用</w:t>
                  </w:r>
                </w:p>
              </w:tc>
              <w:tc>
                <w:tcPr>
                  <w:tcW w:w="2969" w:type="pct"/>
                  <w:tcBorders>
                    <w:tl2br w:val="nil"/>
                    <w:tr2bl w:val="nil"/>
                  </w:tcBorders>
                  <w:vAlign w:val="center"/>
                </w:tcPr>
                <w:p w14:paraId="1496A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根据人口规模和实际产生粪污量、处理覆盖范围等情况，统筹建立区域性厕所粪污无害化集中处理站，或利用已有沼气工程进行集中处理，集中粪污无害化处理设施出水达到农田灌溉标准后可直接用于农田灌溉。制定农村生活</w:t>
                  </w:r>
                  <w:r>
                    <w:rPr>
                      <w:rFonts w:hint="eastAsia" w:cs="Times New Roman"/>
                      <w:b w:val="0"/>
                      <w:bCs/>
                      <w:snapToGrid/>
                      <w:color w:val="auto"/>
                      <w:kern w:val="2"/>
                      <w:sz w:val="21"/>
                      <w:szCs w:val="21"/>
                      <w:highlight w:val="none"/>
                      <w:lang w:val="zh-CN" w:eastAsia="zh-CN" w:bidi="zh-CN"/>
                    </w:rPr>
                    <w:t>废水</w:t>
                  </w:r>
                  <w:r>
                    <w:rPr>
                      <w:rFonts w:hint="default" w:ascii="Times New Roman" w:hAnsi="Times New Roman" w:eastAsia="宋体" w:cs="Times New Roman"/>
                      <w:b w:val="0"/>
                      <w:bCs/>
                      <w:snapToGrid/>
                      <w:color w:val="auto"/>
                      <w:kern w:val="2"/>
                      <w:sz w:val="21"/>
                      <w:szCs w:val="21"/>
                      <w:highlight w:val="none"/>
                      <w:lang w:val="zh-CN" w:eastAsia="zh-CN" w:bidi="zh-CN"/>
                    </w:rPr>
                    <w:t>收集回用等有效管控措施，通过冲厕、庭院绿化等原位消纳方式</w:t>
                  </w:r>
                  <w:r>
                    <w:rPr>
                      <w:rFonts w:hint="eastAsia" w:cs="Times New Roman"/>
                      <w:b w:val="0"/>
                      <w:bCs/>
                      <w:snapToGrid/>
                      <w:color w:val="auto"/>
                      <w:kern w:val="2"/>
                      <w:sz w:val="21"/>
                      <w:szCs w:val="21"/>
                      <w:highlight w:val="none"/>
                      <w:lang w:val="zh-CN" w:eastAsia="zh-CN" w:bidi="zh-CN"/>
                    </w:rPr>
                    <w:t>或</w:t>
                  </w:r>
                  <w:r>
                    <w:rPr>
                      <w:rFonts w:hint="default" w:ascii="Times New Roman" w:hAnsi="Times New Roman" w:eastAsia="宋体" w:cs="Times New Roman"/>
                      <w:b w:val="0"/>
                      <w:bCs/>
                      <w:snapToGrid/>
                      <w:color w:val="auto"/>
                      <w:kern w:val="2"/>
                      <w:sz w:val="21"/>
                      <w:szCs w:val="21"/>
                      <w:highlight w:val="none"/>
                      <w:lang w:val="zh-CN" w:eastAsia="zh-CN" w:bidi="zh-CN"/>
                    </w:rPr>
                    <w:t>联户建立集中生态化处理设施处理后中水回用，实现</w:t>
                  </w:r>
                  <w:r>
                    <w:rPr>
                      <w:rFonts w:hint="eastAsia" w:cs="Times New Roman"/>
                      <w:b w:val="0"/>
                      <w:bCs/>
                      <w:snapToGrid/>
                      <w:color w:val="auto"/>
                      <w:kern w:val="2"/>
                      <w:sz w:val="21"/>
                      <w:szCs w:val="21"/>
                      <w:highlight w:val="none"/>
                      <w:lang w:val="zh-CN" w:eastAsia="zh-CN" w:bidi="zh-CN"/>
                    </w:rPr>
                    <w:t>生活废水</w:t>
                  </w:r>
                  <w:r>
                    <w:rPr>
                      <w:rFonts w:hint="default" w:ascii="Times New Roman" w:hAnsi="Times New Roman" w:eastAsia="宋体" w:cs="Times New Roman"/>
                      <w:b w:val="0"/>
                      <w:bCs/>
                      <w:snapToGrid/>
                      <w:color w:val="auto"/>
                      <w:kern w:val="2"/>
                      <w:sz w:val="21"/>
                      <w:szCs w:val="21"/>
                      <w:highlight w:val="none"/>
                      <w:lang w:val="zh-CN" w:eastAsia="zh-CN" w:bidi="zh-CN"/>
                    </w:rPr>
                    <w:t>源头减量、无害化处理。</w:t>
                  </w:r>
                </w:p>
                <w:p w14:paraId="241DB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畜禽规模养殖场粪污处理设施装备配套率达到100%，畜禽粪污综合利用率达到79%。秸秆综合利用率达到97%以上，农膜回收率达到90%以上，持续开展耕地周边涉重金属行业企业污染源排查整治，强化耕地土壤污染源头防控。</w:t>
                  </w:r>
                </w:p>
                <w:p w14:paraId="060DA4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3、支持固体废物综合利用项目建设，提高大宗固体废物综合利用效率和水平，加快补齐危险废物处理短板。</w:t>
                  </w:r>
                </w:p>
              </w:tc>
              <w:tc>
                <w:tcPr>
                  <w:tcW w:w="1255" w:type="pct"/>
                  <w:tcBorders>
                    <w:tl2br w:val="nil"/>
                    <w:tr2bl w:val="nil"/>
                  </w:tcBorders>
                  <w:vAlign w:val="center"/>
                </w:tcPr>
                <w:p w14:paraId="4E43DE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396" w:firstLineChars="200"/>
                    <w:jc w:val="both"/>
                    <w:textAlignment w:val="auto"/>
                    <w:rPr>
                      <w:rFonts w:hint="eastAsia"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1</w:t>
                  </w:r>
                  <w:r>
                    <w:rPr>
                      <w:rFonts w:hint="eastAsia" w:cs="Times New Roman"/>
                      <w:b w:val="0"/>
                      <w:bCs/>
                      <w:snapToGrid/>
                      <w:color w:val="auto"/>
                      <w:spacing w:val="-6"/>
                      <w:kern w:val="2"/>
                      <w:sz w:val="21"/>
                      <w:szCs w:val="21"/>
                      <w:highlight w:val="none"/>
                      <w:lang w:val="en-US" w:eastAsia="zh-CN" w:bidi="zh-CN"/>
                    </w:rPr>
                    <w:t>.</w:t>
                  </w:r>
                  <w:r>
                    <w:rPr>
                      <w:rFonts w:hint="eastAsia" w:cs="Times New Roman"/>
                      <w:color w:val="auto"/>
                      <w:spacing w:val="-6"/>
                      <w:kern w:val="0"/>
                      <w:sz w:val="21"/>
                      <w:szCs w:val="21"/>
                      <w:highlight w:val="none"/>
                      <w:lang w:val="en-US" w:eastAsia="zh-CN"/>
                    </w:rPr>
                    <w:t>本项目生产废水经厂区污水处理站处理后达到《污水综合排放标准》（GB8978-1996）表4三级标准，同时满足魏县经济开发区污水处理有限公司进水水质要求后排入魏县经济开发区污水处理有限公司深度处理；生活废水经化粪池处理后排入魏县经济开发区污水处理有限公司</w:t>
                  </w:r>
                  <w:r>
                    <w:rPr>
                      <w:rFonts w:hint="eastAsia" w:ascii="Times New Roman" w:hAnsi="Times New Roman" w:eastAsia="宋体" w:cs="Times New Roman"/>
                      <w:b w:val="0"/>
                      <w:bCs/>
                      <w:snapToGrid/>
                      <w:color w:val="auto"/>
                      <w:spacing w:val="-6"/>
                      <w:kern w:val="2"/>
                      <w:sz w:val="21"/>
                      <w:szCs w:val="21"/>
                      <w:highlight w:val="none"/>
                      <w:lang w:val="zh-CN" w:eastAsia="zh-CN" w:bidi="zh-CN"/>
                    </w:rPr>
                    <w:t>。</w:t>
                  </w:r>
                </w:p>
                <w:p w14:paraId="07311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249038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284BE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7D328E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39D8F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管控</w:t>
                  </w:r>
                </w:p>
                <w:p w14:paraId="187E4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维度</w:t>
                  </w:r>
                </w:p>
              </w:tc>
              <w:tc>
                <w:tcPr>
                  <w:tcW w:w="2969" w:type="pct"/>
                  <w:tcBorders>
                    <w:tl2br w:val="nil"/>
                    <w:tr2bl w:val="nil"/>
                  </w:tcBorders>
                  <w:vAlign w:val="center"/>
                </w:tcPr>
                <w:p w14:paraId="440A4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全市资源利用总体管控要求</w:t>
                  </w:r>
                </w:p>
              </w:tc>
              <w:tc>
                <w:tcPr>
                  <w:tcW w:w="1255" w:type="pct"/>
                  <w:tcBorders>
                    <w:tl2br w:val="nil"/>
                    <w:tr2bl w:val="nil"/>
                  </w:tcBorders>
                  <w:vAlign w:val="center"/>
                </w:tcPr>
                <w:p w14:paraId="6A9F9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本项目</w:t>
                  </w:r>
                </w:p>
              </w:tc>
              <w:tc>
                <w:tcPr>
                  <w:tcW w:w="355" w:type="pct"/>
                  <w:tcBorders>
                    <w:tl2br w:val="nil"/>
                    <w:tr2bl w:val="nil"/>
                  </w:tcBorders>
                  <w:vAlign w:val="center"/>
                </w:tcPr>
                <w:p w14:paraId="78E7E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spacing w:val="-20"/>
                      <w:kern w:val="2"/>
                      <w:sz w:val="21"/>
                      <w:szCs w:val="21"/>
                      <w:highlight w:val="none"/>
                      <w:lang w:val="zh-CN" w:eastAsia="zh-CN" w:bidi="zh-CN"/>
                    </w:rPr>
                    <w:t>符合性</w:t>
                  </w:r>
                </w:p>
              </w:tc>
            </w:tr>
            <w:tr w14:paraId="545275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61A97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水</w:t>
                  </w:r>
                </w:p>
                <w:p w14:paraId="1FF80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资</w:t>
                  </w:r>
                </w:p>
                <w:p w14:paraId="5DC70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源</w:t>
                  </w:r>
                </w:p>
              </w:tc>
              <w:tc>
                <w:tcPr>
                  <w:tcW w:w="2969" w:type="pct"/>
                  <w:tcBorders>
                    <w:tl2br w:val="nil"/>
                    <w:tr2bl w:val="nil"/>
                  </w:tcBorders>
                  <w:vAlign w:val="center"/>
                </w:tcPr>
                <w:p w14:paraId="2D04E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396" w:firstLineChars="200"/>
                    <w:jc w:val="both"/>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总量和强度要求：2025年水资源利用总量22.30亿立方米以下，其中地下水取水量9.71亿立方米以下。管控要求：</w:t>
                  </w:r>
                </w:p>
                <w:p w14:paraId="2A903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1.强化地下水禁采限采管理。在地下水禁采区，除临时应急供水和无替代水源的农村地区少量分散生活用水外，严禁取用地下水，已有的要限期关闭；在地下水限采区，一律不新增地下水开采量。</w:t>
                  </w:r>
                </w:p>
                <w:p w14:paraId="2F8F3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396"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2.在利用地表水灌溉水源有保障的区域和退耕实施雨养旱作的区域，对农业灌溉机井实施封填；在深层承压水漏斗区，对农业灌溉取用深层承压水的机井有计划予以关停。</w:t>
                  </w:r>
                </w:p>
                <w:p w14:paraId="72EE7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3.实行严格的产业准入制度，对地下水超采地区，严把取水许可关口，不得新建扩建高耗水项目。</w:t>
                  </w:r>
                </w:p>
                <w:p w14:paraId="77370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4.加快城镇供水水源置换。充分利用当地水和外调水，加快配套供水工程建设，加大水源切换力度，强制性关闭自备井，有效压减城镇生活和工业地下水开采量。</w:t>
                  </w:r>
                </w:p>
              </w:tc>
              <w:tc>
                <w:tcPr>
                  <w:tcW w:w="1255" w:type="pct"/>
                  <w:tcBorders>
                    <w:tl2br w:val="nil"/>
                    <w:tr2bl w:val="nil"/>
                  </w:tcBorders>
                  <w:vAlign w:val="center"/>
                </w:tcPr>
                <w:p w14:paraId="6ECB1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本项目用水由园区集中供水。</w:t>
                  </w:r>
                </w:p>
                <w:p w14:paraId="0A355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075F6E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本项目不属于《高耗水工艺、技术和装备淘汰目录（第一批)》中的高耗水项目。</w:t>
                  </w:r>
                </w:p>
                <w:p w14:paraId="433BC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本项目用水由园区集中供水。</w:t>
                  </w:r>
                </w:p>
              </w:tc>
              <w:tc>
                <w:tcPr>
                  <w:tcW w:w="355" w:type="pct"/>
                  <w:tcBorders>
                    <w:tl2br w:val="nil"/>
                    <w:tr2bl w:val="nil"/>
                  </w:tcBorders>
                  <w:vAlign w:val="center"/>
                </w:tcPr>
                <w:p w14:paraId="16988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3E70A22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6F449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能</w:t>
                  </w:r>
                </w:p>
                <w:p w14:paraId="35300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源</w:t>
                  </w:r>
                </w:p>
              </w:tc>
              <w:tc>
                <w:tcPr>
                  <w:tcW w:w="2969" w:type="pct"/>
                  <w:tcBorders>
                    <w:tl2br w:val="nil"/>
                    <w:tr2bl w:val="nil"/>
                  </w:tcBorders>
                  <w:vAlign w:val="center"/>
                </w:tcPr>
                <w:p w14:paraId="1A0BD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1.采取措施，调整能源结构，推广清洁能源的生产和使用；优化煤炭使用方式，推广煤炭清洁高效利用，逐步降低煤炭在一次能源消费中的比重，减少煤炭生产、使用、转化过程中的大气污染物排放。</w:t>
                  </w:r>
                </w:p>
                <w:p w14:paraId="471F0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2.国家推行煤炭洗选加工，降低煤炭的硫分和灰分，限制高硫分、高灰分煤炭的开采。禁止开采含放射性和砷等有毒有害物质超过规定标准的煤炭。</w:t>
                  </w:r>
                </w:p>
                <w:p w14:paraId="54AD6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396" w:firstLineChars="200"/>
                    <w:jc w:val="both"/>
                    <w:textAlignment w:val="auto"/>
                    <w:rPr>
                      <w:rFonts w:hint="default" w:ascii="Times New Roman" w:hAnsi="Times New Roman" w:eastAsia="宋体" w:cs="Times New Roman"/>
                      <w:b w:val="0"/>
                      <w:bCs/>
                      <w:snapToGrid/>
                      <w:color w:val="auto"/>
                      <w:spacing w:val="-6"/>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3.严控工业和民用燃煤质量，面向工业用销售的煤炭经营企业(网点)要严格执行《工业和民用燃料煤》（DB13/2081-2014）中关于工业用煤的标准规定；面向民用销售的型煤生产企业要严格执行国家强制性标准《商品煤质量民用散煤》（GB34169-2017）中“1号”质量指标的规定。</w:t>
                  </w:r>
                </w:p>
                <w:p w14:paraId="51DDE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396"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4.对新增耗煤项目实施等(减)量替代。5.平原地区农村全部完成生活和冬季取暖散煤替代，实现散煤动态清零。</w:t>
                  </w:r>
                </w:p>
              </w:tc>
              <w:tc>
                <w:tcPr>
                  <w:tcW w:w="1255" w:type="pct"/>
                  <w:tcBorders>
                    <w:tl2br w:val="nil"/>
                    <w:tr2bl w:val="nil"/>
                  </w:tcBorders>
                  <w:vAlign w:val="center"/>
                </w:tcPr>
                <w:p w14:paraId="08F86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本项目不使用煤炭，项目生产用热采用</w:t>
                  </w:r>
                  <w:r>
                    <w:rPr>
                      <w:rFonts w:hint="eastAsia" w:ascii="Times New Roman" w:hAnsi="Times New Roman" w:eastAsia="宋体" w:cs="Times New Roman"/>
                      <w:b w:val="0"/>
                      <w:bCs/>
                      <w:snapToGrid/>
                      <w:color w:val="auto"/>
                      <w:kern w:val="2"/>
                      <w:sz w:val="21"/>
                      <w:szCs w:val="21"/>
                      <w:highlight w:val="none"/>
                      <w:lang w:val="zh-CN" w:eastAsia="zh-CN" w:bidi="zh-CN"/>
                    </w:rPr>
                    <w:t>电加热、清洁能源天然气</w:t>
                  </w:r>
                  <w:r>
                    <w:rPr>
                      <w:rFonts w:hint="default" w:ascii="Times New Roman" w:hAnsi="Times New Roman" w:eastAsia="宋体" w:cs="Times New Roman"/>
                      <w:b w:val="0"/>
                      <w:bCs/>
                      <w:snapToGrid/>
                      <w:color w:val="auto"/>
                      <w:kern w:val="2"/>
                      <w:sz w:val="21"/>
                      <w:szCs w:val="21"/>
                      <w:highlight w:val="none"/>
                      <w:lang w:val="zh-CN" w:eastAsia="zh-CN" w:bidi="zh-CN"/>
                    </w:rPr>
                    <w:t>。</w:t>
                  </w:r>
                </w:p>
                <w:p w14:paraId="3494B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424934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09307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0D225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5</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2E6EF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1DCF49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5D8537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土</w:t>
                  </w:r>
                </w:p>
                <w:p w14:paraId="14688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地</w:t>
                  </w:r>
                </w:p>
                <w:p w14:paraId="14FBD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资</w:t>
                  </w:r>
                </w:p>
                <w:p w14:paraId="695CC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源</w:t>
                  </w:r>
                </w:p>
              </w:tc>
              <w:tc>
                <w:tcPr>
                  <w:tcW w:w="2969" w:type="pct"/>
                  <w:tcBorders>
                    <w:tl2br w:val="nil"/>
                    <w:tr2bl w:val="nil"/>
                  </w:tcBorders>
                  <w:vAlign w:val="center"/>
                </w:tcPr>
                <w:p w14:paraId="27A2CC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1.国家保护耕地，严格控制耕地转为非耕地。国家实行占用耕地补偿制度。</w:t>
                  </w:r>
                </w:p>
                <w:p w14:paraId="531ED4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2.禁止占用耕地建窑、建坟或者擅自在耕地上建房、挖砂、采石、采矿、取土等。禁止占用永久基本农田发展林果业和挖塘养鱼。</w:t>
                  </w:r>
                </w:p>
                <w:p w14:paraId="3183E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3.建设占用土地，涉及农用地转为建设用地的，应当办理农用地转用审批手续。</w:t>
                  </w:r>
                </w:p>
              </w:tc>
              <w:tc>
                <w:tcPr>
                  <w:tcW w:w="1255" w:type="pct"/>
                  <w:tcBorders>
                    <w:tl2br w:val="nil"/>
                    <w:tr2bl w:val="nil"/>
                  </w:tcBorders>
                  <w:vAlign w:val="center"/>
                </w:tcPr>
                <w:p w14:paraId="452B7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本项目占地属于工业用地。</w:t>
                  </w:r>
                </w:p>
                <w:p w14:paraId="5810E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180BD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tc>
              <w:tc>
                <w:tcPr>
                  <w:tcW w:w="355" w:type="pct"/>
                  <w:tcBorders>
                    <w:tl2br w:val="nil"/>
                    <w:tr2bl w:val="nil"/>
                  </w:tcBorders>
                  <w:vAlign w:val="center"/>
                </w:tcPr>
                <w:p w14:paraId="38832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符合</w:t>
                  </w:r>
                </w:p>
              </w:tc>
            </w:tr>
            <w:tr w14:paraId="341A895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42824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管控</w:t>
                  </w:r>
                </w:p>
                <w:p w14:paraId="774AB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维度</w:t>
                  </w:r>
                </w:p>
              </w:tc>
              <w:tc>
                <w:tcPr>
                  <w:tcW w:w="2969" w:type="pct"/>
                  <w:tcBorders>
                    <w:tl2br w:val="nil"/>
                    <w:tr2bl w:val="nil"/>
                  </w:tcBorders>
                  <w:vAlign w:val="center"/>
                </w:tcPr>
                <w:p w14:paraId="4B542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全市产业布局总体管控要求</w:t>
                  </w:r>
                </w:p>
              </w:tc>
              <w:tc>
                <w:tcPr>
                  <w:tcW w:w="1255" w:type="pct"/>
                  <w:tcBorders>
                    <w:tl2br w:val="nil"/>
                    <w:tr2bl w:val="nil"/>
                  </w:tcBorders>
                  <w:vAlign w:val="center"/>
                </w:tcPr>
                <w:p w14:paraId="696CDE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kern w:val="2"/>
                      <w:sz w:val="21"/>
                      <w:szCs w:val="21"/>
                      <w:highlight w:val="none"/>
                      <w:lang w:val="zh-CN" w:eastAsia="zh-CN" w:bidi="zh-CN"/>
                    </w:rPr>
                    <w:t>本项目</w:t>
                  </w:r>
                </w:p>
              </w:tc>
              <w:tc>
                <w:tcPr>
                  <w:tcW w:w="355" w:type="pct"/>
                  <w:tcBorders>
                    <w:tl2br w:val="nil"/>
                    <w:tr2bl w:val="nil"/>
                  </w:tcBorders>
                  <w:vAlign w:val="center"/>
                </w:tcPr>
                <w:p w14:paraId="3C61F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napToGrid/>
                      <w:color w:val="auto"/>
                      <w:kern w:val="2"/>
                      <w:sz w:val="21"/>
                      <w:szCs w:val="21"/>
                      <w:highlight w:val="none"/>
                      <w:lang w:val="zh-CN" w:eastAsia="zh-CN" w:bidi="zh-CN"/>
                    </w:rPr>
                  </w:pPr>
                  <w:r>
                    <w:rPr>
                      <w:rFonts w:hint="default" w:ascii="Times New Roman" w:hAnsi="Times New Roman" w:eastAsia="宋体" w:cs="Times New Roman"/>
                      <w:b/>
                      <w:bCs w:val="0"/>
                      <w:snapToGrid/>
                      <w:color w:val="auto"/>
                      <w:spacing w:val="-20"/>
                      <w:kern w:val="2"/>
                      <w:sz w:val="21"/>
                      <w:szCs w:val="21"/>
                      <w:highlight w:val="none"/>
                      <w:lang w:val="zh-CN" w:eastAsia="zh-CN" w:bidi="zh-CN"/>
                    </w:rPr>
                    <w:t>符合性</w:t>
                  </w:r>
                </w:p>
              </w:tc>
            </w:tr>
            <w:tr w14:paraId="2AC49E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299854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产业布局总体管控要求</w:t>
                  </w:r>
                </w:p>
              </w:tc>
              <w:tc>
                <w:tcPr>
                  <w:tcW w:w="2969" w:type="pct"/>
                  <w:tcBorders>
                    <w:tl2br w:val="nil"/>
                    <w:tr2bl w:val="nil"/>
                  </w:tcBorders>
                  <w:vAlign w:val="center"/>
                </w:tcPr>
                <w:p w14:paraId="4E128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1.严把项目准入关。严格落实生态保护红线、环境质量底线、资源利用上线、环境准入清单和产业准入政策，严格落实钢铁、水泥、平板玻璃等行业产能置换政策，严禁新增钢铁、焦化、水泥和平板玻璃等产能，禁止新增化工园区。</w:t>
                  </w:r>
                </w:p>
                <w:p w14:paraId="66538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进一步优化产业结构。以提升产业链水平为方向，推动产业向中高端迈进，优化提升精品钢材、装备制造、食品加工、现代物流、文化旅游五大现有优势产业，培育壮大新材料、新能源、生物健康三大新兴产业，谋划布局安防应急、电子信息和网络两大未来产业，构建高新技术产业优势凸显、现代服务业支撑强劲、传统产业优质高效的产业发展格局。</w:t>
                  </w:r>
                </w:p>
                <w:p w14:paraId="49C80B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3.加快调整不符合生态环境功能定位的产业布局、产业规模和产业结构，明确禁止和限制发展的行业、生产工艺和产业目录。</w:t>
                  </w:r>
                </w:p>
                <w:p w14:paraId="013B3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4.发展壮大“532”市域主导产业，加快新旧动能转换。提升传统优势产业发展能级，完成钢铁产业整合重组，延伸钢铁产业链条，加快建设全国重要精品钢材生产基地，形成“一集群五基地”产业格局。</w:t>
                  </w:r>
                </w:p>
              </w:tc>
              <w:tc>
                <w:tcPr>
                  <w:tcW w:w="1255" w:type="pct"/>
                  <w:tcBorders>
                    <w:tl2br w:val="nil"/>
                    <w:tr2bl w:val="nil"/>
                  </w:tcBorders>
                  <w:vAlign w:val="center"/>
                </w:tcPr>
                <w:p w14:paraId="3DE82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cs="Times New Roman"/>
                      <w:b w:val="0"/>
                      <w:bCs/>
                      <w:snapToGrid/>
                      <w:color w:val="auto"/>
                      <w:kern w:val="2"/>
                      <w:sz w:val="21"/>
                      <w:szCs w:val="21"/>
                      <w:highlight w:val="none"/>
                      <w:lang w:val="en-US"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54F05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cs="Times New Roman"/>
                      <w:b w:val="0"/>
                      <w:bCs/>
                      <w:snapToGrid/>
                      <w:color w:val="auto"/>
                      <w:kern w:val="2"/>
                      <w:sz w:val="21"/>
                      <w:szCs w:val="21"/>
                      <w:highlight w:val="none"/>
                      <w:lang w:val="en-US"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2</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3590D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3</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本项目不涉及。</w:t>
                  </w:r>
                </w:p>
                <w:p w14:paraId="723F0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4</w:t>
                  </w:r>
                  <w:r>
                    <w:rPr>
                      <w:rFonts w:hint="eastAsia" w:cs="Times New Roman"/>
                      <w:b w:val="0"/>
                      <w:bCs/>
                      <w:snapToGrid/>
                      <w:color w:val="auto"/>
                      <w:kern w:val="2"/>
                      <w:sz w:val="21"/>
                      <w:szCs w:val="21"/>
                      <w:highlight w:val="none"/>
                      <w:lang w:val="en-US" w:eastAsia="zh-CN" w:bidi="zh-CN"/>
                    </w:rPr>
                    <w:t>.</w:t>
                  </w:r>
                  <w:r>
                    <w:rPr>
                      <w:rFonts w:hint="default" w:ascii="Times New Roman" w:hAnsi="Times New Roman" w:eastAsia="宋体" w:cs="Times New Roman"/>
                      <w:b w:val="0"/>
                      <w:bCs/>
                      <w:snapToGrid/>
                      <w:color w:val="auto"/>
                      <w:kern w:val="2"/>
                      <w:sz w:val="21"/>
                      <w:szCs w:val="21"/>
                      <w:highlight w:val="none"/>
                      <w:lang w:val="zh-CN" w:eastAsia="zh-CN" w:bidi="zh-CN"/>
                    </w:rPr>
                    <w:t>本项目属于</w:t>
                  </w:r>
                  <w:r>
                    <w:rPr>
                      <w:rFonts w:hint="eastAsia" w:cs="Times New Roman"/>
                      <w:b w:val="0"/>
                      <w:bCs/>
                      <w:snapToGrid/>
                      <w:color w:val="auto"/>
                      <w:kern w:val="2"/>
                      <w:sz w:val="21"/>
                      <w:szCs w:val="21"/>
                      <w:highlight w:val="none"/>
                      <w:lang w:val="zh-CN" w:eastAsia="zh-CN" w:bidi="zh-CN"/>
                    </w:rPr>
                    <w:t>食品加工业</w:t>
                  </w:r>
                  <w:r>
                    <w:rPr>
                      <w:rFonts w:hint="default" w:ascii="Times New Roman" w:hAnsi="Times New Roman" w:eastAsia="宋体" w:cs="Times New Roman"/>
                      <w:b w:val="0"/>
                      <w:bCs/>
                      <w:snapToGrid/>
                      <w:color w:val="auto"/>
                      <w:kern w:val="2"/>
                      <w:sz w:val="21"/>
                      <w:szCs w:val="21"/>
                      <w:highlight w:val="none"/>
                      <w:lang w:val="zh-CN" w:eastAsia="zh-CN" w:bidi="zh-CN"/>
                    </w:rPr>
                    <w:t>，符合园区总体规划和产业定位</w:t>
                  </w:r>
                  <w:r>
                    <w:rPr>
                      <w:rFonts w:hint="eastAsia" w:ascii="Times New Roman" w:hAnsi="Times New Roman" w:eastAsia="宋体" w:cs="Times New Roman"/>
                      <w:b w:val="0"/>
                      <w:bCs/>
                      <w:snapToGrid/>
                      <w:color w:val="auto"/>
                      <w:kern w:val="2"/>
                      <w:sz w:val="21"/>
                      <w:szCs w:val="21"/>
                      <w:highlight w:val="none"/>
                      <w:lang w:val="zh-CN" w:eastAsia="zh-CN" w:bidi="zh-CN"/>
                    </w:rPr>
                    <w:t>。</w:t>
                  </w:r>
                </w:p>
                <w:p w14:paraId="36987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p>
              </w:tc>
              <w:tc>
                <w:tcPr>
                  <w:tcW w:w="355" w:type="pct"/>
                  <w:tcBorders>
                    <w:tl2br w:val="nil"/>
                    <w:tr2bl w:val="nil"/>
                  </w:tcBorders>
                  <w:vAlign w:val="center"/>
                </w:tcPr>
                <w:p w14:paraId="460A5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eastAsia" w:ascii="Times New Roman" w:hAnsi="Times New Roman" w:eastAsia="宋体" w:cs="Times New Roman"/>
                      <w:b w:val="0"/>
                      <w:bCs/>
                      <w:snapToGrid/>
                      <w:color w:val="auto"/>
                      <w:kern w:val="2"/>
                      <w:sz w:val="21"/>
                      <w:szCs w:val="21"/>
                      <w:highlight w:val="none"/>
                      <w:lang w:val="zh-CN" w:eastAsia="zh-CN" w:bidi="zh-CN"/>
                    </w:rPr>
                    <w:t>符合</w:t>
                  </w:r>
                </w:p>
              </w:tc>
            </w:tr>
            <w:tr w14:paraId="5386EF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0" w:type="pct"/>
                  <w:gridSpan w:val="2"/>
                  <w:tcBorders>
                    <w:tl2br w:val="nil"/>
                    <w:tr2bl w:val="nil"/>
                  </w:tcBorders>
                  <w:vAlign w:val="center"/>
                </w:tcPr>
                <w:p w14:paraId="7F304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项目入园准入要求</w:t>
                  </w:r>
                </w:p>
              </w:tc>
              <w:tc>
                <w:tcPr>
                  <w:tcW w:w="2969" w:type="pct"/>
                  <w:tcBorders>
                    <w:tl2br w:val="nil"/>
                    <w:tr2bl w:val="nil"/>
                  </w:tcBorders>
                  <w:vAlign w:val="center"/>
                </w:tcPr>
                <w:p w14:paraId="02677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1.造纸、焦化、氮肥、有色金属、印染、农副食品加工、原料药制造、皮革、农药、电镀、钢铁、水泥、平板玻璃、石灰、石化、化工等高污染工业项目必须入园进区，其他工业项目原则上也不在园区外布局。</w:t>
                  </w:r>
                </w:p>
                <w:p w14:paraId="09BFD0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96"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spacing w:val="-6"/>
                      <w:kern w:val="2"/>
                      <w:sz w:val="21"/>
                      <w:szCs w:val="21"/>
                      <w:highlight w:val="none"/>
                      <w:lang w:val="zh-CN" w:eastAsia="zh-CN" w:bidi="zh-CN"/>
                    </w:rPr>
                    <w:t>2.新（改、扩）建钢铁、石化、化工、焦化、建材、有色等项目的环境影响评价，应满足区域、规划环评要求。</w:t>
                  </w:r>
                </w:p>
              </w:tc>
              <w:tc>
                <w:tcPr>
                  <w:tcW w:w="1255" w:type="pct"/>
                  <w:tcBorders>
                    <w:tl2br w:val="nil"/>
                    <w:tr2bl w:val="nil"/>
                  </w:tcBorders>
                  <w:vAlign w:val="center"/>
                </w:tcPr>
                <w:p w14:paraId="0E597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default" w:ascii="Times New Roman" w:hAnsi="Times New Roman" w:eastAsia="宋体" w:cs="Times New Roman"/>
                      <w:b w:val="0"/>
                      <w:bCs/>
                      <w:snapToGrid/>
                      <w:color w:val="auto"/>
                      <w:kern w:val="2"/>
                      <w:sz w:val="21"/>
                      <w:szCs w:val="21"/>
                      <w:highlight w:val="none"/>
                      <w:lang w:val="zh-CN" w:eastAsia="zh-CN" w:bidi="zh-CN"/>
                    </w:rPr>
                    <w:t>本项目位于</w:t>
                  </w:r>
                  <w:r>
                    <w:rPr>
                      <w:rFonts w:hint="eastAsia" w:ascii="Times New Roman" w:hAnsi="Times New Roman" w:eastAsia="宋体" w:cs="Times New Roman"/>
                      <w:b w:val="0"/>
                      <w:bCs/>
                      <w:snapToGrid/>
                      <w:color w:val="auto"/>
                      <w:kern w:val="2"/>
                      <w:sz w:val="21"/>
                      <w:szCs w:val="21"/>
                      <w:highlight w:val="none"/>
                      <w:lang w:val="zh-CN" w:eastAsia="zh-CN" w:bidi="zh-CN"/>
                    </w:rPr>
                    <w:t>河北魏县经济开发区</w:t>
                  </w:r>
                  <w:r>
                    <w:rPr>
                      <w:rFonts w:hint="default" w:ascii="Times New Roman" w:hAnsi="Times New Roman" w:eastAsia="宋体" w:cs="Times New Roman"/>
                      <w:b w:val="0"/>
                      <w:bCs/>
                      <w:snapToGrid/>
                      <w:color w:val="auto"/>
                      <w:kern w:val="2"/>
                      <w:sz w:val="21"/>
                      <w:szCs w:val="21"/>
                      <w:highlight w:val="none"/>
                      <w:lang w:val="zh-CN" w:eastAsia="zh-CN" w:bidi="zh-CN"/>
                    </w:rPr>
                    <w:t>，且满足区域规划环评要求</w:t>
                  </w:r>
                  <w:r>
                    <w:rPr>
                      <w:rFonts w:hint="eastAsia" w:cs="Times New Roman"/>
                      <w:b w:val="0"/>
                      <w:bCs/>
                      <w:snapToGrid/>
                      <w:color w:val="auto"/>
                      <w:kern w:val="2"/>
                      <w:sz w:val="21"/>
                      <w:szCs w:val="21"/>
                      <w:highlight w:val="none"/>
                      <w:lang w:val="zh-CN" w:eastAsia="zh-CN" w:bidi="zh-CN"/>
                    </w:rPr>
                    <w:t>。</w:t>
                  </w:r>
                </w:p>
              </w:tc>
              <w:tc>
                <w:tcPr>
                  <w:tcW w:w="355" w:type="pct"/>
                  <w:tcBorders>
                    <w:tl2br w:val="nil"/>
                    <w:tr2bl w:val="nil"/>
                  </w:tcBorders>
                  <w:vAlign w:val="center"/>
                </w:tcPr>
                <w:p w14:paraId="03D28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color w:val="auto"/>
                      <w:kern w:val="2"/>
                      <w:sz w:val="21"/>
                      <w:szCs w:val="21"/>
                      <w:highlight w:val="none"/>
                      <w:lang w:val="zh-CN" w:eastAsia="zh-CN" w:bidi="zh-CN"/>
                    </w:rPr>
                  </w:pPr>
                  <w:r>
                    <w:rPr>
                      <w:rFonts w:hint="eastAsia" w:ascii="Times New Roman" w:hAnsi="Times New Roman" w:eastAsia="宋体" w:cs="Times New Roman"/>
                      <w:b w:val="0"/>
                      <w:bCs/>
                      <w:snapToGrid/>
                      <w:color w:val="auto"/>
                      <w:kern w:val="2"/>
                      <w:sz w:val="21"/>
                      <w:szCs w:val="21"/>
                      <w:highlight w:val="none"/>
                      <w:lang w:val="zh-CN" w:eastAsia="zh-CN" w:bidi="zh-CN"/>
                    </w:rPr>
                    <w:t>符合</w:t>
                  </w:r>
                </w:p>
              </w:tc>
            </w:tr>
          </w:tbl>
          <w:p w14:paraId="59F2215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表1-5  魏县生态环境准入清单</w:t>
            </w:r>
          </w:p>
          <w:tbl>
            <w:tblPr>
              <w:tblStyle w:val="33"/>
              <w:tblW w:w="862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93"/>
              <w:gridCol w:w="350"/>
              <w:gridCol w:w="500"/>
              <w:gridCol w:w="517"/>
              <w:gridCol w:w="692"/>
              <w:gridCol w:w="383"/>
              <w:gridCol w:w="4128"/>
              <w:gridCol w:w="1189"/>
              <w:gridCol w:w="569"/>
            </w:tblGrid>
            <w:tr w14:paraId="6172CE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293" w:type="dxa"/>
                  <w:tcBorders>
                    <w:tl2br w:val="nil"/>
                    <w:tr2bl w:val="nil"/>
                  </w:tcBorders>
                  <w:vAlign w:val="center"/>
                </w:tcPr>
                <w:p w14:paraId="2A58BEAC">
                  <w:pPr>
                    <w:pStyle w:val="5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编</w:t>
                  </w:r>
                </w:p>
                <w:p w14:paraId="29DFDF6D">
                  <w:pPr>
                    <w:pStyle w:val="5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号</w:t>
                  </w:r>
                </w:p>
              </w:tc>
              <w:tc>
                <w:tcPr>
                  <w:tcW w:w="350" w:type="dxa"/>
                  <w:tcBorders>
                    <w:tl2br w:val="nil"/>
                    <w:tr2bl w:val="nil"/>
                  </w:tcBorders>
                  <w:vAlign w:val="center"/>
                </w:tcPr>
                <w:p w14:paraId="2524F3F4">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区</w:t>
                  </w:r>
                </w:p>
                <w:p w14:paraId="5FF16B06">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县</w:t>
                  </w:r>
                </w:p>
              </w:tc>
              <w:tc>
                <w:tcPr>
                  <w:tcW w:w="500" w:type="dxa"/>
                  <w:tcBorders>
                    <w:tl2br w:val="nil"/>
                    <w:tr2bl w:val="nil"/>
                  </w:tcBorders>
                  <w:vAlign w:val="center"/>
                </w:tcPr>
                <w:p w14:paraId="7B184418">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涉及</w:t>
                  </w:r>
                </w:p>
                <w:p w14:paraId="7356F895">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乡镇</w:t>
                  </w:r>
                </w:p>
              </w:tc>
              <w:tc>
                <w:tcPr>
                  <w:tcW w:w="517" w:type="dxa"/>
                  <w:tcBorders>
                    <w:tl2br w:val="nil"/>
                    <w:tr2bl w:val="nil"/>
                  </w:tcBorders>
                  <w:vAlign w:val="center"/>
                </w:tcPr>
                <w:p w14:paraId="0D8514AE">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单位</w:t>
                  </w:r>
                </w:p>
                <w:p w14:paraId="3084F193">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类别</w:t>
                  </w:r>
                </w:p>
              </w:tc>
              <w:tc>
                <w:tcPr>
                  <w:tcW w:w="692" w:type="dxa"/>
                  <w:tcBorders>
                    <w:tl2br w:val="nil"/>
                    <w:tr2bl w:val="nil"/>
                  </w:tcBorders>
                  <w:vAlign w:val="center"/>
                </w:tcPr>
                <w:p w14:paraId="477733DF">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环境</w:t>
                  </w:r>
                </w:p>
                <w:p w14:paraId="107ABFA1">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要素</w:t>
                  </w:r>
                </w:p>
                <w:p w14:paraId="54FC1F0E">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类别</w:t>
                  </w:r>
                </w:p>
              </w:tc>
              <w:tc>
                <w:tcPr>
                  <w:tcW w:w="383" w:type="dxa"/>
                  <w:tcBorders>
                    <w:tl2br w:val="nil"/>
                    <w:tr2bl w:val="nil"/>
                  </w:tcBorders>
                  <w:vAlign w:val="center"/>
                </w:tcPr>
                <w:p w14:paraId="1846D99D">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维</w:t>
                  </w:r>
                </w:p>
                <w:p w14:paraId="5544C5E5">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度</w:t>
                  </w:r>
                </w:p>
              </w:tc>
              <w:tc>
                <w:tcPr>
                  <w:tcW w:w="4128" w:type="dxa"/>
                  <w:tcBorders>
                    <w:tl2br w:val="nil"/>
                    <w:tr2bl w:val="nil"/>
                  </w:tcBorders>
                  <w:vAlign w:val="center"/>
                </w:tcPr>
                <w:p w14:paraId="67C5B738">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管控措施</w:t>
                  </w:r>
                </w:p>
              </w:tc>
              <w:tc>
                <w:tcPr>
                  <w:tcW w:w="1189" w:type="dxa"/>
                  <w:tcBorders>
                    <w:tl2br w:val="nil"/>
                    <w:tr2bl w:val="nil"/>
                  </w:tcBorders>
                  <w:vAlign w:val="center"/>
                </w:tcPr>
                <w:p w14:paraId="70BE4500">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本项目情况</w:t>
                  </w:r>
                </w:p>
              </w:tc>
              <w:tc>
                <w:tcPr>
                  <w:tcW w:w="569" w:type="dxa"/>
                  <w:tcBorders>
                    <w:tl2br w:val="nil"/>
                    <w:tr2bl w:val="nil"/>
                  </w:tcBorders>
                  <w:vAlign w:val="center"/>
                </w:tcPr>
                <w:p w14:paraId="13851C83">
                  <w:pPr>
                    <w:pStyle w:val="52"/>
                    <w:keepNext w:val="0"/>
                    <w:keepLines w:val="0"/>
                    <w:pageBreakBefore w:val="0"/>
                    <w:suppressLineNumbers w:val="0"/>
                    <w:tabs>
                      <w:tab w:val="left" w:pos="759"/>
                    </w:tabs>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pacing w:val="-23"/>
                      <w:sz w:val="21"/>
                      <w:szCs w:val="21"/>
                      <w:highlight w:val="none"/>
                    </w:rPr>
                    <w:t>符合性</w:t>
                  </w:r>
                </w:p>
              </w:tc>
            </w:tr>
            <w:tr w14:paraId="409A74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293" w:type="dxa"/>
                  <w:vMerge w:val="restart"/>
                  <w:tcBorders>
                    <w:tl2br w:val="nil"/>
                    <w:tr2bl w:val="nil"/>
                  </w:tcBorders>
                  <w:vAlign w:val="center"/>
                </w:tcPr>
                <w:p w14:paraId="676B0F8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Z</w:t>
                  </w:r>
                </w:p>
                <w:p w14:paraId="3834FF5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H</w:t>
                  </w:r>
                </w:p>
                <w:p w14:paraId="708AD35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1</w:t>
                  </w:r>
                </w:p>
                <w:p w14:paraId="712D152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3</w:t>
                  </w:r>
                </w:p>
                <w:p w14:paraId="5B86A96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0</w:t>
                  </w:r>
                </w:p>
                <w:p w14:paraId="5745478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4</w:t>
                  </w:r>
                </w:p>
                <w:p w14:paraId="0488588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3</w:t>
                  </w:r>
                </w:p>
                <w:p w14:paraId="1915C23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4</w:t>
                  </w:r>
                </w:p>
                <w:p w14:paraId="4B30A0C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2</w:t>
                  </w:r>
                </w:p>
                <w:p w14:paraId="49750EB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0</w:t>
                  </w:r>
                </w:p>
                <w:p w14:paraId="2FEE5D1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1</w:t>
                  </w:r>
                </w:p>
                <w:p w14:paraId="1915B7B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3</w:t>
                  </w:r>
                </w:p>
                <w:p w14:paraId="19A8F9C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5</w:t>
                  </w:r>
                </w:p>
              </w:tc>
              <w:tc>
                <w:tcPr>
                  <w:tcW w:w="350" w:type="dxa"/>
                  <w:vMerge w:val="restart"/>
                  <w:tcBorders>
                    <w:tl2br w:val="nil"/>
                    <w:tr2bl w:val="nil"/>
                  </w:tcBorders>
                  <w:vAlign w:val="center"/>
                </w:tcPr>
                <w:p w14:paraId="63565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魏</w:t>
                  </w:r>
                </w:p>
                <w:p w14:paraId="3C8E1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县</w:t>
                  </w:r>
                </w:p>
              </w:tc>
              <w:tc>
                <w:tcPr>
                  <w:tcW w:w="500" w:type="dxa"/>
                  <w:vMerge w:val="restart"/>
                  <w:tcBorders>
                    <w:tl2br w:val="nil"/>
                    <w:tr2bl w:val="nil"/>
                  </w:tcBorders>
                  <w:vAlign w:val="center"/>
                </w:tcPr>
                <w:p w14:paraId="74B5F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魏城镇、德政镇、东代固镇、沙口集乡</w:t>
                  </w:r>
                </w:p>
              </w:tc>
              <w:tc>
                <w:tcPr>
                  <w:tcW w:w="517" w:type="dxa"/>
                  <w:vMerge w:val="restart"/>
                  <w:tcBorders>
                    <w:tl2br w:val="nil"/>
                    <w:tr2bl w:val="nil"/>
                  </w:tcBorders>
                  <w:vAlign w:val="center"/>
                </w:tcPr>
                <w:p w14:paraId="5FD77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重点</w:t>
                  </w:r>
                </w:p>
                <w:p w14:paraId="7DA98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lang w:val="en-US"/>
                    </w:rPr>
                    <w:t>管控</w:t>
                  </w:r>
                </w:p>
                <w:p w14:paraId="1B9D0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rPr>
                    <w:t>单元</w:t>
                  </w:r>
                </w:p>
              </w:tc>
              <w:tc>
                <w:tcPr>
                  <w:tcW w:w="692" w:type="dxa"/>
                  <w:vMerge w:val="restart"/>
                  <w:tcBorders>
                    <w:tl2br w:val="nil"/>
                    <w:tr2bl w:val="nil"/>
                  </w:tcBorders>
                  <w:vAlign w:val="center"/>
                </w:tcPr>
                <w:p w14:paraId="31606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大气环境高排</w:t>
                  </w:r>
                </w:p>
                <w:p w14:paraId="565CE6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放重点管控区、水环境工业污</w:t>
                  </w:r>
                </w:p>
                <w:p w14:paraId="58AA1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染重点管控区、魏县经济开发</w:t>
                  </w:r>
                </w:p>
              </w:tc>
              <w:tc>
                <w:tcPr>
                  <w:tcW w:w="383" w:type="dxa"/>
                  <w:tcBorders>
                    <w:tl2br w:val="nil"/>
                    <w:tr2bl w:val="nil"/>
                  </w:tcBorders>
                  <w:vAlign w:val="center"/>
                </w:tcPr>
                <w:p w14:paraId="3210B7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空</w:t>
                  </w:r>
                </w:p>
                <w:p w14:paraId="1833948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间</w:t>
                  </w:r>
                </w:p>
                <w:p w14:paraId="55BBAE3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布</w:t>
                  </w:r>
                </w:p>
                <w:p w14:paraId="4CA8693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局</w:t>
                  </w:r>
                </w:p>
                <w:p w14:paraId="19CF483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约</w:t>
                  </w:r>
                </w:p>
                <w:p w14:paraId="6E7DA0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0"/>
                      <w:szCs w:val="21"/>
                      <w:highlight w:val="none"/>
                    </w:rPr>
                    <w:t>束</w:t>
                  </w:r>
                </w:p>
              </w:tc>
              <w:tc>
                <w:tcPr>
                  <w:tcW w:w="4128" w:type="dxa"/>
                  <w:tcBorders>
                    <w:tl2br w:val="nil"/>
                    <w:tr2bl w:val="nil"/>
                  </w:tcBorders>
                  <w:vAlign w:val="center"/>
                </w:tcPr>
                <w:p w14:paraId="4C07D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396" w:firstLineChars="200"/>
                    <w:jc w:val="both"/>
                    <w:textAlignment w:val="auto"/>
                    <w:rPr>
                      <w:rFonts w:hint="default" w:ascii="Times New Roman" w:hAnsi="Times New Roman" w:eastAsia="宋体" w:cs="Times New Roman"/>
                      <w:color w:val="auto"/>
                      <w:spacing w:val="-6"/>
                      <w:sz w:val="21"/>
                      <w:szCs w:val="21"/>
                      <w:highlight w:val="none"/>
                    </w:rPr>
                  </w:pPr>
                  <w:r>
                    <w:rPr>
                      <w:rFonts w:hint="default" w:ascii="Times New Roman" w:hAnsi="Times New Roman" w:eastAsia="宋体" w:cs="Times New Roman"/>
                      <w:color w:val="auto"/>
                      <w:spacing w:val="-6"/>
                      <w:sz w:val="21"/>
                      <w:szCs w:val="21"/>
                      <w:highlight w:val="none"/>
                    </w:rPr>
                    <w:t>1.不符合经济开发区产业定位、污染物排放较大的行业；高水耗、高物耗、高能耗的项目；废水含难降解的有机污染物、</w:t>
                  </w:r>
                  <w:r>
                    <w:rPr>
                      <w:rFonts w:hint="default" w:ascii="Times New Roman" w:hAnsi="Times New Roman" w:eastAsia="宋体" w:cs="Times New Roman"/>
                      <w:color w:val="auto"/>
                      <w:spacing w:val="-6"/>
                      <w:sz w:val="21"/>
                      <w:szCs w:val="21"/>
                      <w:highlight w:val="none"/>
                      <w:lang w:eastAsia="zh-CN"/>
                    </w:rPr>
                    <w:t>“</w:t>
                  </w:r>
                  <w:r>
                    <w:rPr>
                      <w:rFonts w:hint="default" w:ascii="Times New Roman" w:hAnsi="Times New Roman" w:eastAsia="宋体" w:cs="Times New Roman"/>
                      <w:color w:val="auto"/>
                      <w:spacing w:val="-6"/>
                      <w:sz w:val="21"/>
                      <w:szCs w:val="21"/>
                      <w:highlight w:val="none"/>
                    </w:rPr>
                    <w:t>三致</w:t>
                  </w:r>
                  <w:r>
                    <w:rPr>
                      <w:rFonts w:hint="default" w:ascii="Times New Roman" w:hAnsi="Times New Roman" w:eastAsia="宋体" w:cs="Times New Roman"/>
                      <w:color w:val="auto"/>
                      <w:spacing w:val="-6"/>
                      <w:sz w:val="21"/>
                      <w:szCs w:val="21"/>
                      <w:highlight w:val="none"/>
                      <w:lang w:eastAsia="zh-CN"/>
                    </w:rPr>
                    <w:t>”</w:t>
                  </w:r>
                  <w:r>
                    <w:rPr>
                      <w:rFonts w:hint="default" w:ascii="Times New Roman" w:hAnsi="Times New Roman" w:eastAsia="宋体" w:cs="Times New Roman"/>
                      <w:color w:val="auto"/>
                      <w:spacing w:val="-6"/>
                      <w:sz w:val="21"/>
                      <w:szCs w:val="21"/>
                      <w:highlight w:val="none"/>
                    </w:rPr>
                    <w:t>污染物</w:t>
                  </w:r>
                  <w:r>
                    <w:rPr>
                      <w:rFonts w:hint="eastAsia" w:cs="Times New Roman"/>
                      <w:color w:val="auto"/>
                      <w:spacing w:val="-6"/>
                      <w:sz w:val="21"/>
                      <w:szCs w:val="21"/>
                      <w:highlight w:val="none"/>
                      <w:lang w:eastAsia="zh-CN"/>
                    </w:rPr>
                    <w:t>及盐分</w:t>
                  </w:r>
                  <w:r>
                    <w:rPr>
                      <w:rFonts w:hint="default" w:ascii="Times New Roman" w:hAnsi="Times New Roman" w:eastAsia="宋体" w:cs="Times New Roman"/>
                      <w:color w:val="auto"/>
                      <w:spacing w:val="-6"/>
                      <w:sz w:val="21"/>
                      <w:szCs w:val="21"/>
                      <w:highlight w:val="none"/>
                    </w:rPr>
                    <w:t>含量较高的项目；废水经预处理达不到污水处理厂接管标准的项目；污染严重的项目；高耗水项目；工艺废气中含有难处理的、有毒有害物质的项目；采用落后的生产工艺或设备，不符合国家相关产业政策的项目禁止入区。</w:t>
                  </w:r>
                </w:p>
                <w:p w14:paraId="525DF6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396" w:firstLineChars="200"/>
                    <w:jc w:val="both"/>
                    <w:textAlignment w:val="auto"/>
                    <w:rPr>
                      <w:rFonts w:hint="default" w:ascii="Times New Roman" w:hAnsi="Times New Roman" w:eastAsia="宋体" w:cs="Times New Roman"/>
                      <w:color w:val="auto"/>
                      <w:spacing w:val="-6"/>
                      <w:sz w:val="21"/>
                      <w:szCs w:val="21"/>
                      <w:highlight w:val="none"/>
                    </w:rPr>
                  </w:pPr>
                  <w:r>
                    <w:rPr>
                      <w:rFonts w:hint="default" w:ascii="Times New Roman" w:hAnsi="Times New Roman" w:eastAsia="宋体" w:cs="Times New Roman"/>
                      <w:color w:val="auto"/>
                      <w:spacing w:val="-6"/>
                      <w:sz w:val="21"/>
                      <w:szCs w:val="21"/>
                      <w:highlight w:val="none"/>
                    </w:rPr>
                    <w:t>2.满足《河北省大运河文化保护传承利用实施规划-生态环境保护修复专项规划》</w:t>
                  </w:r>
                  <w:r>
                    <w:rPr>
                      <w:rFonts w:hint="default" w:ascii="Times New Roman" w:hAnsi="Times New Roman" w:eastAsia="宋体" w:cs="Times New Roman"/>
                      <w:color w:val="auto"/>
                      <w:spacing w:val="-11"/>
                      <w:sz w:val="21"/>
                      <w:szCs w:val="21"/>
                      <w:highlight w:val="none"/>
                    </w:rPr>
                    <w:t>《河北省大运河文化保护传承利用生态环境保护修复专项规划实施方案》中相应要求。</w:t>
                  </w:r>
                </w:p>
                <w:p w14:paraId="1DC0D1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376" w:firstLineChars="20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spacing w:val="-11"/>
                      <w:sz w:val="21"/>
                      <w:szCs w:val="21"/>
                      <w:highlight w:val="none"/>
                    </w:rPr>
                    <w:t>3.严格地下水管理，地下水禁采区和地下水限采区内按照《河北省人民政府关于公布地下水超采区和禁止开采区、限制开采区范围的通知》（冀政字〔2022〕59号）要求执行。</w:t>
                  </w:r>
                </w:p>
              </w:tc>
              <w:tc>
                <w:tcPr>
                  <w:tcW w:w="1189" w:type="dxa"/>
                  <w:tcBorders>
                    <w:tl2br w:val="nil"/>
                    <w:tr2bl w:val="nil"/>
                  </w:tcBorders>
                  <w:vAlign w:val="center"/>
                </w:tcPr>
                <w:p w14:paraId="3CAEC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本项目</w:t>
                  </w:r>
                  <w:r>
                    <w:rPr>
                      <w:rFonts w:hint="default" w:ascii="Times New Roman" w:hAnsi="Times New Roman" w:eastAsia="宋体" w:cs="Times New Roman"/>
                      <w:color w:val="auto"/>
                      <w:szCs w:val="21"/>
                      <w:highlight w:val="none"/>
                      <w:lang w:eastAsia="zh-CN"/>
                    </w:rPr>
                    <w:t>为</w:t>
                  </w:r>
                  <w:r>
                    <w:rPr>
                      <w:rFonts w:hint="eastAsia" w:cs="Times New Roman"/>
                      <w:color w:val="auto"/>
                      <w:szCs w:val="21"/>
                      <w:highlight w:val="none"/>
                      <w:lang w:eastAsia="zh-CN"/>
                    </w:rPr>
                    <w:t>食品加工业</w:t>
                  </w:r>
                  <w:r>
                    <w:rPr>
                      <w:rFonts w:hint="default" w:ascii="Times New Roman" w:hAnsi="Times New Roman" w:eastAsia="宋体" w:cs="Times New Roman"/>
                      <w:color w:val="auto"/>
                      <w:szCs w:val="21"/>
                      <w:highlight w:val="none"/>
                      <w:lang w:eastAsia="zh-CN"/>
                    </w:rPr>
                    <w:t>，</w:t>
                  </w:r>
                  <w:r>
                    <w:rPr>
                      <w:rFonts w:hint="eastAsia" w:cs="Times New Roman"/>
                      <w:color w:val="auto"/>
                      <w:szCs w:val="21"/>
                      <w:highlight w:val="none"/>
                      <w:lang w:val="en-US" w:eastAsia="zh-CN"/>
                    </w:rPr>
                    <w:t>本项目</w:t>
                  </w:r>
                  <w:r>
                    <w:rPr>
                      <w:rFonts w:hint="default" w:ascii="Times New Roman" w:hAnsi="Times New Roman" w:eastAsia="宋体" w:cs="Times New Roman"/>
                      <w:color w:val="auto"/>
                      <w:szCs w:val="21"/>
                      <w:highlight w:val="none"/>
                      <w:lang w:val="en-US" w:eastAsia="zh-CN"/>
                    </w:rPr>
                    <w:t>符合开发区（先进装备制造园区）生态环境准入清单要求，不</w:t>
                  </w:r>
                  <w:r>
                    <w:rPr>
                      <w:rFonts w:hint="eastAsia" w:cs="Times New Roman"/>
                      <w:color w:val="auto"/>
                      <w:szCs w:val="21"/>
                      <w:highlight w:val="none"/>
                      <w:lang w:val="en-US" w:eastAsia="zh-CN"/>
                    </w:rPr>
                    <w:t>属于</w:t>
                  </w:r>
                  <w:r>
                    <w:rPr>
                      <w:rFonts w:hint="default" w:ascii="Times New Roman" w:hAnsi="Times New Roman" w:eastAsia="宋体" w:cs="Times New Roman"/>
                      <w:color w:val="auto"/>
                      <w:szCs w:val="21"/>
                      <w:highlight w:val="none"/>
                      <w:lang w:val="en-US" w:eastAsia="zh-CN"/>
                    </w:rPr>
                    <w:t>“三高”项目，不涉及有毒有害及难降解污染物，不涉及地下水开采。</w:t>
                  </w:r>
                </w:p>
              </w:tc>
              <w:tc>
                <w:tcPr>
                  <w:tcW w:w="569" w:type="dxa"/>
                  <w:tcBorders>
                    <w:tl2br w:val="nil"/>
                    <w:tr2bl w:val="nil"/>
                  </w:tcBorders>
                  <w:vAlign w:val="center"/>
                </w:tcPr>
                <w:p w14:paraId="759D508B">
                  <w:pPr>
                    <w:pStyle w:val="5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符合</w:t>
                  </w:r>
                </w:p>
              </w:tc>
            </w:tr>
            <w:tr w14:paraId="14D471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3" w:type="dxa"/>
                  <w:vMerge w:val="continue"/>
                  <w:tcBorders>
                    <w:tl2br w:val="nil"/>
                    <w:tr2bl w:val="nil"/>
                  </w:tcBorders>
                  <w:vAlign w:val="center"/>
                </w:tcPr>
                <w:p w14:paraId="4F63E7C0">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350" w:type="dxa"/>
                  <w:vMerge w:val="continue"/>
                  <w:tcBorders>
                    <w:tl2br w:val="nil"/>
                    <w:tr2bl w:val="nil"/>
                  </w:tcBorders>
                  <w:vAlign w:val="center"/>
                </w:tcPr>
                <w:p w14:paraId="41EDBEE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p>
              </w:tc>
              <w:tc>
                <w:tcPr>
                  <w:tcW w:w="500" w:type="dxa"/>
                  <w:vMerge w:val="continue"/>
                  <w:tcBorders>
                    <w:tl2br w:val="nil"/>
                    <w:tr2bl w:val="nil"/>
                  </w:tcBorders>
                  <w:vAlign w:val="center"/>
                </w:tcPr>
                <w:p w14:paraId="41CEE74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p>
              </w:tc>
              <w:tc>
                <w:tcPr>
                  <w:tcW w:w="517" w:type="dxa"/>
                  <w:vMerge w:val="continue"/>
                  <w:tcBorders>
                    <w:tl2br w:val="nil"/>
                    <w:tr2bl w:val="nil"/>
                  </w:tcBorders>
                  <w:vAlign w:val="center"/>
                </w:tcPr>
                <w:p w14:paraId="235D1F1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p>
              </w:tc>
              <w:tc>
                <w:tcPr>
                  <w:tcW w:w="692" w:type="dxa"/>
                  <w:vMerge w:val="continue"/>
                  <w:tcBorders>
                    <w:tl2br w:val="nil"/>
                    <w:tr2bl w:val="nil"/>
                  </w:tcBorders>
                  <w:vAlign w:val="center"/>
                </w:tcPr>
                <w:p w14:paraId="03B098F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p>
              </w:tc>
              <w:tc>
                <w:tcPr>
                  <w:tcW w:w="383" w:type="dxa"/>
                  <w:tcBorders>
                    <w:tl2br w:val="nil"/>
                    <w:tr2bl w:val="nil"/>
                  </w:tcBorders>
                  <w:vAlign w:val="center"/>
                </w:tcPr>
                <w:p w14:paraId="634846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污</w:t>
                  </w:r>
                </w:p>
                <w:p w14:paraId="00EEAB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染</w:t>
                  </w:r>
                </w:p>
                <w:p w14:paraId="3F2931F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排</w:t>
                  </w:r>
                </w:p>
                <w:p w14:paraId="6361B1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放</w:t>
                  </w:r>
                </w:p>
                <w:p w14:paraId="26800A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管</w:t>
                  </w:r>
                </w:p>
                <w:p w14:paraId="21638DD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0"/>
                      <w:szCs w:val="21"/>
                      <w:highlight w:val="none"/>
                    </w:rPr>
                    <w:t>控</w:t>
                  </w:r>
                </w:p>
              </w:tc>
              <w:tc>
                <w:tcPr>
                  <w:tcW w:w="4128" w:type="dxa"/>
                  <w:tcBorders>
                    <w:tl2br w:val="nil"/>
                    <w:tr2bl w:val="nil"/>
                  </w:tcBorders>
                  <w:vAlign w:val="center"/>
                </w:tcPr>
                <w:p w14:paraId="62A51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396" w:firstLineChars="200"/>
                    <w:jc w:val="both"/>
                    <w:textAlignment w:val="auto"/>
                    <w:rPr>
                      <w:rFonts w:hint="default" w:ascii="Times New Roman" w:hAnsi="Times New Roman" w:eastAsia="宋体" w:cs="Times New Roman"/>
                      <w:color w:val="auto"/>
                      <w:spacing w:val="-6"/>
                      <w:sz w:val="21"/>
                      <w:szCs w:val="21"/>
                      <w:highlight w:val="none"/>
                      <w:lang w:val="en-US" w:eastAsia="zh-CN"/>
                    </w:rPr>
                  </w:pPr>
                  <w:r>
                    <w:rPr>
                      <w:rFonts w:hint="default" w:ascii="Times New Roman" w:hAnsi="Times New Roman" w:eastAsia="宋体" w:cs="Times New Roman"/>
                      <w:color w:val="auto"/>
                      <w:spacing w:val="-6"/>
                      <w:sz w:val="21"/>
                      <w:szCs w:val="21"/>
                      <w:highlight w:val="none"/>
                      <w:lang w:val="en-US" w:eastAsia="zh-CN"/>
                    </w:rPr>
                    <w:t>1.入园企业污染物排放满足各污染物排放标准特别排放限值要求。</w:t>
                  </w:r>
                </w:p>
                <w:p w14:paraId="6A80F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396" w:firstLineChars="200"/>
                    <w:jc w:val="both"/>
                    <w:textAlignment w:val="auto"/>
                    <w:rPr>
                      <w:rFonts w:hint="default" w:ascii="Times New Roman" w:hAnsi="Times New Roman" w:eastAsia="宋体" w:cs="Times New Roman"/>
                      <w:color w:val="auto"/>
                      <w:spacing w:val="-6"/>
                      <w:sz w:val="21"/>
                      <w:szCs w:val="21"/>
                      <w:highlight w:val="none"/>
                      <w:lang w:val="en-US" w:eastAsia="zh-CN"/>
                    </w:rPr>
                  </w:pPr>
                  <w:r>
                    <w:rPr>
                      <w:rFonts w:hint="default" w:ascii="Times New Roman" w:hAnsi="Times New Roman" w:eastAsia="宋体" w:cs="Times New Roman"/>
                      <w:color w:val="auto"/>
                      <w:spacing w:val="-6"/>
                      <w:sz w:val="21"/>
                      <w:szCs w:val="21"/>
                      <w:highlight w:val="none"/>
                      <w:lang w:val="en-US" w:eastAsia="zh-CN"/>
                    </w:rPr>
                    <w:t>2.开发区内锅炉污染物排放满足《锅炉大气污染物排放标准》（DB13/5161-2020）相应排放限值要求。</w:t>
                  </w:r>
                </w:p>
                <w:p w14:paraId="6C732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396" w:firstLineChars="200"/>
                    <w:jc w:val="both"/>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6"/>
                      <w:sz w:val="21"/>
                      <w:szCs w:val="21"/>
                      <w:highlight w:val="none"/>
                      <w:lang w:val="en-US" w:eastAsia="zh-CN"/>
                    </w:rPr>
                    <w:t>3</w:t>
                  </w:r>
                  <w:r>
                    <w:rPr>
                      <w:rFonts w:hint="default" w:ascii="Times New Roman" w:hAnsi="Times New Roman" w:eastAsia="宋体" w:cs="Times New Roman"/>
                      <w:color w:val="auto"/>
                      <w:spacing w:val="0"/>
                      <w:sz w:val="21"/>
                      <w:szCs w:val="21"/>
                      <w:highlight w:val="none"/>
                      <w:lang w:val="en-US" w:eastAsia="zh-CN"/>
                    </w:rPr>
                    <w:t>.涉VOCs排放工业企业污染物排放满足</w:t>
                  </w:r>
                  <w:r>
                    <w:rPr>
                      <w:rFonts w:hint="eastAsia" w:cs="Times New Roman"/>
                      <w:color w:val="auto"/>
                      <w:spacing w:val="0"/>
                      <w:sz w:val="21"/>
                      <w:szCs w:val="21"/>
                      <w:highlight w:val="none"/>
                      <w:lang w:val="en-US" w:eastAsia="zh-CN"/>
                    </w:rPr>
                    <w:t>《工业企业挥发性有机物排放控制标准》（DB13/2322-2025）</w:t>
                  </w:r>
                  <w:r>
                    <w:rPr>
                      <w:rFonts w:hint="default" w:ascii="Times New Roman" w:hAnsi="Times New Roman" w:eastAsia="宋体" w:cs="Times New Roman"/>
                      <w:color w:val="auto"/>
                      <w:spacing w:val="0"/>
                      <w:sz w:val="21"/>
                      <w:szCs w:val="21"/>
                      <w:highlight w:val="none"/>
                      <w:lang w:val="en-US" w:eastAsia="zh-CN"/>
                    </w:rPr>
                    <w:t>及《挥发性有机物无组织排放控制标准》（GB37822-2019）相应排放限值要求。</w:t>
                  </w:r>
                </w:p>
                <w:p w14:paraId="5EE32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396"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lang w:val="en-US" w:eastAsia="zh-CN"/>
                    </w:rPr>
                    <w:t>4.电镀废水经电镀小区污水处理站集中处理深度处理后，全部回用。</w:t>
                  </w:r>
                </w:p>
              </w:tc>
              <w:tc>
                <w:tcPr>
                  <w:tcW w:w="1189" w:type="dxa"/>
                  <w:tcBorders>
                    <w:tl2br w:val="nil"/>
                    <w:tr2bl w:val="nil"/>
                  </w:tcBorders>
                  <w:vAlign w:val="center"/>
                </w:tcPr>
                <w:p w14:paraId="1DFA26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firstLine="420" w:firstLineChars="20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szCs w:val="21"/>
                      <w:highlight w:val="none"/>
                      <w:lang w:val="en-US" w:eastAsia="zh-CN"/>
                    </w:rPr>
                    <w:t>本项目建成后预计各污染物排放满足标准限值要求，不涉及锅炉污染物、不涉及电镀。</w:t>
                  </w:r>
                </w:p>
              </w:tc>
              <w:tc>
                <w:tcPr>
                  <w:tcW w:w="569" w:type="dxa"/>
                  <w:tcBorders>
                    <w:tl2br w:val="nil"/>
                    <w:tr2bl w:val="nil"/>
                  </w:tcBorders>
                  <w:vAlign w:val="center"/>
                </w:tcPr>
                <w:p w14:paraId="5E79916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符合</w:t>
                  </w:r>
                </w:p>
              </w:tc>
            </w:tr>
            <w:tr w14:paraId="36F972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293" w:type="dxa"/>
                  <w:vMerge w:val="continue"/>
                  <w:tcBorders>
                    <w:tl2br w:val="nil"/>
                    <w:tr2bl w:val="nil"/>
                  </w:tcBorders>
                  <w:vAlign w:val="center"/>
                </w:tcPr>
                <w:p w14:paraId="29D4AC34">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rPr>
                  </w:pPr>
                </w:p>
              </w:tc>
              <w:tc>
                <w:tcPr>
                  <w:tcW w:w="350" w:type="dxa"/>
                  <w:vMerge w:val="continue"/>
                  <w:tcBorders>
                    <w:tl2br w:val="nil"/>
                    <w:tr2bl w:val="nil"/>
                  </w:tcBorders>
                  <w:vAlign w:val="center"/>
                </w:tcPr>
                <w:p w14:paraId="1B24095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2"/>
                      <w:sz w:val="21"/>
                      <w:szCs w:val="21"/>
                      <w:highlight w:val="none"/>
                    </w:rPr>
                  </w:pPr>
                </w:p>
              </w:tc>
              <w:tc>
                <w:tcPr>
                  <w:tcW w:w="500" w:type="dxa"/>
                  <w:vMerge w:val="continue"/>
                  <w:tcBorders>
                    <w:tl2br w:val="nil"/>
                    <w:tr2bl w:val="nil"/>
                  </w:tcBorders>
                  <w:vAlign w:val="center"/>
                </w:tcPr>
                <w:p w14:paraId="1ADB00B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2"/>
                      <w:sz w:val="21"/>
                      <w:szCs w:val="21"/>
                      <w:highlight w:val="none"/>
                    </w:rPr>
                  </w:pPr>
                </w:p>
              </w:tc>
              <w:tc>
                <w:tcPr>
                  <w:tcW w:w="517" w:type="dxa"/>
                  <w:vMerge w:val="continue"/>
                  <w:tcBorders>
                    <w:tl2br w:val="nil"/>
                    <w:tr2bl w:val="nil"/>
                  </w:tcBorders>
                  <w:vAlign w:val="center"/>
                </w:tcPr>
                <w:p w14:paraId="1BC61EA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2"/>
                      <w:sz w:val="21"/>
                      <w:szCs w:val="21"/>
                      <w:highlight w:val="none"/>
                    </w:rPr>
                  </w:pPr>
                </w:p>
              </w:tc>
              <w:tc>
                <w:tcPr>
                  <w:tcW w:w="692" w:type="dxa"/>
                  <w:vMerge w:val="continue"/>
                  <w:tcBorders>
                    <w:tl2br w:val="nil"/>
                    <w:tr2bl w:val="nil"/>
                  </w:tcBorders>
                  <w:vAlign w:val="center"/>
                </w:tcPr>
                <w:p w14:paraId="77E6D3E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2"/>
                      <w:sz w:val="21"/>
                      <w:szCs w:val="21"/>
                      <w:highlight w:val="none"/>
                    </w:rPr>
                  </w:pPr>
                </w:p>
              </w:tc>
              <w:tc>
                <w:tcPr>
                  <w:tcW w:w="383" w:type="dxa"/>
                  <w:tcBorders>
                    <w:tl2br w:val="nil"/>
                    <w:tr2bl w:val="nil"/>
                  </w:tcBorders>
                  <w:vAlign w:val="center"/>
                </w:tcPr>
                <w:p w14:paraId="7AB713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环</w:t>
                  </w:r>
                </w:p>
                <w:p w14:paraId="3B262CE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境</w:t>
                  </w:r>
                </w:p>
                <w:p w14:paraId="7F44B0C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风</w:t>
                  </w:r>
                </w:p>
                <w:p w14:paraId="3C8458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险</w:t>
                  </w:r>
                </w:p>
                <w:p w14:paraId="7627CA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防</w:t>
                  </w:r>
                </w:p>
                <w:p w14:paraId="405B7B4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0"/>
                      <w:szCs w:val="21"/>
                      <w:highlight w:val="none"/>
                    </w:rPr>
                    <w:t>控</w:t>
                  </w:r>
                </w:p>
              </w:tc>
              <w:tc>
                <w:tcPr>
                  <w:tcW w:w="4128" w:type="dxa"/>
                  <w:tcBorders>
                    <w:tl2br w:val="nil"/>
                    <w:tr2bl w:val="nil"/>
                  </w:tcBorders>
                  <w:vAlign w:val="center"/>
                </w:tcPr>
                <w:p w14:paraId="3708E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Cs w:val="21"/>
                      <w:highlight w:val="none"/>
                    </w:rPr>
                    <w:t>开发区应加强管理，严格落实规划环评及企业环评提出的风险防范措施，结合开发区突发环境事件应急预案，进一步指导开发区风险污染防控。</w:t>
                  </w:r>
                </w:p>
              </w:tc>
              <w:tc>
                <w:tcPr>
                  <w:tcW w:w="1189" w:type="dxa"/>
                  <w:tcBorders>
                    <w:tl2br w:val="nil"/>
                    <w:tr2bl w:val="nil"/>
                  </w:tcBorders>
                  <w:vAlign w:val="center"/>
                </w:tcPr>
                <w:p w14:paraId="5F0C770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szCs w:val="21"/>
                      <w:highlight w:val="none"/>
                      <w:lang w:val="en-US" w:eastAsia="zh-CN"/>
                    </w:rPr>
                    <w:t xml:space="preserve">   </w:t>
                  </w:r>
                  <w:r>
                    <w:rPr>
                      <w:rFonts w:hint="default" w:ascii="Times New Roman" w:hAnsi="Times New Roman" w:eastAsia="宋体" w:cs="Times New Roman"/>
                      <w:color w:val="auto"/>
                      <w:spacing w:val="-6"/>
                      <w:sz w:val="21"/>
                      <w:szCs w:val="21"/>
                      <w:highlight w:val="none"/>
                      <w:lang w:val="en-US" w:eastAsia="zh-CN"/>
                    </w:rPr>
                    <w:t>本项目建成后严格落实本评价中的风险防控措施、加强与园区的联动，按要求编制突发环境事件应急预案。</w:t>
                  </w:r>
                </w:p>
              </w:tc>
              <w:tc>
                <w:tcPr>
                  <w:tcW w:w="569" w:type="dxa"/>
                  <w:tcBorders>
                    <w:tl2br w:val="nil"/>
                    <w:tr2bl w:val="nil"/>
                  </w:tcBorders>
                  <w:vAlign w:val="center"/>
                </w:tcPr>
                <w:p w14:paraId="3E41919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Cs w:val="0"/>
                      <w:color w:val="auto"/>
                      <w:spacing w:val="0"/>
                      <w:kern w:val="2"/>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rPr>
                    <w:t>符合</w:t>
                  </w:r>
                </w:p>
              </w:tc>
            </w:tr>
            <w:tr w14:paraId="73D8C8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293" w:type="dxa"/>
                  <w:vMerge w:val="continue"/>
                  <w:tcBorders>
                    <w:tl2br w:val="nil"/>
                    <w:tr2bl w:val="nil"/>
                  </w:tcBorders>
                  <w:vAlign w:val="center"/>
                </w:tcPr>
                <w:p w14:paraId="4723AB11">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rPr>
                  </w:pPr>
                </w:p>
              </w:tc>
              <w:tc>
                <w:tcPr>
                  <w:tcW w:w="350" w:type="dxa"/>
                  <w:vMerge w:val="continue"/>
                  <w:tcBorders>
                    <w:tl2br w:val="nil"/>
                    <w:tr2bl w:val="nil"/>
                  </w:tcBorders>
                  <w:vAlign w:val="center"/>
                </w:tcPr>
                <w:p w14:paraId="2128EC5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2"/>
                      <w:sz w:val="21"/>
                      <w:szCs w:val="21"/>
                      <w:highlight w:val="none"/>
                    </w:rPr>
                  </w:pPr>
                </w:p>
              </w:tc>
              <w:tc>
                <w:tcPr>
                  <w:tcW w:w="500" w:type="dxa"/>
                  <w:vMerge w:val="continue"/>
                  <w:tcBorders>
                    <w:tl2br w:val="nil"/>
                    <w:tr2bl w:val="nil"/>
                  </w:tcBorders>
                  <w:vAlign w:val="center"/>
                </w:tcPr>
                <w:p w14:paraId="7FB4C1E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2"/>
                      <w:sz w:val="21"/>
                      <w:szCs w:val="21"/>
                      <w:highlight w:val="none"/>
                    </w:rPr>
                  </w:pPr>
                </w:p>
              </w:tc>
              <w:tc>
                <w:tcPr>
                  <w:tcW w:w="517" w:type="dxa"/>
                  <w:vMerge w:val="continue"/>
                  <w:tcBorders>
                    <w:tl2br w:val="nil"/>
                    <w:tr2bl w:val="nil"/>
                  </w:tcBorders>
                  <w:vAlign w:val="center"/>
                </w:tcPr>
                <w:p w14:paraId="321C1C3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2"/>
                      <w:sz w:val="21"/>
                      <w:szCs w:val="21"/>
                      <w:highlight w:val="none"/>
                    </w:rPr>
                  </w:pPr>
                </w:p>
              </w:tc>
              <w:tc>
                <w:tcPr>
                  <w:tcW w:w="692" w:type="dxa"/>
                  <w:vMerge w:val="continue"/>
                  <w:tcBorders>
                    <w:tl2br w:val="nil"/>
                    <w:tr2bl w:val="nil"/>
                  </w:tcBorders>
                  <w:vAlign w:val="center"/>
                </w:tcPr>
                <w:p w14:paraId="6D17185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2"/>
                      <w:sz w:val="21"/>
                      <w:szCs w:val="21"/>
                      <w:highlight w:val="none"/>
                    </w:rPr>
                  </w:pPr>
                </w:p>
              </w:tc>
              <w:tc>
                <w:tcPr>
                  <w:tcW w:w="383" w:type="dxa"/>
                  <w:tcBorders>
                    <w:tl2br w:val="nil"/>
                    <w:tr2bl w:val="nil"/>
                  </w:tcBorders>
                  <w:vAlign w:val="center"/>
                </w:tcPr>
                <w:p w14:paraId="00624A1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0"/>
                      <w:szCs w:val="21"/>
                      <w:highlight w:val="none"/>
                    </w:rPr>
                    <w:t>资源利用效率</w:t>
                  </w:r>
                </w:p>
              </w:tc>
              <w:tc>
                <w:tcPr>
                  <w:tcW w:w="4128" w:type="dxa"/>
                  <w:tcBorders>
                    <w:tl2br w:val="nil"/>
                    <w:tr2bl w:val="nil"/>
                  </w:tcBorders>
                  <w:vAlign w:val="center"/>
                </w:tcPr>
                <w:p w14:paraId="75E58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rPr>
                  </w:pP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lang w:eastAsia="zh-CN"/>
                    </w:rPr>
                    <w:t>地下水开发利用应当以浅层地下水为主。深层地下水作为战略储备水源、应急供水水源、无替代水源地区的居民生活水源，应当严格限制开采。</w:t>
                  </w:r>
                </w:p>
              </w:tc>
              <w:tc>
                <w:tcPr>
                  <w:tcW w:w="1189" w:type="dxa"/>
                  <w:tcBorders>
                    <w:tl2br w:val="nil"/>
                    <w:tr2bl w:val="nil"/>
                  </w:tcBorders>
                  <w:vAlign w:val="center"/>
                </w:tcPr>
                <w:p w14:paraId="2B4CB20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firstLine="420" w:firstLineChars="20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0"/>
                      <w:szCs w:val="21"/>
                      <w:highlight w:val="none"/>
                      <w:lang w:val="en-US" w:eastAsia="zh-CN"/>
                    </w:rPr>
                    <w:t>本项目不涉及地下水开采利用。</w:t>
                  </w:r>
                </w:p>
              </w:tc>
              <w:tc>
                <w:tcPr>
                  <w:tcW w:w="569" w:type="dxa"/>
                  <w:tcBorders>
                    <w:tl2br w:val="nil"/>
                    <w:tr2bl w:val="nil"/>
                  </w:tcBorders>
                  <w:vAlign w:val="center"/>
                </w:tcPr>
                <w:p w14:paraId="309B804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符合</w:t>
                  </w:r>
                </w:p>
              </w:tc>
            </w:tr>
          </w:tbl>
          <w:p w14:paraId="51CF4231">
            <w:pPr>
              <w:keepNext w:val="0"/>
              <w:keepLines w:val="0"/>
              <w:pageBreakBefore w:val="0"/>
              <w:widowControl w:val="0"/>
              <w:suppressLineNumbers w:val="0"/>
              <w:kinsoku/>
              <w:wordWrap/>
              <w:overflowPunct/>
              <w:topLinePunct w:val="0"/>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lang w:val="en-US"/>
              </w:rPr>
              <w:t>综上所述，建设项目符合《邯郸市生态环境准入清单》相关要求。</w:t>
            </w:r>
          </w:p>
          <w:p w14:paraId="73A173EF">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460" w:lineRule="exact"/>
              <w:ind w:left="105" w:leftChars="50" w:right="0" w:rightChars="0" w:firstLine="482" w:firstLineChars="200"/>
              <w:jc w:val="both"/>
              <w:textAlignment w:val="auto"/>
              <w:rPr>
                <w:rFonts w:hint="default" w:ascii="Times New Roman" w:hAnsi="Times New Roman" w:eastAsia="宋体" w:cs="Times New Roman"/>
                <w:b/>
                <w:bCs/>
                <w:color w:val="auto"/>
                <w:kern w:val="0"/>
                <w:sz w:val="24"/>
                <w:szCs w:val="28"/>
                <w:highlight w:val="none"/>
                <w:lang w:val="en-US" w:eastAsia="zh-CN" w:bidi="ar-SA"/>
              </w:rPr>
            </w:pPr>
            <w:r>
              <w:rPr>
                <w:rFonts w:hint="default" w:ascii="Times New Roman" w:hAnsi="Times New Roman" w:eastAsia="宋体" w:cs="Times New Roman"/>
                <w:b/>
                <w:bCs/>
                <w:color w:val="auto"/>
                <w:kern w:val="0"/>
                <w:sz w:val="24"/>
                <w:szCs w:val="28"/>
                <w:highlight w:val="none"/>
                <w:lang w:val="en-US" w:eastAsia="zh-CN" w:bidi="ar-SA"/>
              </w:rPr>
              <w:t>5、其他政策符合性分析</w:t>
            </w:r>
          </w:p>
          <w:p w14:paraId="765D064F">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460" w:lineRule="exact"/>
              <w:ind w:left="105" w:leftChars="50" w:right="0" w:rightChars="0" w:firstLine="480" w:firstLineChars="200"/>
              <w:jc w:val="both"/>
              <w:textAlignment w:val="auto"/>
              <w:rPr>
                <w:rFonts w:hint="default" w:ascii="Times New Roman" w:hAnsi="Times New Roman" w:eastAsia="宋体" w:cs="Times New Roman"/>
                <w:color w:val="auto"/>
                <w:kern w:val="0"/>
                <w:sz w:val="24"/>
                <w:szCs w:val="28"/>
                <w:highlight w:val="none"/>
                <w:lang w:val="en-US" w:eastAsia="zh-CN" w:bidi="ar-SA"/>
              </w:rPr>
            </w:pPr>
            <w:r>
              <w:rPr>
                <w:rFonts w:hint="default" w:ascii="Times New Roman" w:hAnsi="Times New Roman" w:eastAsia="宋体" w:cs="Times New Roman"/>
                <w:color w:val="auto"/>
                <w:kern w:val="0"/>
                <w:sz w:val="24"/>
                <w:szCs w:val="28"/>
                <w:highlight w:val="none"/>
                <w:lang w:val="en-US" w:eastAsia="zh-CN" w:bidi="ar-SA"/>
              </w:rPr>
              <w:t>本项目与邯郸市大气污染防治工作领导小组办公室关于印发《邯郸市2020年挥发性有机物综合治理方案》（邯气领办</w:t>
            </w:r>
            <w:r>
              <w:rPr>
                <w:rFonts w:hint="eastAsia" w:ascii="Times New Roman" w:hAnsi="Times New Roman" w:cs="Times New Roman"/>
                <w:color w:val="auto"/>
                <w:kern w:val="0"/>
                <w:sz w:val="24"/>
                <w:szCs w:val="28"/>
                <w:highlight w:val="none"/>
                <w:lang w:val="en-US" w:eastAsia="zh-CN" w:bidi="ar-SA"/>
              </w:rPr>
              <w:t>〔2020〕53号</w:t>
            </w:r>
            <w:r>
              <w:rPr>
                <w:rFonts w:hint="default" w:ascii="Times New Roman" w:hAnsi="Times New Roman" w:eastAsia="宋体" w:cs="Times New Roman"/>
                <w:color w:val="auto"/>
                <w:kern w:val="0"/>
                <w:sz w:val="24"/>
                <w:szCs w:val="28"/>
                <w:highlight w:val="none"/>
                <w:lang w:val="en-US" w:eastAsia="zh-CN" w:bidi="ar-SA"/>
              </w:rPr>
              <w:t>）的相符性分析，详见表</w:t>
            </w:r>
            <w:r>
              <w:rPr>
                <w:rFonts w:hint="eastAsia" w:ascii="Times New Roman" w:hAnsi="Times New Roman" w:cs="Times New Roman"/>
                <w:color w:val="auto"/>
                <w:kern w:val="0"/>
                <w:sz w:val="24"/>
                <w:szCs w:val="28"/>
                <w:highlight w:val="none"/>
                <w:lang w:val="en-US" w:eastAsia="zh-CN" w:bidi="ar-SA"/>
              </w:rPr>
              <w:t>1-6</w:t>
            </w:r>
            <w:r>
              <w:rPr>
                <w:rFonts w:hint="default" w:ascii="Times New Roman" w:hAnsi="Times New Roman" w:eastAsia="宋体" w:cs="Times New Roman"/>
                <w:color w:val="auto"/>
                <w:kern w:val="0"/>
                <w:sz w:val="24"/>
                <w:szCs w:val="28"/>
                <w:highlight w:val="none"/>
                <w:lang w:val="en-US" w:eastAsia="zh-CN" w:bidi="ar-SA"/>
              </w:rPr>
              <w:t>。</w:t>
            </w:r>
          </w:p>
          <w:p w14:paraId="3939536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460" w:lineRule="exact"/>
              <w:ind w:left="0" w:right="0"/>
              <w:jc w:val="center"/>
              <w:textAlignment w:val="auto"/>
              <w:rPr>
                <w:rFonts w:hint="default" w:ascii="Times New Roman" w:hAnsi="Times New Roman" w:eastAsia="宋体" w:cs="Times New Roman"/>
                <w:b/>
                <w:bCs/>
                <w:color w:val="auto"/>
                <w:sz w:val="21"/>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表1-6  项目与邯郸市2020年挥发性有机物综合治理方案相符性分析</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602"/>
              <w:gridCol w:w="4971"/>
              <w:gridCol w:w="1819"/>
              <w:gridCol w:w="695"/>
            </w:tblGrid>
            <w:tr w14:paraId="6BC03D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tcBorders>
                    <w:tl2br w:val="nil"/>
                    <w:tr2bl w:val="nil"/>
                  </w:tcBorders>
                  <w:vAlign w:val="center"/>
                </w:tcPr>
                <w:p w14:paraId="3BE5DCDD">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default" w:ascii="Times New Roman" w:hAnsi="Times New Roman" w:eastAsia="宋体" w:cs="Times New Roman"/>
                      <w:b/>
                      <w:bCs/>
                      <w:color w:val="auto"/>
                      <w:kern w:val="2"/>
                      <w:sz w:val="21"/>
                      <w:szCs w:val="21"/>
                      <w:highlight w:val="none"/>
                      <w:vertAlign w:val="baseline"/>
                      <w:lang w:val="en-US" w:eastAsia="zh-CN"/>
                    </w:rPr>
                    <w:t>序号</w:t>
                  </w:r>
                </w:p>
              </w:tc>
              <w:tc>
                <w:tcPr>
                  <w:tcW w:w="3232" w:type="pct"/>
                  <w:gridSpan w:val="2"/>
                  <w:tcBorders>
                    <w:tl2br w:val="nil"/>
                    <w:tr2bl w:val="nil"/>
                  </w:tcBorders>
                  <w:vAlign w:val="center"/>
                </w:tcPr>
                <w:p w14:paraId="1AA07B10">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default" w:ascii="Times New Roman" w:hAnsi="Times New Roman" w:eastAsia="宋体" w:cs="Times New Roman"/>
                      <w:b/>
                      <w:bCs/>
                      <w:color w:val="auto"/>
                      <w:kern w:val="2"/>
                      <w:sz w:val="21"/>
                      <w:szCs w:val="21"/>
                      <w:highlight w:val="none"/>
                      <w:vertAlign w:val="baseline"/>
                      <w:lang w:val="en-US" w:eastAsia="zh-CN"/>
                    </w:rPr>
                    <w:t>文件要求</w:t>
                  </w:r>
                </w:p>
              </w:tc>
              <w:tc>
                <w:tcPr>
                  <w:tcW w:w="1055" w:type="pct"/>
                  <w:tcBorders>
                    <w:tl2br w:val="nil"/>
                    <w:tr2bl w:val="nil"/>
                  </w:tcBorders>
                  <w:vAlign w:val="center"/>
                </w:tcPr>
                <w:p w14:paraId="5B4C97C1">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default" w:ascii="Times New Roman" w:hAnsi="Times New Roman" w:eastAsia="宋体" w:cs="Times New Roman"/>
                      <w:b/>
                      <w:bCs/>
                      <w:color w:val="auto"/>
                      <w:kern w:val="2"/>
                      <w:sz w:val="21"/>
                      <w:szCs w:val="21"/>
                      <w:highlight w:val="none"/>
                      <w:vertAlign w:val="baseline"/>
                      <w:lang w:val="en-US" w:eastAsia="zh-CN"/>
                    </w:rPr>
                    <w:t>项目情况</w:t>
                  </w:r>
                </w:p>
              </w:tc>
              <w:tc>
                <w:tcPr>
                  <w:tcW w:w="403" w:type="pct"/>
                  <w:tcBorders>
                    <w:tl2br w:val="nil"/>
                    <w:tr2bl w:val="nil"/>
                  </w:tcBorders>
                  <w:vAlign w:val="center"/>
                </w:tcPr>
                <w:p w14:paraId="3282467F">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default" w:ascii="Times New Roman" w:hAnsi="Times New Roman" w:eastAsia="宋体" w:cs="Times New Roman"/>
                      <w:b/>
                      <w:bCs/>
                      <w:color w:val="auto"/>
                      <w:kern w:val="2"/>
                      <w:sz w:val="21"/>
                      <w:szCs w:val="21"/>
                      <w:highlight w:val="none"/>
                      <w:vertAlign w:val="baseline"/>
                      <w:lang w:val="en-US" w:eastAsia="zh-CN"/>
                    </w:rPr>
                    <w:t>符合性</w:t>
                  </w:r>
                </w:p>
              </w:tc>
            </w:tr>
            <w:tr w14:paraId="74E77A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08" w:type="pct"/>
                  <w:vMerge w:val="restart"/>
                  <w:tcBorders>
                    <w:tl2br w:val="nil"/>
                    <w:tr2bl w:val="nil"/>
                  </w:tcBorders>
                  <w:vAlign w:val="center"/>
                </w:tcPr>
                <w:p w14:paraId="7BE9BEA8">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1</w:t>
                  </w:r>
                </w:p>
              </w:tc>
              <w:tc>
                <w:tcPr>
                  <w:tcW w:w="349" w:type="pct"/>
                  <w:vMerge w:val="restart"/>
                  <w:tcBorders>
                    <w:tl2br w:val="nil"/>
                    <w:tr2bl w:val="nil"/>
                  </w:tcBorders>
                  <w:vAlign w:val="center"/>
                </w:tcPr>
                <w:p w14:paraId="62BA35AC">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加强</w:t>
                  </w:r>
                </w:p>
                <w:p w14:paraId="4D6CCAA9">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源头</w:t>
                  </w:r>
                </w:p>
                <w:p w14:paraId="50E08E6B">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控制</w:t>
                  </w:r>
                </w:p>
              </w:tc>
              <w:tc>
                <w:tcPr>
                  <w:tcW w:w="2883" w:type="pct"/>
                  <w:tcBorders>
                    <w:tl2br w:val="nil"/>
                    <w:tr2bl w:val="nil"/>
                  </w:tcBorders>
                  <w:vAlign w:val="center"/>
                </w:tcPr>
                <w:p w14:paraId="301680F8">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firstLine="396" w:firstLineChars="20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spacing w:val="-6"/>
                      <w:kern w:val="2"/>
                      <w:sz w:val="21"/>
                      <w:szCs w:val="21"/>
                      <w:highlight w:val="none"/>
                      <w:vertAlign w:val="baseline"/>
                      <w:lang w:val="en-US" w:eastAsia="zh-CN"/>
                    </w:rPr>
                    <w:t>积极推广使用低VOC</w:t>
                  </w:r>
                  <w:r>
                    <w:rPr>
                      <w:rFonts w:hint="default" w:ascii="Times New Roman" w:hAnsi="Times New Roman" w:eastAsia="宋体" w:cs="Times New Roman"/>
                      <w:b w:val="0"/>
                      <w:bCs w:val="0"/>
                      <w:color w:val="auto"/>
                      <w:spacing w:val="-6"/>
                      <w:kern w:val="2"/>
                      <w:sz w:val="21"/>
                      <w:szCs w:val="21"/>
                      <w:highlight w:val="none"/>
                      <w:vertAlign w:val="subscript"/>
                      <w:lang w:val="en-US" w:eastAsia="zh-CN"/>
                    </w:rPr>
                    <w:t>S</w:t>
                  </w:r>
                  <w:r>
                    <w:rPr>
                      <w:rFonts w:hint="default" w:ascii="Times New Roman" w:hAnsi="Times New Roman" w:eastAsia="宋体" w:cs="Times New Roman"/>
                      <w:b w:val="0"/>
                      <w:bCs w:val="0"/>
                      <w:color w:val="auto"/>
                      <w:spacing w:val="-6"/>
                      <w:kern w:val="2"/>
                      <w:sz w:val="21"/>
                      <w:szCs w:val="21"/>
                      <w:highlight w:val="none"/>
                      <w:vertAlign w:val="baseline"/>
                      <w:lang w:val="en-US" w:eastAsia="zh-CN"/>
                    </w:rPr>
                    <w:t>含量或低反应活性的原辅材料，加快对芳香烃、含卤素有机化合物的绿色替代，加快工艺改进和产品升级。橡胶制品行业推广新型偶联剂、粘合剂，使用石蜡油等代替普通芳烃油、煤焦油等助剂。</w:t>
                  </w:r>
                </w:p>
              </w:tc>
              <w:tc>
                <w:tcPr>
                  <w:tcW w:w="1055" w:type="pct"/>
                  <w:vMerge w:val="restart"/>
                  <w:tcBorders>
                    <w:tl2br w:val="nil"/>
                    <w:tr2bl w:val="nil"/>
                  </w:tcBorders>
                  <w:vAlign w:val="center"/>
                </w:tcPr>
                <w:p w14:paraId="04469B19">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本项目</w:t>
                  </w:r>
                  <w:r>
                    <w:rPr>
                      <w:rFonts w:hint="eastAsia" w:ascii="Times New Roman" w:hAnsi="Times New Roman" w:cs="Times New Roman"/>
                      <w:color w:val="auto"/>
                      <w:sz w:val="21"/>
                      <w:szCs w:val="21"/>
                      <w:highlight w:val="none"/>
                      <w:lang w:val="en-US" w:eastAsia="zh-CN"/>
                    </w:rPr>
                    <w:t>不涉及涉VOCs原料；</w:t>
                  </w:r>
                </w:p>
                <w:p w14:paraId="39CED120">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eastAsia" w:ascii="Times New Roman" w:hAnsi="Times New Roman" w:cs="Times New Roman"/>
                      <w:color w:val="auto"/>
                      <w:sz w:val="21"/>
                      <w:szCs w:val="21"/>
                      <w:highlight w:val="none"/>
                      <w:lang w:val="en-US" w:eastAsia="zh-CN"/>
                    </w:rPr>
                  </w:pPr>
                </w:p>
                <w:p w14:paraId="29EE878E">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2.本项目不涉及；</w:t>
                  </w:r>
                </w:p>
                <w:p w14:paraId="7138C235">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 xml:space="preserve">  3.本项目不涉及</w:t>
                  </w:r>
                  <w:r>
                    <w:rPr>
                      <w:rFonts w:hint="default" w:ascii="Times New Roman" w:hAnsi="Times New Roman" w:eastAsia="宋体" w:cs="Times New Roman"/>
                      <w:b w:val="0"/>
                      <w:bCs w:val="0"/>
                      <w:color w:val="auto"/>
                      <w:kern w:val="2"/>
                      <w:sz w:val="21"/>
                      <w:szCs w:val="21"/>
                      <w:highlight w:val="none"/>
                      <w:vertAlign w:val="baseline"/>
                      <w:lang w:val="en-US" w:eastAsia="zh-CN"/>
                    </w:rPr>
                    <w:t>。</w:t>
                  </w:r>
                </w:p>
              </w:tc>
              <w:tc>
                <w:tcPr>
                  <w:tcW w:w="403" w:type="pct"/>
                  <w:vMerge w:val="restart"/>
                  <w:tcBorders>
                    <w:tl2br w:val="nil"/>
                    <w:tr2bl w:val="nil"/>
                  </w:tcBorders>
                  <w:vAlign w:val="center"/>
                </w:tcPr>
                <w:p w14:paraId="32A025CB">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符合</w:t>
                  </w:r>
                </w:p>
              </w:tc>
            </w:tr>
            <w:tr w14:paraId="72DD35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8" w:type="pct"/>
                  <w:vMerge w:val="continue"/>
                  <w:tcBorders>
                    <w:tl2br w:val="nil"/>
                    <w:tr2bl w:val="nil"/>
                  </w:tcBorders>
                  <w:vAlign w:val="center"/>
                </w:tcPr>
                <w:p w14:paraId="7BCBB586">
                  <w:pPr>
                    <w:pStyle w:val="52"/>
                    <w:keepNext w:val="0"/>
                    <w:keepLines w:val="0"/>
                    <w:pageBreakBefore w:val="0"/>
                    <w:widowControl w:val="0"/>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sz w:val="21"/>
                      <w:szCs w:val="21"/>
                      <w:highlight w:val="none"/>
                    </w:rPr>
                  </w:pPr>
                </w:p>
              </w:tc>
              <w:tc>
                <w:tcPr>
                  <w:tcW w:w="349" w:type="pct"/>
                  <w:vMerge w:val="continue"/>
                  <w:tcBorders>
                    <w:tl2br w:val="nil"/>
                    <w:tr2bl w:val="nil"/>
                  </w:tcBorders>
                  <w:vAlign w:val="center"/>
                </w:tcPr>
                <w:p w14:paraId="1BEDCD70">
                  <w:pPr>
                    <w:pStyle w:val="52"/>
                    <w:keepNext w:val="0"/>
                    <w:keepLines w:val="0"/>
                    <w:pageBreakBefore w:val="0"/>
                    <w:widowControl w:val="0"/>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sz w:val="21"/>
                      <w:szCs w:val="21"/>
                      <w:highlight w:val="none"/>
                    </w:rPr>
                  </w:pPr>
                </w:p>
              </w:tc>
              <w:tc>
                <w:tcPr>
                  <w:tcW w:w="2883" w:type="pct"/>
                  <w:tcBorders>
                    <w:tl2br w:val="nil"/>
                    <w:tr2bl w:val="nil"/>
                  </w:tcBorders>
                  <w:vAlign w:val="center"/>
                </w:tcPr>
                <w:p w14:paraId="080497E4">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firstLine="420" w:firstLineChars="20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加快使用粉末、水性、高固体分、辐射固化等低VOC</w:t>
                  </w:r>
                  <w:r>
                    <w:rPr>
                      <w:rFonts w:hint="default" w:ascii="Times New Roman" w:hAnsi="Times New Roman" w:eastAsia="宋体" w:cs="Times New Roman"/>
                      <w:b w:val="0"/>
                      <w:bCs w:val="0"/>
                      <w:color w:val="auto"/>
                      <w:kern w:val="2"/>
                      <w:sz w:val="21"/>
                      <w:szCs w:val="21"/>
                      <w:highlight w:val="none"/>
                      <w:vertAlign w:val="subscript"/>
                      <w:lang w:val="en-US" w:eastAsia="zh-CN"/>
                    </w:rPr>
                    <w:t>S</w:t>
                  </w:r>
                  <w:r>
                    <w:rPr>
                      <w:rFonts w:hint="default" w:ascii="Times New Roman" w:hAnsi="Times New Roman" w:eastAsia="宋体" w:cs="Times New Roman"/>
                      <w:b w:val="0"/>
                      <w:bCs w:val="0"/>
                      <w:color w:val="auto"/>
                      <w:kern w:val="2"/>
                      <w:sz w:val="21"/>
                      <w:szCs w:val="21"/>
                      <w:highlight w:val="none"/>
                      <w:vertAlign w:val="baseline"/>
                      <w:lang w:val="en-US" w:eastAsia="zh-CN"/>
                    </w:rPr>
                    <w:t>含量的涂料替代溶剂型涂料。</w:t>
                  </w:r>
                </w:p>
              </w:tc>
              <w:tc>
                <w:tcPr>
                  <w:tcW w:w="1055" w:type="pct"/>
                  <w:vMerge w:val="continue"/>
                  <w:tcBorders>
                    <w:tl2br w:val="nil"/>
                    <w:tr2bl w:val="nil"/>
                  </w:tcBorders>
                  <w:vAlign w:val="center"/>
                </w:tcPr>
                <w:p w14:paraId="7EA9D927">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c>
                <w:tcPr>
                  <w:tcW w:w="403" w:type="pct"/>
                  <w:vMerge w:val="continue"/>
                  <w:tcBorders>
                    <w:tl2br w:val="nil"/>
                    <w:tr2bl w:val="nil"/>
                  </w:tcBorders>
                  <w:vAlign w:val="center"/>
                </w:tcPr>
                <w:p w14:paraId="0BA310D0">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r>
            <w:tr w14:paraId="7DF92E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08" w:type="pct"/>
                  <w:tcBorders>
                    <w:tl2br w:val="nil"/>
                    <w:tr2bl w:val="nil"/>
                  </w:tcBorders>
                  <w:vAlign w:val="center"/>
                </w:tcPr>
                <w:p w14:paraId="58573127">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2</w:t>
                  </w:r>
                </w:p>
              </w:tc>
              <w:tc>
                <w:tcPr>
                  <w:tcW w:w="349" w:type="pct"/>
                  <w:tcBorders>
                    <w:tl2br w:val="nil"/>
                    <w:tr2bl w:val="nil"/>
                  </w:tcBorders>
                  <w:vAlign w:val="center"/>
                </w:tcPr>
                <w:p w14:paraId="550431A5">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加强</w:t>
                  </w:r>
                </w:p>
                <w:p w14:paraId="61156578">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无组</w:t>
                  </w:r>
                </w:p>
                <w:p w14:paraId="48C05EC5">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织排</w:t>
                  </w:r>
                </w:p>
                <w:p w14:paraId="51FAE639">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放控</w:t>
                  </w:r>
                </w:p>
                <w:p w14:paraId="11B4241D">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制</w:t>
                  </w:r>
                </w:p>
              </w:tc>
              <w:tc>
                <w:tcPr>
                  <w:tcW w:w="2883" w:type="pct"/>
                  <w:tcBorders>
                    <w:tl2br w:val="nil"/>
                    <w:tr2bl w:val="nil"/>
                  </w:tcBorders>
                  <w:vAlign w:val="center"/>
                </w:tcPr>
                <w:p w14:paraId="407180CE">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firstLine="420" w:firstLineChars="20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加快生产设备密闭化改造，对进出料、物料输送、搅拌、固液分离、干燥等过程采取密闭化措施，提升生产装备水平；加快推广紧凑式涂装工艺、先进涂装技术和设备。</w:t>
                  </w:r>
                </w:p>
              </w:tc>
              <w:tc>
                <w:tcPr>
                  <w:tcW w:w="1055" w:type="pct"/>
                  <w:vMerge w:val="continue"/>
                  <w:tcBorders>
                    <w:tl2br w:val="nil"/>
                    <w:tr2bl w:val="nil"/>
                  </w:tcBorders>
                  <w:vAlign w:val="center"/>
                </w:tcPr>
                <w:p w14:paraId="2AD771F1">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c>
                <w:tcPr>
                  <w:tcW w:w="403" w:type="pct"/>
                  <w:vMerge w:val="continue"/>
                  <w:tcBorders>
                    <w:tl2br w:val="nil"/>
                    <w:tr2bl w:val="nil"/>
                  </w:tcBorders>
                  <w:vAlign w:val="center"/>
                </w:tcPr>
                <w:p w14:paraId="444E1F5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r>
            <w:tr w14:paraId="51E44A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tcBorders>
                    <w:tl2br w:val="nil"/>
                    <w:tr2bl w:val="nil"/>
                  </w:tcBorders>
                  <w:vAlign w:val="center"/>
                </w:tcPr>
                <w:p w14:paraId="3A21D811">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3</w:t>
                  </w:r>
                </w:p>
              </w:tc>
              <w:tc>
                <w:tcPr>
                  <w:tcW w:w="349" w:type="pct"/>
                  <w:tcBorders>
                    <w:tl2br w:val="nil"/>
                    <w:tr2bl w:val="nil"/>
                  </w:tcBorders>
                  <w:vAlign w:val="center"/>
                </w:tcPr>
                <w:p w14:paraId="2840C746">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加强废气末端治理</w:t>
                  </w:r>
                </w:p>
              </w:tc>
              <w:tc>
                <w:tcPr>
                  <w:tcW w:w="2883" w:type="pct"/>
                  <w:tcBorders>
                    <w:tl2br w:val="nil"/>
                    <w:tr2bl w:val="nil"/>
                  </w:tcBorders>
                  <w:vAlign w:val="center"/>
                </w:tcPr>
                <w:p w14:paraId="1ADBF978">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firstLine="420" w:firstLineChars="20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优先选用冷凝、吸附再生等回收技术；难以回收的，选用燃烧、吸附浓缩+燃烧等高效治理技术；喷涂废气应设置高效漆雾处理装置。喷涂、晾（风）干废气宜采用吸附浓缩+燃烧处理方式，小风量的可采用一次性</w:t>
                  </w:r>
                  <w:r>
                    <w:rPr>
                      <w:rFonts w:hint="eastAsia" w:ascii="Times New Roman" w:hAnsi="Times New Roman" w:cs="Times New Roman"/>
                      <w:b w:val="0"/>
                      <w:bCs w:val="0"/>
                      <w:color w:val="auto"/>
                      <w:kern w:val="2"/>
                      <w:sz w:val="21"/>
                      <w:szCs w:val="21"/>
                      <w:highlight w:val="none"/>
                      <w:vertAlign w:val="baseline"/>
                      <w:lang w:val="en-US" w:eastAsia="zh-CN"/>
                    </w:rPr>
                    <w:t>活性炭</w:t>
                  </w:r>
                  <w:r>
                    <w:rPr>
                      <w:rFonts w:hint="default" w:ascii="Times New Roman" w:hAnsi="Times New Roman" w:eastAsia="宋体" w:cs="Times New Roman"/>
                      <w:b w:val="0"/>
                      <w:bCs w:val="0"/>
                      <w:color w:val="auto"/>
                      <w:kern w:val="2"/>
                      <w:sz w:val="21"/>
                      <w:szCs w:val="21"/>
                      <w:highlight w:val="none"/>
                      <w:vertAlign w:val="baseline"/>
                      <w:lang w:val="en-US" w:eastAsia="zh-CN"/>
                    </w:rPr>
                    <w:t>吸附等工艺。</w:t>
                  </w:r>
                </w:p>
              </w:tc>
              <w:tc>
                <w:tcPr>
                  <w:tcW w:w="1055" w:type="pct"/>
                  <w:vMerge w:val="continue"/>
                  <w:tcBorders>
                    <w:tl2br w:val="nil"/>
                    <w:tr2bl w:val="nil"/>
                  </w:tcBorders>
                  <w:vAlign w:val="center"/>
                </w:tcPr>
                <w:p w14:paraId="7210FC6C">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c>
                <w:tcPr>
                  <w:tcW w:w="403" w:type="pct"/>
                  <w:vMerge w:val="continue"/>
                  <w:tcBorders>
                    <w:tl2br w:val="nil"/>
                    <w:tr2bl w:val="nil"/>
                  </w:tcBorders>
                  <w:vAlign w:val="center"/>
                </w:tcPr>
                <w:p w14:paraId="6EE3D06B">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r>
          </w:tbl>
          <w:p w14:paraId="2700C876">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460" w:lineRule="exact"/>
              <w:ind w:left="105" w:leftChars="50" w:right="0" w:rightChars="0" w:firstLine="482" w:firstLineChars="200"/>
              <w:jc w:val="both"/>
              <w:textAlignment w:val="auto"/>
              <w:rPr>
                <w:rFonts w:hint="eastAsia" w:ascii="Times New Roman" w:hAnsi="Times New Roman" w:eastAsia="宋体" w:cs="Times New Roman"/>
                <w:b/>
                <w:bCs/>
                <w:color w:val="auto"/>
                <w:kern w:val="0"/>
                <w:sz w:val="24"/>
                <w:szCs w:val="28"/>
                <w:highlight w:val="none"/>
                <w:lang w:val="en-US" w:eastAsia="zh-CN" w:bidi="ar-SA"/>
              </w:rPr>
            </w:pPr>
            <w:r>
              <w:rPr>
                <w:rFonts w:hint="eastAsia" w:ascii="Times New Roman" w:hAnsi="Times New Roman" w:eastAsia="宋体" w:cs="Times New Roman"/>
                <w:b/>
                <w:bCs/>
                <w:color w:val="auto"/>
                <w:kern w:val="0"/>
                <w:sz w:val="24"/>
                <w:szCs w:val="28"/>
                <w:highlight w:val="none"/>
                <w:lang w:val="en-US" w:eastAsia="zh-CN" w:bidi="ar-SA"/>
              </w:rPr>
              <w:t>6、项目与《河北省防沙治沙规划（2021—2030年）》及《河北省生态环境厅办公室关于进一步做好沙区建设项目环境影响评价工作的通知》（冀环办字函【2023】326号）符合性分析</w:t>
            </w:r>
          </w:p>
          <w:p w14:paraId="7407852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根据《河北省防沙治沙规划（2021-2030年）》、《河北省生态环境厅办公室关于进一步做好沙区建设项目环境影响评价工作的通知》（环办字函【2023】326号）可知，邯郸市沙区主要涉及的地域有：丛台区、大名县、馆陶县、鸡泽县、临漳县、邱县、永年区。</w:t>
            </w:r>
            <w:r>
              <w:rPr>
                <w:rFonts w:hint="eastAsia" w:ascii="Times New Roman" w:hAnsi="Times New Roman" w:eastAsia="宋体" w:cs="Times New Roman"/>
                <w:color w:val="auto"/>
                <w:sz w:val="24"/>
                <w:szCs w:val="24"/>
                <w:lang w:eastAsia="zh-CN"/>
              </w:rPr>
              <w:t>本项目位于</w:t>
            </w:r>
            <w:r>
              <w:rPr>
                <w:rFonts w:hint="eastAsia" w:cs="Times New Roman"/>
                <w:color w:val="auto"/>
                <w:sz w:val="24"/>
                <w:szCs w:val="24"/>
                <w:lang w:eastAsia="zh-CN"/>
              </w:rPr>
              <w:t>河北魏县经济开发区先进装备制造园区</w:t>
            </w:r>
            <w:r>
              <w:rPr>
                <w:rFonts w:hint="eastAsia" w:ascii="Times New Roman" w:hAnsi="Times New Roman" w:eastAsia="宋体" w:cs="Times New Roman"/>
                <w:color w:val="auto"/>
                <w:sz w:val="24"/>
                <w:szCs w:val="24"/>
                <w:lang w:eastAsia="zh-CN"/>
              </w:rPr>
              <w:t>，不涉及沙区。</w:t>
            </w:r>
          </w:p>
          <w:p w14:paraId="4FC8108F">
            <w:pPr>
              <w:pStyle w:val="52"/>
              <w:keepNext w:val="0"/>
              <w:keepLines w:val="0"/>
              <w:pageBreakBefore w:val="0"/>
              <w:widowControl w:val="0"/>
              <w:numPr>
                <w:ilvl w:val="0"/>
                <w:numId w:val="3"/>
              </w:numPr>
              <w:suppressLineNumbers w:val="0"/>
              <w:tabs>
                <w:tab w:val="left" w:pos="531"/>
              </w:tabs>
              <w:kinsoku/>
              <w:wordWrap/>
              <w:overflowPunct/>
              <w:topLinePunct w:val="0"/>
              <w:autoSpaceDE w:val="0"/>
              <w:autoSpaceDN w:val="0"/>
              <w:bidi w:val="0"/>
              <w:adjustRightInd/>
              <w:snapToGrid/>
              <w:spacing w:before="0" w:beforeAutospacing="0" w:after="0" w:afterAutospacing="0" w:line="460" w:lineRule="exact"/>
              <w:ind w:left="105" w:leftChars="50" w:right="0" w:rightChars="0" w:firstLine="482" w:firstLineChars="200"/>
              <w:jc w:val="both"/>
              <w:textAlignment w:val="auto"/>
              <w:rPr>
                <w:rFonts w:hint="default" w:ascii="Times New Roman" w:hAnsi="Times New Roman" w:eastAsia="宋体" w:cs="Times New Roman"/>
                <w:b/>
                <w:bCs/>
                <w:color w:val="auto"/>
                <w:kern w:val="0"/>
                <w:sz w:val="24"/>
                <w:szCs w:val="28"/>
                <w:highlight w:val="none"/>
                <w:lang w:val="en-US" w:eastAsia="zh-CN" w:bidi="ar-SA"/>
              </w:rPr>
            </w:pPr>
            <w:r>
              <w:rPr>
                <w:rFonts w:hint="default" w:ascii="Times New Roman" w:hAnsi="Times New Roman" w:eastAsia="宋体" w:cs="Times New Roman"/>
                <w:b/>
                <w:bCs/>
                <w:color w:val="auto"/>
                <w:kern w:val="0"/>
                <w:sz w:val="24"/>
                <w:szCs w:val="28"/>
                <w:highlight w:val="none"/>
                <w:lang w:val="en-US" w:eastAsia="zh-CN" w:bidi="ar-SA"/>
              </w:rPr>
              <w:t>环境管理政策符合性分析</w:t>
            </w:r>
          </w:p>
          <w:p w14:paraId="2D78CDCD">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460" w:lineRule="exact"/>
              <w:ind w:left="525" w:leftChars="25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kern w:val="0"/>
                <w:sz w:val="24"/>
                <w:szCs w:val="28"/>
                <w:highlight w:val="none"/>
                <w:lang w:val="en-US" w:eastAsia="zh-CN" w:bidi="ar-SA"/>
              </w:rPr>
              <w:t>表1-7  环境管理政策符合性分析一览表</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4145"/>
              <w:gridCol w:w="1655"/>
              <w:gridCol w:w="533"/>
            </w:tblGrid>
            <w:tr w14:paraId="63E5C8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25" w:type="pct"/>
                  <w:tcBorders>
                    <w:tl2br w:val="nil"/>
                    <w:tr2bl w:val="nil"/>
                  </w:tcBorders>
                  <w:vAlign w:val="center"/>
                </w:tcPr>
                <w:p w14:paraId="4CB27C55">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vertAlign w:val="baseline"/>
                      <w:lang w:val="en-US" w:eastAsia="zh-CN"/>
                    </w:rPr>
                    <w:t>项目</w:t>
                  </w:r>
                </w:p>
              </w:tc>
              <w:tc>
                <w:tcPr>
                  <w:tcW w:w="2404" w:type="pct"/>
                  <w:tcBorders>
                    <w:tl2br w:val="nil"/>
                    <w:tr2bl w:val="nil"/>
                  </w:tcBorders>
                  <w:vAlign w:val="center"/>
                </w:tcPr>
                <w:p w14:paraId="32204A7D">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default" w:ascii="Times New Roman" w:hAnsi="Times New Roman" w:eastAsia="宋体" w:cs="Times New Roman"/>
                      <w:b/>
                      <w:bCs/>
                      <w:color w:val="auto"/>
                      <w:kern w:val="2"/>
                      <w:sz w:val="21"/>
                      <w:szCs w:val="21"/>
                      <w:highlight w:val="none"/>
                      <w:vertAlign w:val="baseline"/>
                      <w:lang w:val="en-US" w:eastAsia="zh-CN"/>
                    </w:rPr>
                    <w:t>文件要求</w:t>
                  </w:r>
                </w:p>
              </w:tc>
              <w:tc>
                <w:tcPr>
                  <w:tcW w:w="960" w:type="pct"/>
                  <w:tcBorders>
                    <w:tl2br w:val="nil"/>
                    <w:tr2bl w:val="nil"/>
                  </w:tcBorders>
                  <w:vAlign w:val="center"/>
                </w:tcPr>
                <w:p w14:paraId="2C65DCE2">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default" w:ascii="Times New Roman" w:hAnsi="Times New Roman" w:eastAsia="宋体" w:cs="Times New Roman"/>
                      <w:b/>
                      <w:bCs/>
                      <w:color w:val="auto"/>
                      <w:kern w:val="2"/>
                      <w:sz w:val="21"/>
                      <w:szCs w:val="21"/>
                      <w:highlight w:val="none"/>
                      <w:vertAlign w:val="baseline"/>
                      <w:lang w:val="en-US" w:eastAsia="zh-CN"/>
                    </w:rPr>
                    <w:t>项目情况</w:t>
                  </w:r>
                </w:p>
              </w:tc>
              <w:tc>
                <w:tcPr>
                  <w:tcW w:w="309" w:type="pct"/>
                  <w:tcBorders>
                    <w:tl2br w:val="nil"/>
                    <w:tr2bl w:val="nil"/>
                  </w:tcBorders>
                  <w:vAlign w:val="center"/>
                </w:tcPr>
                <w:p w14:paraId="6C3D8234">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default" w:ascii="Times New Roman" w:hAnsi="Times New Roman" w:eastAsia="宋体" w:cs="Times New Roman"/>
                      <w:b/>
                      <w:bCs/>
                      <w:color w:val="auto"/>
                      <w:kern w:val="2"/>
                      <w:sz w:val="21"/>
                      <w:szCs w:val="21"/>
                      <w:highlight w:val="none"/>
                      <w:vertAlign w:val="baseline"/>
                      <w:lang w:val="en-US" w:eastAsia="zh-CN"/>
                    </w:rPr>
                    <w:t>符合性</w:t>
                  </w:r>
                </w:p>
              </w:tc>
            </w:tr>
            <w:tr w14:paraId="603791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5" w:type="pct"/>
                  <w:tcBorders>
                    <w:tl2br w:val="nil"/>
                    <w:tr2bl w:val="nil"/>
                  </w:tcBorders>
                  <w:vAlign w:val="center"/>
                </w:tcPr>
                <w:p w14:paraId="54680E1E">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《邯郸市空气质量持续改善行动计划实施方案》（邯政发〔2024〕2 号）</w:t>
                  </w:r>
                </w:p>
              </w:tc>
              <w:tc>
                <w:tcPr>
                  <w:tcW w:w="2404" w:type="pct"/>
                  <w:tcBorders>
                    <w:tl2br w:val="nil"/>
                    <w:tr2bl w:val="nil"/>
                  </w:tcBorders>
                  <w:vAlign w:val="center"/>
                </w:tcPr>
                <w:p w14:paraId="36192124">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firstLine="420" w:firstLineChars="20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严格环境准入。坚决遏制高耗能、高排放、 低水平项目盲目上马。新改扩建项目严格落实国 家、省、市产业规划、产业政策、生态环境分区管控方案、产能置换、重点污染物总量控制、污染物排放区域削减、碳排放达峰目标等相关要求，原则上采用清洁运输方式。涉及产能置换的项目，被置换产能及其配套设施关停后，新建项目方可投产。</w:t>
                  </w:r>
                </w:p>
              </w:tc>
              <w:tc>
                <w:tcPr>
                  <w:tcW w:w="960" w:type="pct"/>
                  <w:vMerge w:val="restart"/>
                  <w:tcBorders>
                    <w:tl2br w:val="nil"/>
                    <w:tr2bl w:val="nil"/>
                  </w:tcBorders>
                  <w:vAlign w:val="center"/>
                </w:tcPr>
                <w:p w14:paraId="731FA4DA">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0" w:right="-105" w:rightChars="-50"/>
                    <w:jc w:val="both"/>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eastAsia" w:ascii="宋体" w:hAnsi="宋体" w:eastAsia="宋体" w:cs="宋体"/>
                      <w:color w:val="000000"/>
                      <w:kern w:val="0"/>
                      <w:sz w:val="21"/>
                      <w:szCs w:val="21"/>
                      <w:lang w:val="en-US" w:eastAsia="zh-CN" w:bidi="ar"/>
                    </w:rPr>
                    <w:t>本项目不属于高耗能、高排放、低水平项目，且符合相关政策要求2.</w:t>
                  </w:r>
                  <w:r>
                    <w:rPr>
                      <w:rFonts w:hint="default" w:ascii="Times New Roman" w:hAnsi="Times New Roman" w:eastAsia="宋体" w:cs="Times New Roman"/>
                      <w:color w:val="auto"/>
                      <w:sz w:val="21"/>
                      <w:szCs w:val="21"/>
                      <w:highlight w:val="none"/>
                      <w:lang w:val="en-US" w:eastAsia="zh-CN"/>
                    </w:rPr>
                    <w:t>本项目不属于高耗能、高排放、低 水平项目</w:t>
                  </w:r>
                  <w:r>
                    <w:rPr>
                      <w:rFonts w:hint="eastAsia" w:ascii="Times New Roman" w:hAnsi="Times New Roman" w:cs="Times New Roman"/>
                      <w:color w:val="auto"/>
                      <w:sz w:val="21"/>
                      <w:szCs w:val="21"/>
                      <w:highlight w:val="none"/>
                      <w:lang w:val="en-US" w:eastAsia="zh-CN"/>
                    </w:rPr>
                    <w:t>；</w:t>
                  </w:r>
                </w:p>
                <w:p w14:paraId="172DBD6A">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 xml:space="preserve"> 3.本项目贯彻落实行动方案要求</w:t>
                  </w:r>
                  <w:r>
                    <w:rPr>
                      <w:rFonts w:hint="default" w:ascii="Times New Roman" w:hAnsi="Times New Roman" w:eastAsia="宋体" w:cs="Times New Roman"/>
                      <w:b w:val="0"/>
                      <w:bCs w:val="0"/>
                      <w:color w:val="auto"/>
                      <w:kern w:val="2"/>
                      <w:sz w:val="21"/>
                      <w:szCs w:val="21"/>
                      <w:highlight w:val="none"/>
                      <w:vertAlign w:val="baseline"/>
                      <w:lang w:val="en-US" w:eastAsia="zh-CN"/>
                    </w:rPr>
                    <w:t>。</w:t>
                  </w:r>
                </w:p>
              </w:tc>
              <w:tc>
                <w:tcPr>
                  <w:tcW w:w="309" w:type="pct"/>
                  <w:vMerge w:val="restart"/>
                  <w:tcBorders>
                    <w:tl2br w:val="nil"/>
                    <w:tr2bl w:val="nil"/>
                  </w:tcBorders>
                  <w:vAlign w:val="center"/>
                </w:tcPr>
                <w:p w14:paraId="2236039E">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符合</w:t>
                  </w:r>
                </w:p>
              </w:tc>
            </w:tr>
            <w:tr w14:paraId="6822CA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25" w:type="pct"/>
                  <w:tcBorders>
                    <w:tl2br w:val="nil"/>
                    <w:tr2bl w:val="nil"/>
                  </w:tcBorders>
                  <w:vAlign w:val="center"/>
                </w:tcPr>
                <w:p w14:paraId="6CBC1A85">
                  <w:pPr>
                    <w:keepNext w:val="0"/>
                    <w:keepLines w:val="0"/>
                    <w:widowControl/>
                    <w:suppressLineNumbers w:val="0"/>
                    <w:spacing w:before="0" w:beforeAutospacing="0" w:after="0" w:afterAutospacing="0"/>
                    <w:ind w:left="0" w:right="0"/>
                    <w:jc w:val="left"/>
                    <w:rPr>
                      <w:rFonts w:hint="default"/>
                      <w:sz w:val="21"/>
                      <w:szCs w:val="21"/>
                    </w:rPr>
                  </w:pPr>
                  <w:r>
                    <w:rPr>
                      <w:rFonts w:hint="eastAsia" w:ascii="宋体" w:hAnsi="宋体" w:eastAsia="宋体" w:cs="宋体"/>
                      <w:color w:val="000000"/>
                      <w:kern w:val="0"/>
                      <w:sz w:val="21"/>
                      <w:szCs w:val="21"/>
                      <w:lang w:val="en-US" w:eastAsia="zh-CN" w:bidi="ar"/>
                    </w:rPr>
                    <w:t>《邯郸市</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十四五</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节能减排综合实施方案》（邯政字〔</w:t>
                  </w:r>
                  <w:r>
                    <w:rPr>
                      <w:rFonts w:hint="default" w:ascii="Times New Roman" w:hAnsi="Times New Roman" w:eastAsia="宋体" w:cs="Times New Roman"/>
                      <w:color w:val="000000"/>
                      <w:kern w:val="0"/>
                      <w:sz w:val="21"/>
                      <w:szCs w:val="21"/>
                      <w:lang w:val="en-US" w:eastAsia="zh-CN" w:bidi="ar"/>
                    </w:rPr>
                    <w:t>2022</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24</w:t>
                  </w:r>
                  <w:r>
                    <w:rPr>
                      <w:rFonts w:hint="eastAsia" w:ascii="宋体" w:hAnsi="宋体" w:eastAsia="宋体" w:cs="宋体"/>
                      <w:color w:val="000000"/>
                      <w:kern w:val="0"/>
                      <w:sz w:val="21"/>
                      <w:szCs w:val="21"/>
                      <w:lang w:val="en-US" w:eastAsia="zh-CN" w:bidi="ar"/>
                    </w:rPr>
                    <w:t>号）</w:t>
                  </w:r>
                </w:p>
                <w:p w14:paraId="3538AF87">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c>
                <w:tcPr>
                  <w:tcW w:w="2404" w:type="pct"/>
                  <w:tcBorders>
                    <w:tl2br w:val="nil"/>
                    <w:tr2bl w:val="nil"/>
                  </w:tcBorders>
                  <w:vAlign w:val="center"/>
                </w:tcPr>
                <w:p w14:paraId="57AD43CE">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0" w:right="-105" w:rightChars="-5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sz w:val="21"/>
                      <w:szCs w:val="21"/>
                      <w:lang w:val="en-US" w:eastAsia="zh-CN"/>
                    </w:rPr>
                    <w:t>重点行业绿色化改造工程。加快钢铁、焦化、建材等重点行业整合重组退城搬迁进度，通过更新主导产业生产装备大幅提升行业能效。钢铁行业，推进钢铁行业电弧炉短流程改造和清洁能源替代，完成</w:t>
                  </w:r>
                  <w:r>
                    <w:rPr>
                      <w:rFonts w:hint="default"/>
                      <w:sz w:val="21"/>
                      <w:szCs w:val="21"/>
                      <w:lang w:val="en-US" w:eastAsia="zh-CN"/>
                    </w:rPr>
                    <w:t>1000</w:t>
                  </w:r>
                  <w:r>
                    <w:rPr>
                      <w:rFonts w:hint="eastAsia"/>
                      <w:sz w:val="21"/>
                      <w:szCs w:val="21"/>
                      <w:lang w:val="en-US" w:eastAsia="zh-CN"/>
                    </w:rPr>
                    <w:t>立方米以下高炉、</w:t>
                  </w:r>
                  <w:r>
                    <w:rPr>
                      <w:rFonts w:hint="default"/>
                      <w:sz w:val="21"/>
                      <w:szCs w:val="21"/>
                      <w:lang w:val="en-US" w:eastAsia="zh-CN"/>
                    </w:rPr>
                    <w:t>100</w:t>
                  </w:r>
                  <w:r>
                    <w:rPr>
                      <w:rFonts w:hint="eastAsia"/>
                      <w:sz w:val="21"/>
                      <w:szCs w:val="21"/>
                      <w:lang w:val="en-US" w:eastAsia="zh-CN"/>
                    </w:rPr>
                    <w:t>吨以下转炉升级改造，邯钢老区退城整合项目</w:t>
                  </w:r>
                  <w:r>
                    <w:rPr>
                      <w:rFonts w:hint="default"/>
                      <w:sz w:val="21"/>
                      <w:szCs w:val="21"/>
                      <w:lang w:val="en-US" w:eastAsia="zh-CN"/>
                    </w:rPr>
                    <w:t>2022</w:t>
                  </w:r>
                  <w:r>
                    <w:rPr>
                      <w:rFonts w:hint="eastAsia"/>
                      <w:sz w:val="21"/>
                      <w:szCs w:val="21"/>
                      <w:lang w:val="en-US" w:eastAsia="zh-CN"/>
                    </w:rPr>
                    <w:t>年</w:t>
                  </w:r>
                  <w:r>
                    <w:rPr>
                      <w:rFonts w:hint="default"/>
                      <w:sz w:val="21"/>
                      <w:szCs w:val="21"/>
                      <w:lang w:val="en-US" w:eastAsia="zh-CN"/>
                    </w:rPr>
                    <w:t>9</w:t>
                  </w:r>
                  <w:r>
                    <w:rPr>
                      <w:rFonts w:hint="eastAsia"/>
                      <w:sz w:val="21"/>
                      <w:szCs w:val="21"/>
                      <w:lang w:val="en-US" w:eastAsia="zh-CN"/>
                    </w:rPr>
                    <w:t>月底前建成投产，加快太行钢铁二期、冀南钢铁二期等项目建设，到</w:t>
                  </w:r>
                  <w:r>
                    <w:rPr>
                      <w:rFonts w:hint="default"/>
                      <w:sz w:val="21"/>
                      <w:szCs w:val="21"/>
                      <w:lang w:val="en-US" w:eastAsia="zh-CN"/>
                    </w:rPr>
                    <w:t>2025</w:t>
                  </w:r>
                  <w:r>
                    <w:rPr>
                      <w:rFonts w:hint="eastAsia"/>
                      <w:sz w:val="21"/>
                      <w:szCs w:val="21"/>
                      <w:lang w:val="en-US" w:eastAsia="zh-CN"/>
                    </w:rPr>
                    <w:t>年，形成精品钢材“一集群五基地”的产业格局，全市平均吨钢综合能耗力争达到全国先进水平，钢铁企业全部达到绿色工厂标准。焦化行业，推动邯钢华丰能源、新兴铸管、太行焦电一体化、峰峰矿区新彭楠焦化等一批项目建设，实现产能和能耗的减量化发展。建材行业，加快峰峰矿区金隅太行退城搬迁项目进度，推动工艺流程革新和节能低碳改造。按照国家发展改革委批复的邯郸市大宗固体废弃物综合利用基地建设实施方案，统筹推进武安市、峰峰矿区等核心区建设，支持武安清峰绿能钢渣、尾矿、煤矸石综合利用项目建设，提高大宗固废综合利用率。创新组织形式和管理机制，推广合同能源、节水管理和环境污染第三方治理模式。“双超双有高耗能”企业实施强制性清洁生产审核，提升清洁生产等级。引导重点行业依法开展清洁生产评价认证。巩固重点行业和燃煤锅炉超低排放改造成效，深入推进工业企业“升</w:t>
                  </w:r>
                  <w:r>
                    <w:rPr>
                      <w:rFonts w:hint="default"/>
                      <w:sz w:val="21"/>
                      <w:szCs w:val="21"/>
                      <w:lang w:val="en-US" w:eastAsia="zh-CN"/>
                    </w:rPr>
                    <w:t>A</w:t>
                  </w:r>
                  <w:r>
                    <w:rPr>
                      <w:rFonts w:hint="eastAsia"/>
                      <w:sz w:val="21"/>
                      <w:szCs w:val="21"/>
                      <w:lang w:val="en-US" w:eastAsia="zh-CN"/>
                    </w:rPr>
                    <w:t>晋</w:t>
                  </w:r>
                  <w:r>
                    <w:rPr>
                      <w:rFonts w:hint="default"/>
                      <w:sz w:val="21"/>
                      <w:szCs w:val="21"/>
                      <w:lang w:val="en-US" w:eastAsia="zh-CN"/>
                    </w:rPr>
                    <w:t>B</w:t>
                  </w:r>
                  <w:r>
                    <w:rPr>
                      <w:rFonts w:hint="eastAsia"/>
                      <w:sz w:val="21"/>
                      <w:szCs w:val="21"/>
                      <w:lang w:val="en-US" w:eastAsia="zh-CN"/>
                    </w:rPr>
                    <w:t>”行动，</w:t>
                  </w:r>
                  <w:r>
                    <w:rPr>
                      <w:rFonts w:hint="default"/>
                      <w:sz w:val="21"/>
                      <w:szCs w:val="21"/>
                      <w:lang w:val="en-US" w:eastAsia="zh-CN"/>
                    </w:rPr>
                    <w:t>2024</w:t>
                  </w:r>
                  <w:r>
                    <w:rPr>
                      <w:rFonts w:hint="eastAsia"/>
                      <w:sz w:val="21"/>
                      <w:szCs w:val="21"/>
                      <w:lang w:val="en-US" w:eastAsia="zh-CN"/>
                    </w:rPr>
                    <w:t>年底前，完成钢铁企业全面创</w:t>
                  </w:r>
                  <w:r>
                    <w:rPr>
                      <w:rFonts w:hint="default"/>
                      <w:sz w:val="21"/>
                      <w:szCs w:val="21"/>
                      <w:lang w:val="en-US" w:eastAsia="zh-CN"/>
                    </w:rPr>
                    <w:t>A</w:t>
                  </w:r>
                  <w:r>
                    <w:rPr>
                      <w:rFonts w:hint="eastAsia"/>
                      <w:sz w:val="21"/>
                      <w:szCs w:val="21"/>
                      <w:lang w:val="en-US" w:eastAsia="zh-CN"/>
                    </w:rPr>
                    <w:t>。全面落实重点行业能效“领跑者”制度，带动全市能源资源利用效率持续提升。</w:t>
                  </w:r>
                </w:p>
              </w:tc>
              <w:tc>
                <w:tcPr>
                  <w:tcW w:w="960" w:type="pct"/>
                  <w:vMerge w:val="continue"/>
                  <w:tcBorders>
                    <w:tl2br w:val="nil"/>
                    <w:tr2bl w:val="nil"/>
                  </w:tcBorders>
                  <w:vAlign w:val="center"/>
                </w:tcPr>
                <w:p w14:paraId="451124EE">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c>
                <w:tcPr>
                  <w:tcW w:w="309" w:type="pct"/>
                  <w:vMerge w:val="continue"/>
                  <w:tcBorders>
                    <w:tl2br w:val="nil"/>
                    <w:tr2bl w:val="nil"/>
                  </w:tcBorders>
                  <w:vAlign w:val="center"/>
                </w:tcPr>
                <w:p w14:paraId="14DFC77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r>
            <w:tr w14:paraId="7F4588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25" w:type="pct"/>
                  <w:tcBorders>
                    <w:tl2br w:val="nil"/>
                    <w:tr2bl w:val="nil"/>
                  </w:tcBorders>
                  <w:vAlign w:val="center"/>
                </w:tcPr>
                <w:p w14:paraId="6090D265">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宋体" w:hAnsi="宋体" w:eastAsia="宋体" w:cs="宋体"/>
                      <w:color w:val="000000"/>
                      <w:kern w:val="0"/>
                      <w:sz w:val="21"/>
                      <w:szCs w:val="21"/>
                      <w:lang w:val="en-US" w:eastAsia="zh-CN" w:bidi="ar"/>
                    </w:rPr>
                    <w:t>《邯郸市深入气消除、臭氧污染防治、柴油货车污染治理和城市大气污染深度治理攻坚战行动方案》</w:t>
                  </w:r>
                </w:p>
              </w:tc>
              <w:tc>
                <w:tcPr>
                  <w:tcW w:w="2404" w:type="pct"/>
                  <w:tcBorders>
                    <w:tl2br w:val="nil"/>
                    <w:tr2bl w:val="nil"/>
                  </w:tcBorders>
                  <w:vAlign w:val="center"/>
                </w:tcPr>
                <w:p w14:paraId="5DA0359C">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宋体" w:hAnsi="宋体" w:eastAsia="宋体" w:cs="宋体"/>
                      <w:color w:val="000000"/>
                      <w:kern w:val="0"/>
                      <w:sz w:val="21"/>
                      <w:szCs w:val="21"/>
                      <w:lang w:val="en-US" w:eastAsia="zh-CN" w:bidi="ar"/>
                    </w:rPr>
                    <w:t>坚持源头协同治理。统筹大气污染防治与</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双碳</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目标要求，开展大气减污降碳协同增效行动，将标志性战役任务措施与降碳措施一体谋划、一体推进，持续优化调整产业、能源、运输结构，优化产业空间布局，尽早实现能耗</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双控</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向碳排放总量和强度</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双控</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转变，从源头减少大气污染物和碳排放。</w:t>
                  </w:r>
                </w:p>
              </w:tc>
              <w:tc>
                <w:tcPr>
                  <w:tcW w:w="960" w:type="pct"/>
                  <w:vMerge w:val="continue"/>
                  <w:tcBorders>
                    <w:tl2br w:val="nil"/>
                    <w:tr2bl w:val="nil"/>
                  </w:tcBorders>
                  <w:vAlign w:val="center"/>
                </w:tcPr>
                <w:p w14:paraId="70934346">
                  <w:pPr>
                    <w:pStyle w:val="52"/>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c>
                <w:tcPr>
                  <w:tcW w:w="309" w:type="pct"/>
                  <w:vMerge w:val="continue"/>
                  <w:tcBorders>
                    <w:tl2br w:val="nil"/>
                    <w:tr2bl w:val="nil"/>
                  </w:tcBorders>
                  <w:vAlign w:val="center"/>
                </w:tcPr>
                <w:p w14:paraId="45A61438">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p>
              </w:tc>
            </w:tr>
          </w:tbl>
          <w:p w14:paraId="66B21E1A">
            <w:pPr>
              <w:keepNext w:val="0"/>
              <w:keepLines w:val="0"/>
              <w:suppressLineNumbers w:val="0"/>
              <w:spacing w:before="0" w:beforeAutospacing="0" w:after="0" w:afterAutospacing="0"/>
              <w:ind w:left="0" w:right="0"/>
              <w:rPr>
                <w:rFonts w:hint="eastAsia"/>
                <w:color w:val="auto"/>
                <w:highlight w:val="none"/>
                <w:lang w:val="en-US" w:eastAsia="zh-CN"/>
              </w:rPr>
            </w:pPr>
          </w:p>
          <w:p w14:paraId="316BD8EC">
            <w:pPr>
              <w:keepNext w:val="0"/>
              <w:keepLines w:val="0"/>
              <w:suppressLineNumbers w:val="0"/>
              <w:spacing w:before="0" w:beforeAutospacing="0" w:after="0" w:afterAutospacing="0"/>
              <w:ind w:left="0" w:right="0"/>
              <w:rPr>
                <w:rFonts w:hint="eastAsia"/>
                <w:color w:val="auto"/>
                <w:highlight w:val="none"/>
                <w:lang w:val="en-US" w:eastAsia="zh-CN"/>
              </w:rPr>
            </w:pPr>
          </w:p>
          <w:p w14:paraId="23B84ABD">
            <w:pPr>
              <w:keepNext w:val="0"/>
              <w:keepLines w:val="0"/>
              <w:suppressLineNumbers w:val="0"/>
              <w:spacing w:before="0" w:beforeAutospacing="0" w:after="0" w:afterAutospacing="0"/>
              <w:ind w:left="0" w:right="0"/>
              <w:rPr>
                <w:rFonts w:hint="eastAsia"/>
                <w:color w:val="auto"/>
                <w:highlight w:val="none"/>
                <w:lang w:val="en-US" w:eastAsia="zh-CN"/>
              </w:rPr>
            </w:pPr>
          </w:p>
          <w:p w14:paraId="13C40EA9">
            <w:pPr>
              <w:keepNext w:val="0"/>
              <w:keepLines w:val="0"/>
              <w:suppressLineNumbers w:val="0"/>
              <w:spacing w:before="0" w:beforeAutospacing="0" w:after="0" w:afterAutospacing="0"/>
              <w:ind w:left="0" w:right="0"/>
              <w:rPr>
                <w:rFonts w:hint="eastAsia"/>
                <w:color w:val="auto"/>
                <w:highlight w:val="none"/>
                <w:lang w:val="en-US" w:eastAsia="zh-CN"/>
              </w:rPr>
            </w:pPr>
          </w:p>
          <w:p w14:paraId="560E4D31">
            <w:pPr>
              <w:keepNext w:val="0"/>
              <w:keepLines w:val="0"/>
              <w:suppressLineNumbers w:val="0"/>
              <w:spacing w:before="0" w:beforeAutospacing="0" w:after="0" w:afterAutospacing="0"/>
              <w:ind w:left="0" w:right="0"/>
              <w:rPr>
                <w:rFonts w:hint="eastAsia"/>
                <w:color w:val="auto"/>
                <w:highlight w:val="none"/>
                <w:lang w:val="en-US" w:eastAsia="zh-CN"/>
              </w:rPr>
            </w:pPr>
          </w:p>
          <w:p w14:paraId="13AFADC1">
            <w:pPr>
              <w:keepNext w:val="0"/>
              <w:keepLines w:val="0"/>
              <w:suppressLineNumbers w:val="0"/>
              <w:spacing w:before="0" w:beforeAutospacing="0" w:after="0" w:afterAutospacing="0"/>
              <w:ind w:left="0" w:right="0"/>
              <w:rPr>
                <w:rFonts w:hint="eastAsia"/>
                <w:color w:val="auto"/>
                <w:highlight w:val="none"/>
                <w:lang w:val="en-US" w:eastAsia="zh-CN"/>
              </w:rPr>
            </w:pPr>
          </w:p>
          <w:p w14:paraId="053284A9">
            <w:pPr>
              <w:keepNext w:val="0"/>
              <w:keepLines w:val="0"/>
              <w:suppressLineNumbers w:val="0"/>
              <w:spacing w:before="0" w:beforeAutospacing="0" w:after="0" w:afterAutospacing="0"/>
              <w:ind w:left="0" w:right="0"/>
              <w:rPr>
                <w:rFonts w:hint="eastAsia"/>
                <w:color w:val="auto"/>
                <w:highlight w:val="none"/>
                <w:lang w:val="en-US" w:eastAsia="zh-CN"/>
              </w:rPr>
            </w:pPr>
          </w:p>
          <w:p w14:paraId="7C61841F">
            <w:pPr>
              <w:keepNext w:val="0"/>
              <w:keepLines w:val="0"/>
              <w:suppressLineNumbers w:val="0"/>
              <w:spacing w:before="0" w:beforeAutospacing="0" w:after="0" w:afterAutospacing="0"/>
              <w:ind w:left="0" w:right="0"/>
              <w:rPr>
                <w:rFonts w:hint="eastAsia"/>
                <w:color w:val="auto"/>
                <w:highlight w:val="none"/>
                <w:lang w:val="en-US" w:eastAsia="zh-CN"/>
              </w:rPr>
            </w:pPr>
          </w:p>
          <w:p w14:paraId="7E094706">
            <w:pPr>
              <w:keepNext w:val="0"/>
              <w:keepLines w:val="0"/>
              <w:suppressLineNumbers w:val="0"/>
              <w:spacing w:before="0" w:beforeAutospacing="0" w:after="0" w:afterAutospacing="0"/>
              <w:ind w:left="0" w:right="0"/>
              <w:rPr>
                <w:rFonts w:hint="eastAsia"/>
                <w:color w:val="auto"/>
                <w:highlight w:val="none"/>
                <w:lang w:val="en-US" w:eastAsia="zh-CN"/>
              </w:rPr>
            </w:pPr>
          </w:p>
          <w:p w14:paraId="4E0E1334">
            <w:pPr>
              <w:keepNext w:val="0"/>
              <w:keepLines w:val="0"/>
              <w:suppressLineNumbers w:val="0"/>
              <w:spacing w:before="0" w:beforeAutospacing="0" w:after="0" w:afterAutospacing="0"/>
              <w:ind w:left="0" w:right="0"/>
              <w:rPr>
                <w:rFonts w:hint="eastAsia"/>
                <w:color w:val="auto"/>
                <w:highlight w:val="none"/>
                <w:lang w:val="en-US" w:eastAsia="zh-CN"/>
              </w:rPr>
            </w:pPr>
          </w:p>
          <w:p w14:paraId="6E0D93E9">
            <w:pPr>
              <w:keepNext w:val="0"/>
              <w:keepLines w:val="0"/>
              <w:suppressLineNumbers w:val="0"/>
              <w:spacing w:before="0" w:beforeAutospacing="0" w:after="0" w:afterAutospacing="0"/>
              <w:ind w:left="0" w:right="0"/>
              <w:rPr>
                <w:rFonts w:hint="eastAsia"/>
                <w:color w:val="auto"/>
                <w:highlight w:val="none"/>
                <w:lang w:val="en-US" w:eastAsia="zh-CN"/>
              </w:rPr>
            </w:pPr>
          </w:p>
          <w:p w14:paraId="14F93AED">
            <w:pPr>
              <w:keepNext w:val="0"/>
              <w:keepLines w:val="0"/>
              <w:suppressLineNumbers w:val="0"/>
              <w:spacing w:before="0" w:beforeAutospacing="0" w:after="0" w:afterAutospacing="0"/>
              <w:ind w:left="0" w:right="0"/>
              <w:rPr>
                <w:rFonts w:hint="eastAsia"/>
                <w:color w:val="auto"/>
                <w:highlight w:val="none"/>
                <w:lang w:val="en-US" w:eastAsia="zh-CN"/>
              </w:rPr>
            </w:pPr>
          </w:p>
          <w:p w14:paraId="2189B55F">
            <w:pPr>
              <w:keepNext w:val="0"/>
              <w:keepLines w:val="0"/>
              <w:suppressLineNumbers w:val="0"/>
              <w:spacing w:before="0" w:beforeAutospacing="0" w:after="0" w:afterAutospacing="0"/>
              <w:ind w:left="0" w:right="0"/>
              <w:rPr>
                <w:rFonts w:hint="eastAsia"/>
                <w:color w:val="auto"/>
                <w:highlight w:val="none"/>
                <w:lang w:val="en-US" w:eastAsia="zh-CN"/>
              </w:rPr>
            </w:pPr>
          </w:p>
          <w:p w14:paraId="4A3022C0">
            <w:pPr>
              <w:keepNext w:val="0"/>
              <w:keepLines w:val="0"/>
              <w:suppressLineNumbers w:val="0"/>
              <w:spacing w:before="0" w:beforeAutospacing="0" w:after="0" w:afterAutospacing="0"/>
              <w:ind w:left="0" w:right="0"/>
              <w:rPr>
                <w:rFonts w:hint="eastAsia"/>
                <w:color w:val="auto"/>
                <w:highlight w:val="none"/>
                <w:lang w:val="en-US" w:eastAsia="zh-CN"/>
              </w:rPr>
            </w:pPr>
          </w:p>
          <w:p w14:paraId="234609FD">
            <w:pPr>
              <w:keepNext w:val="0"/>
              <w:keepLines w:val="0"/>
              <w:suppressLineNumbers w:val="0"/>
              <w:spacing w:before="0" w:beforeAutospacing="0" w:after="0" w:afterAutospacing="0"/>
              <w:ind w:left="0" w:right="0"/>
              <w:rPr>
                <w:rFonts w:hint="eastAsia"/>
                <w:color w:val="auto"/>
                <w:highlight w:val="none"/>
                <w:lang w:val="en-US" w:eastAsia="zh-CN"/>
              </w:rPr>
            </w:pPr>
          </w:p>
          <w:p w14:paraId="12A80644">
            <w:pPr>
              <w:keepNext w:val="0"/>
              <w:keepLines w:val="0"/>
              <w:suppressLineNumbers w:val="0"/>
              <w:spacing w:before="0" w:beforeAutospacing="0" w:after="0" w:afterAutospacing="0"/>
              <w:ind w:left="0" w:right="0"/>
              <w:rPr>
                <w:rFonts w:hint="eastAsia"/>
                <w:color w:val="auto"/>
                <w:highlight w:val="none"/>
                <w:lang w:val="en-US" w:eastAsia="zh-CN"/>
              </w:rPr>
            </w:pPr>
          </w:p>
          <w:p w14:paraId="6A5FCC34">
            <w:pPr>
              <w:keepNext w:val="0"/>
              <w:keepLines w:val="0"/>
              <w:suppressLineNumbers w:val="0"/>
              <w:spacing w:before="0" w:beforeAutospacing="0" w:after="0" w:afterAutospacing="0"/>
              <w:ind w:left="0" w:right="0"/>
              <w:rPr>
                <w:rFonts w:hint="default"/>
                <w:highlight w:val="none"/>
                <w:lang w:val="en-US" w:eastAsia="zh-CN"/>
              </w:rPr>
            </w:pPr>
          </w:p>
          <w:p w14:paraId="7DB51891">
            <w:pPr>
              <w:keepNext w:val="0"/>
              <w:keepLines w:val="0"/>
              <w:suppressLineNumbers w:val="0"/>
              <w:spacing w:before="0" w:beforeAutospacing="0" w:after="0" w:afterAutospacing="0"/>
              <w:ind w:left="0" w:right="0"/>
              <w:rPr>
                <w:rFonts w:hint="default"/>
                <w:color w:val="auto"/>
                <w:highlight w:val="none"/>
                <w:lang w:val="en-US" w:eastAsia="zh-CN"/>
              </w:rPr>
            </w:pPr>
          </w:p>
          <w:p w14:paraId="69356836">
            <w:pPr>
              <w:keepNext w:val="0"/>
              <w:keepLines w:val="0"/>
              <w:suppressLineNumbers w:val="0"/>
              <w:spacing w:before="0" w:beforeAutospacing="0" w:after="0" w:afterAutospacing="0"/>
              <w:ind w:left="0" w:right="0"/>
              <w:rPr>
                <w:rFonts w:hint="default"/>
                <w:color w:val="auto"/>
                <w:highlight w:val="none"/>
                <w:lang w:val="en-US" w:eastAsia="zh-CN"/>
              </w:rPr>
            </w:pPr>
          </w:p>
        </w:tc>
      </w:tr>
    </w:tbl>
    <w:p w14:paraId="20DC28C8">
      <w:pPr>
        <w:rPr>
          <w:color w:val="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02196C9">
      <w:pPr>
        <w:pStyle w:val="28"/>
        <w:keepNext/>
        <w:keepLines w:val="0"/>
        <w:pageBreakBefore w:val="0"/>
        <w:widowControl w:val="0"/>
        <w:kinsoku w:val="0"/>
        <w:wordWrap/>
        <w:overflowPunct w:val="0"/>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vertAlign w:val="baseline"/>
        </w:rPr>
      </w:pPr>
      <w:r>
        <w:rPr>
          <w:rFonts w:ascii="Times New Roman" w:hAnsi="Times New Roman" w:eastAsia="黑体"/>
          <w:b/>
          <w:bCs/>
          <w:snapToGrid w:val="0"/>
          <w:color w:val="auto"/>
          <w:sz w:val="30"/>
          <w:szCs w:val="30"/>
        </w:rPr>
        <w:t>二、建设项目工程分析</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
        <w:gridCol w:w="8802"/>
      </w:tblGrid>
      <w:tr w14:paraId="4695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29" w:type="dxa"/>
            <w:vAlign w:val="center"/>
          </w:tcPr>
          <w:p w14:paraId="4999DDB0">
            <w:pPr>
              <w:pStyle w:val="28"/>
              <w:keepNext/>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105" w:leftChars="-50" w:right="-105" w:rightChars="-50"/>
              <w:jc w:val="center"/>
              <w:textAlignment w:val="auto"/>
              <w:outlineLvl w:val="0"/>
              <w:rPr>
                <w:rFonts w:hint="default" w:ascii="Times New Roman" w:hAnsi="Times New Roman" w:eastAsia="黑体" w:cs="Times New Roman"/>
                <w:snapToGrid w:val="0"/>
                <w:color w:val="auto"/>
                <w:sz w:val="30"/>
                <w:szCs w:val="30"/>
                <w:vertAlign w:val="baseline"/>
              </w:rPr>
            </w:pPr>
            <w:r>
              <w:rPr>
                <w:rFonts w:hint="default" w:ascii="Times New Roman" w:hAnsi="Times New Roman" w:eastAsia="宋体" w:cs="Times New Roman"/>
                <w:b/>
                <w:bCs/>
                <w:color w:val="auto"/>
                <w:kern w:val="0"/>
                <w:sz w:val="24"/>
                <w:szCs w:val="24"/>
                <w:lang w:val="en-US" w:eastAsia="zh-CN" w:bidi="ar-SA"/>
              </w:rPr>
              <w:t>建设内</w:t>
            </w:r>
            <w:r>
              <w:rPr>
                <w:rFonts w:hint="default" w:ascii="Times New Roman" w:hAnsi="Times New Roman" w:eastAsia="宋体" w:cs="Times New Roman"/>
                <w:b/>
                <w:bCs/>
                <w:snapToGrid w:val="0"/>
                <w:color w:val="auto"/>
                <w:sz w:val="24"/>
                <w:szCs w:val="24"/>
                <w:vertAlign w:val="baseline"/>
              </w:rPr>
              <w:t>容</w:t>
            </w:r>
          </w:p>
        </w:tc>
        <w:tc>
          <w:tcPr>
            <w:tcW w:w="8802" w:type="dxa"/>
          </w:tcPr>
          <w:p w14:paraId="6B664901">
            <w:pPr>
              <w:keepNext/>
              <w:keepLines w:val="0"/>
              <w:pageBreakBefore w:val="0"/>
              <w:widowControl w:val="0"/>
              <w:suppressLineNumbers w:val="0"/>
              <w:kinsoku/>
              <w:wordWrap/>
              <w:overflowPunct/>
              <w:topLinePunct w:val="0"/>
              <w:bidi w:val="0"/>
              <w:adjustRightInd w:val="0"/>
              <w:snapToGrid/>
              <w:spacing w:before="0" w:beforeLines="0" w:beforeAutospacing="0" w:after="0" w:afterLines="0" w:afterAutospacing="0" w:line="360" w:lineRule="auto"/>
              <w:ind w:left="0" w:right="0"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w:t>
            </w:r>
            <w:r>
              <w:rPr>
                <w:rFonts w:hint="default" w:ascii="Times New Roman" w:hAnsi="Times New Roman" w:eastAsia="宋体" w:cs="Times New Roman"/>
                <w:b/>
                <w:color w:val="auto"/>
                <w:sz w:val="24"/>
                <w:szCs w:val="24"/>
                <w:highlight w:val="none"/>
              </w:rPr>
              <w:t>、项目基本情况</w:t>
            </w:r>
          </w:p>
          <w:p w14:paraId="272FC597">
            <w:pPr>
              <w:keepNext/>
              <w:keepLines w:val="0"/>
              <w:pageBreakBefore w:val="0"/>
              <w:widowControl w:val="0"/>
              <w:suppressLineNumbers w:val="0"/>
              <w:kinsoku/>
              <w:wordWrap/>
              <w:overflowPunct/>
              <w:topLinePunct w:val="0"/>
              <w:bidi w:val="0"/>
              <w:adjustRightInd w:val="0"/>
              <w:snapToGrid/>
              <w:spacing w:before="0" w:beforeLines="0" w:beforeAutospacing="0" w:after="0" w:afterLines="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（1）项目名称：</w:t>
            </w:r>
            <w:r>
              <w:rPr>
                <w:rFonts w:hint="eastAsia" w:cs="Times New Roman"/>
                <w:bCs/>
                <w:color w:val="auto"/>
                <w:sz w:val="24"/>
                <w:highlight w:val="none"/>
                <w:lang w:eastAsia="zh-CN"/>
              </w:rPr>
              <w:t>面筋制品生产项目</w:t>
            </w:r>
          </w:p>
          <w:p w14:paraId="62E1597E">
            <w:pPr>
              <w:keepNext/>
              <w:keepLines w:val="0"/>
              <w:pageBreakBefore w:val="0"/>
              <w:widowControl w:val="0"/>
              <w:suppressLineNumbers w:val="0"/>
              <w:kinsoku/>
              <w:wordWrap/>
              <w:overflowPunct/>
              <w:topLinePunct w:val="0"/>
              <w:bidi w:val="0"/>
              <w:adjustRightInd w:val="0"/>
              <w:snapToGrid/>
              <w:spacing w:before="0" w:beforeLines="0" w:beforeAutospacing="0" w:after="0" w:afterLines="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（2）建设单位：</w:t>
            </w:r>
            <w:r>
              <w:rPr>
                <w:rFonts w:hint="eastAsia" w:cs="Times New Roman"/>
                <w:bCs/>
                <w:color w:val="auto"/>
                <w:sz w:val="24"/>
                <w:highlight w:val="none"/>
                <w:lang w:eastAsia="zh-CN"/>
              </w:rPr>
              <w:t>一亩田(河北)未来食品有限公司</w:t>
            </w:r>
          </w:p>
          <w:p w14:paraId="21C73C28">
            <w:pPr>
              <w:keepNext/>
              <w:keepLines w:val="0"/>
              <w:pageBreakBefore w:val="0"/>
              <w:widowControl w:val="0"/>
              <w:suppressLineNumbers w:val="0"/>
              <w:kinsoku/>
              <w:wordWrap/>
              <w:overflowPunct/>
              <w:topLinePunct w:val="0"/>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（3）建设性质：</w:t>
            </w:r>
            <w:r>
              <w:rPr>
                <w:rFonts w:hint="eastAsia" w:cs="Times New Roman"/>
                <w:color w:val="auto"/>
                <w:sz w:val="24"/>
                <w:szCs w:val="24"/>
                <w:highlight w:val="none"/>
                <w:lang w:eastAsia="zh-CN"/>
              </w:rPr>
              <w:t>新建</w:t>
            </w:r>
          </w:p>
          <w:p w14:paraId="094EAEE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eastAsia="宋体" w:cs="Times New Roman"/>
                <w:color w:val="auto"/>
                <w:sz w:val="24"/>
                <w:szCs w:val="24"/>
                <w:highlight w:val="none"/>
              </w:rPr>
              <w:t>（4）建设地点：</w:t>
            </w:r>
            <w:r>
              <w:rPr>
                <w:rFonts w:hint="default" w:ascii="Times New Roman" w:hAnsi="Times New Roman" w:cs="Times New Roman"/>
                <w:bCs/>
                <w:color w:val="auto"/>
                <w:sz w:val="24"/>
                <w:highlight w:val="none"/>
              </w:rPr>
              <w:t>项目位于</w:t>
            </w:r>
            <w:r>
              <w:rPr>
                <w:rFonts w:hint="default" w:ascii="Times New Roman" w:hAnsi="Times New Roman" w:cs="Times New Roman"/>
                <w:color w:val="auto"/>
                <w:sz w:val="24"/>
                <w:highlight w:val="none"/>
                <w:lang w:eastAsia="zh-CN"/>
              </w:rPr>
              <w:t>河北省邯郸市魏县经济开发区魏县现代农业园区</w:t>
            </w:r>
            <w:r>
              <w:rPr>
                <w:rFonts w:hint="default" w:ascii="Times New Roman" w:hAnsi="Times New Roman" w:cs="Times New Roman"/>
                <w:bCs/>
                <w:color w:val="auto"/>
                <w:sz w:val="24"/>
                <w:highlight w:val="none"/>
              </w:rPr>
              <w:t>，中心地理坐标为</w:t>
            </w:r>
            <w:r>
              <w:rPr>
                <w:rFonts w:hint="default" w:ascii="Times New Roman" w:hAnsi="Times New Roman" w:cs="Times New Roman"/>
                <w:color w:val="auto"/>
                <w:sz w:val="24"/>
                <w:highlight w:val="none"/>
                <w:lang w:eastAsia="zh-CN"/>
              </w:rPr>
              <w:t>东经114°59′55.409″，北纬36°20′39.887″</w:t>
            </w:r>
            <w:r>
              <w:rPr>
                <w:rFonts w:hint="default" w:ascii="Times New Roman" w:hAnsi="Times New Roman" w:cs="Times New Roman"/>
                <w:bCs/>
                <w:color w:val="auto"/>
                <w:sz w:val="24"/>
                <w:highlight w:val="none"/>
              </w:rPr>
              <w:t>，</w:t>
            </w:r>
            <w:r>
              <w:rPr>
                <w:rFonts w:hint="eastAsia" w:cs="Times New Roman"/>
                <w:bCs/>
                <w:color w:val="auto"/>
                <w:sz w:val="24"/>
                <w:highlight w:val="none"/>
                <w:lang w:eastAsia="zh-CN"/>
              </w:rPr>
              <w:t>项目北侧为九凯食品有限公司、星耀食品科技(河北)有限公司，其余三侧均为空地。</w:t>
            </w:r>
            <w:r>
              <w:rPr>
                <w:rFonts w:hint="default" w:ascii="Times New Roman" w:hAnsi="Times New Roman" w:cs="Times New Roman"/>
                <w:color w:val="auto"/>
                <w:sz w:val="24"/>
                <w:highlight w:val="none"/>
              </w:rPr>
              <w:t>距离项目500m范围内</w:t>
            </w:r>
            <w:r>
              <w:rPr>
                <w:rFonts w:hint="eastAsia" w:cs="Times New Roman"/>
                <w:color w:val="auto"/>
                <w:sz w:val="24"/>
                <w:highlight w:val="none"/>
                <w:lang w:eastAsia="zh-CN"/>
              </w:rPr>
              <w:t>最近的敏感点为东北</w:t>
            </w:r>
            <w:r>
              <w:rPr>
                <w:rFonts w:hint="eastAsia" w:cs="Times New Roman"/>
                <w:color w:val="auto"/>
                <w:sz w:val="24"/>
                <w:highlight w:val="none"/>
                <w:lang w:val="en-US" w:eastAsia="zh-CN"/>
              </w:rPr>
              <w:t>200m的马头村</w:t>
            </w:r>
            <w:r>
              <w:rPr>
                <w:rFonts w:hint="default" w:ascii="Times New Roman" w:hAnsi="Times New Roman" w:cs="Times New Roman"/>
                <w:bCs/>
                <w:color w:val="auto"/>
                <w:sz w:val="24"/>
                <w:highlight w:val="none"/>
              </w:rPr>
              <w:t>，项目地理位置图见附图1，周边关系图见附图2。</w:t>
            </w:r>
          </w:p>
          <w:p w14:paraId="354DFA0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（5）建设内容及规模：</w:t>
            </w:r>
            <w:r>
              <w:rPr>
                <w:rFonts w:hint="default" w:ascii="Times New Roman" w:hAnsi="Times New Roman" w:eastAsia="宋体" w:cs="Times New Roman"/>
                <w:bCs/>
                <w:color w:val="auto"/>
                <w:sz w:val="24"/>
                <w:highlight w:val="none"/>
                <w:lang w:val="en-US" w:eastAsia="zh-CN"/>
              </w:rPr>
              <w:t>项目占地40290.98</w:t>
            </w:r>
            <w:r>
              <w:rPr>
                <w:rFonts w:hint="eastAsia" w:cs="Times New Roman"/>
                <w:bCs/>
                <w:color w:val="auto"/>
                <w:sz w:val="24"/>
                <w:highlight w:val="none"/>
                <w:lang w:val="en-US" w:eastAsia="zh-CN"/>
              </w:rPr>
              <w:t>m</w:t>
            </w:r>
            <w:r>
              <w:rPr>
                <w:rFonts w:hint="eastAsia" w:cs="Times New Roman"/>
                <w:bCs/>
                <w:color w:val="auto"/>
                <w:sz w:val="24"/>
                <w:highlight w:val="none"/>
                <w:vertAlign w:val="superscript"/>
                <w:lang w:val="en-US" w:eastAsia="zh-CN"/>
              </w:rPr>
              <w:t>2</w:t>
            </w:r>
            <w:r>
              <w:rPr>
                <w:rFonts w:hint="default" w:ascii="Times New Roman" w:hAnsi="Times New Roman" w:eastAsia="宋体" w:cs="Times New Roman"/>
                <w:bCs/>
                <w:color w:val="auto"/>
                <w:sz w:val="24"/>
                <w:highlight w:val="none"/>
                <w:lang w:val="en-US" w:eastAsia="zh-CN"/>
              </w:rPr>
              <w:t>，主要建设生产车间、办公楼、仓库</w:t>
            </w:r>
            <w:r>
              <w:rPr>
                <w:rFonts w:hint="eastAsia" w:cs="Times New Roman"/>
                <w:bCs/>
                <w:color w:val="auto"/>
                <w:sz w:val="24"/>
                <w:highlight w:val="none"/>
                <w:lang w:val="en-US" w:eastAsia="zh-CN"/>
              </w:rPr>
              <w:t>、冷库</w:t>
            </w:r>
            <w:r>
              <w:rPr>
                <w:rFonts w:hint="default" w:ascii="Times New Roman" w:hAnsi="Times New Roman" w:eastAsia="宋体" w:cs="Times New Roman"/>
                <w:bCs/>
                <w:color w:val="auto"/>
                <w:sz w:val="24"/>
                <w:highlight w:val="none"/>
                <w:lang w:val="en-US" w:eastAsia="zh-CN"/>
              </w:rPr>
              <w:t>及其他附属设施，购置安装真空上料系统、混合机、双螺杆挤压机、蒸煮/卤制锅、真空包装机等设备。项目建成后年产面筋制品10000吨</w:t>
            </w:r>
            <w:r>
              <w:rPr>
                <w:rFonts w:hint="default" w:ascii="Times New Roman" w:hAnsi="Times New Roman" w:eastAsia="宋体" w:cs="Times New Roman"/>
                <w:color w:val="auto"/>
                <w:sz w:val="24"/>
                <w:szCs w:val="24"/>
                <w:highlight w:val="none"/>
              </w:rPr>
              <w:t>。</w:t>
            </w:r>
          </w:p>
          <w:p w14:paraId="24C37318">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firstLineChars="200"/>
              <w:textAlignment w:val="auto"/>
              <w:rPr>
                <w:rFonts w:hint="default" w:ascii="Times New Roman" w:hAnsi="Times New Roman" w:cs="Times New Roman"/>
                <w:color w:val="auto"/>
                <w:kern w:val="0"/>
                <w:sz w:val="24"/>
                <w:szCs w:val="27"/>
                <w:highlight w:val="none"/>
              </w:rPr>
            </w:pP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kern w:val="0"/>
                <w:sz w:val="24"/>
                <w:szCs w:val="27"/>
                <w:highlight w:val="none"/>
              </w:rPr>
              <w:t>主要建设内容详见</w:t>
            </w:r>
            <w:r>
              <w:rPr>
                <w:rFonts w:hint="default" w:ascii="Times New Roman" w:hAnsi="Times New Roman" w:cs="Times New Roman"/>
                <w:color w:val="auto"/>
                <w:kern w:val="0"/>
                <w:sz w:val="24"/>
                <w:szCs w:val="27"/>
                <w:highlight w:val="none"/>
                <w:lang w:val="en-US" w:eastAsia="zh-CN"/>
              </w:rPr>
              <w:t>表2-1，</w:t>
            </w:r>
            <w:r>
              <w:rPr>
                <w:rFonts w:hint="default" w:ascii="Times New Roman" w:hAnsi="Times New Roman" w:cs="Times New Roman"/>
                <w:b w:val="0"/>
                <w:bCs w:val="0"/>
                <w:color w:val="auto"/>
                <w:kern w:val="0"/>
                <w:sz w:val="24"/>
                <w:szCs w:val="24"/>
                <w:highlight w:val="none"/>
              </w:rPr>
              <w:t>主要建构筑物</w:t>
            </w:r>
            <w:r>
              <w:rPr>
                <w:rFonts w:hint="default" w:ascii="Times New Roman" w:hAnsi="Times New Roman" w:cs="Times New Roman"/>
                <w:b w:val="0"/>
                <w:bCs w:val="0"/>
                <w:color w:val="auto"/>
                <w:kern w:val="0"/>
                <w:sz w:val="24"/>
                <w:szCs w:val="24"/>
                <w:highlight w:val="none"/>
                <w:lang w:eastAsia="zh-CN"/>
              </w:rPr>
              <w:t>见表</w:t>
            </w:r>
            <w:r>
              <w:rPr>
                <w:rFonts w:hint="default" w:ascii="Times New Roman" w:hAnsi="Times New Roman" w:cs="Times New Roman"/>
                <w:b w:val="0"/>
                <w:bCs w:val="0"/>
                <w:color w:val="auto"/>
                <w:kern w:val="0"/>
                <w:sz w:val="24"/>
                <w:szCs w:val="24"/>
                <w:highlight w:val="none"/>
                <w:lang w:val="en-US" w:eastAsia="zh-CN"/>
              </w:rPr>
              <w:t>2-2</w:t>
            </w:r>
            <w:r>
              <w:rPr>
                <w:rFonts w:hint="default" w:ascii="Times New Roman" w:hAnsi="Times New Roman" w:eastAsia="宋体" w:cs="Times New Roman"/>
                <w:b w:val="0"/>
                <w:bCs w:val="0"/>
                <w:color w:val="auto"/>
                <w:kern w:val="0"/>
                <w:sz w:val="24"/>
                <w:szCs w:val="24"/>
                <w:highlight w:val="none"/>
              </w:rPr>
              <w:t>。</w:t>
            </w:r>
          </w:p>
          <w:p w14:paraId="025585DD">
            <w:pPr>
              <w:keepNext/>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00" w:lineRule="exact"/>
              <w:ind w:left="0" w:right="0"/>
              <w:jc w:val="center"/>
              <w:textAlignment w:val="auto"/>
              <w:rPr>
                <w:rFonts w:hint="default" w:ascii="Times New Roman" w:hAnsi="Times New Roman"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1</w:t>
            </w:r>
            <w:r>
              <w:rPr>
                <w:rFonts w:hint="eastAsia"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cs="Times New Roman"/>
                <w:b/>
                <w:color w:val="auto"/>
                <w:sz w:val="24"/>
                <w:szCs w:val="24"/>
                <w:highlight w:val="none"/>
                <w:lang w:val="en-US" w:eastAsia="zh-CN"/>
              </w:rPr>
              <w:t>本</w:t>
            </w:r>
            <w:r>
              <w:rPr>
                <w:rFonts w:hint="default" w:ascii="Times New Roman" w:hAnsi="Times New Roman" w:eastAsia="宋体" w:cs="Times New Roman"/>
                <w:b/>
                <w:color w:val="auto"/>
                <w:sz w:val="24"/>
                <w:szCs w:val="24"/>
                <w:highlight w:val="none"/>
              </w:rPr>
              <w:t>项目建设内容一览表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07"/>
              <w:gridCol w:w="1475"/>
              <w:gridCol w:w="6167"/>
              <w:gridCol w:w="534"/>
            </w:tblGrid>
            <w:tr w14:paraId="6D2E13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096" w:type="pct"/>
                  <w:gridSpan w:val="2"/>
                  <w:tcBorders>
                    <w:tl2br w:val="nil"/>
                    <w:tr2bl w:val="nil"/>
                  </w:tcBorders>
                  <w:noWrap w:val="0"/>
                  <w:vAlign w:val="center"/>
                </w:tcPr>
                <w:p w14:paraId="0C118123">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val="0"/>
                      <w:color w:val="auto"/>
                      <w:spacing w:val="0"/>
                      <w:sz w:val="21"/>
                      <w:szCs w:val="21"/>
                      <w:highlight w:val="none"/>
                    </w:rPr>
                  </w:pPr>
                  <w:r>
                    <w:rPr>
                      <w:rFonts w:hint="default" w:ascii="Times New Roman" w:hAnsi="Times New Roman" w:eastAsia="宋体" w:cs="Times New Roman"/>
                      <w:b/>
                      <w:bCs w:val="0"/>
                      <w:color w:val="auto"/>
                      <w:spacing w:val="0"/>
                      <w:kern w:val="0"/>
                      <w:sz w:val="21"/>
                      <w:szCs w:val="21"/>
                      <w:highlight w:val="none"/>
                    </w:rPr>
                    <w:t>工程内容</w:t>
                  </w:r>
                </w:p>
              </w:tc>
              <w:tc>
                <w:tcPr>
                  <w:tcW w:w="3592" w:type="pct"/>
                  <w:tcBorders>
                    <w:tl2br w:val="nil"/>
                    <w:tr2bl w:val="nil"/>
                  </w:tcBorders>
                  <w:noWrap w:val="0"/>
                  <w:vAlign w:val="center"/>
                </w:tcPr>
                <w:p w14:paraId="47E75B3C">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val="0"/>
                      <w:color w:val="auto"/>
                      <w:spacing w:val="0"/>
                      <w:sz w:val="21"/>
                      <w:szCs w:val="21"/>
                      <w:highlight w:val="none"/>
                    </w:rPr>
                  </w:pPr>
                  <w:r>
                    <w:rPr>
                      <w:rFonts w:hint="default" w:ascii="Times New Roman" w:hAnsi="Times New Roman" w:eastAsia="宋体" w:cs="Times New Roman"/>
                      <w:b/>
                      <w:bCs w:val="0"/>
                      <w:color w:val="auto"/>
                      <w:spacing w:val="0"/>
                      <w:kern w:val="0"/>
                      <w:sz w:val="21"/>
                      <w:szCs w:val="21"/>
                      <w:highlight w:val="none"/>
                    </w:rPr>
                    <w:t>建设内容</w:t>
                  </w:r>
                </w:p>
              </w:tc>
              <w:tc>
                <w:tcPr>
                  <w:tcW w:w="311" w:type="pct"/>
                  <w:tcBorders>
                    <w:tl2br w:val="nil"/>
                    <w:tr2bl w:val="nil"/>
                  </w:tcBorders>
                  <w:noWrap w:val="0"/>
                  <w:vAlign w:val="center"/>
                </w:tcPr>
                <w:p w14:paraId="24D05675">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val="0"/>
                      <w:color w:val="auto"/>
                      <w:spacing w:val="0"/>
                      <w:kern w:val="0"/>
                      <w:sz w:val="21"/>
                      <w:szCs w:val="21"/>
                      <w:highlight w:val="none"/>
                    </w:rPr>
                  </w:pPr>
                  <w:r>
                    <w:rPr>
                      <w:rFonts w:hint="default" w:ascii="Times New Roman" w:hAnsi="Times New Roman" w:eastAsia="宋体" w:cs="Times New Roman"/>
                      <w:b/>
                      <w:bCs w:val="0"/>
                      <w:color w:val="auto"/>
                      <w:spacing w:val="0"/>
                      <w:kern w:val="0"/>
                      <w:sz w:val="21"/>
                      <w:szCs w:val="21"/>
                      <w:highlight w:val="none"/>
                    </w:rPr>
                    <w:t>备注</w:t>
                  </w:r>
                </w:p>
              </w:tc>
            </w:tr>
            <w:tr w14:paraId="049E05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restart"/>
                  <w:tcBorders>
                    <w:tl2br w:val="nil"/>
                    <w:tr2bl w:val="nil"/>
                  </w:tcBorders>
                  <w:noWrap w:val="0"/>
                  <w:vAlign w:val="center"/>
                </w:tcPr>
                <w:p w14:paraId="56B6F0AD">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bookmarkStart w:id="2" w:name="OLE_LINK5" w:colFirst="1" w:colLast="2"/>
                  <w:r>
                    <w:rPr>
                      <w:rFonts w:hint="default" w:ascii="Times New Roman" w:hAnsi="Times New Roman" w:eastAsia="宋体" w:cs="Times New Roman"/>
                      <w:color w:val="auto"/>
                      <w:spacing w:val="0"/>
                      <w:kern w:val="0"/>
                      <w:sz w:val="21"/>
                      <w:szCs w:val="21"/>
                      <w:highlight w:val="none"/>
                    </w:rPr>
                    <w:t>主体</w:t>
                  </w:r>
                </w:p>
                <w:p w14:paraId="1F37CCA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lang w:val="en-US" w:eastAsia="zh-CN"/>
                    </w:rPr>
                  </w:pPr>
                  <w:r>
                    <w:rPr>
                      <w:rFonts w:hint="default" w:ascii="Times New Roman" w:hAnsi="Times New Roman" w:eastAsia="宋体" w:cs="Times New Roman"/>
                      <w:color w:val="auto"/>
                      <w:spacing w:val="0"/>
                      <w:kern w:val="0"/>
                      <w:sz w:val="21"/>
                      <w:szCs w:val="21"/>
                      <w:highlight w:val="none"/>
                    </w:rPr>
                    <w:t>工程</w:t>
                  </w:r>
                </w:p>
              </w:tc>
              <w:tc>
                <w:tcPr>
                  <w:tcW w:w="858" w:type="pct"/>
                  <w:tcBorders>
                    <w:tl2br w:val="nil"/>
                    <w:tr2bl w:val="nil"/>
                  </w:tcBorders>
                  <w:noWrap w:val="0"/>
                  <w:vAlign w:val="center"/>
                </w:tcPr>
                <w:p w14:paraId="55499B25">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cs="Times New Roman"/>
                      <w:color w:val="auto"/>
                      <w:spacing w:val="0"/>
                      <w:sz w:val="21"/>
                      <w:szCs w:val="21"/>
                      <w:highlight w:val="none"/>
                      <w:lang w:val="en-US" w:eastAsia="zh-CN"/>
                    </w:rPr>
                  </w:pPr>
                  <w:r>
                    <w:rPr>
                      <w:rFonts w:hint="eastAsia" w:ascii="Times New Roman" w:hAnsi="Times New Roman" w:cs="Times New Roman"/>
                      <w:color w:val="auto"/>
                      <w:spacing w:val="0"/>
                      <w:sz w:val="21"/>
                      <w:szCs w:val="21"/>
                      <w:highlight w:val="none"/>
                      <w:lang w:val="en-US" w:eastAsia="zh-CN"/>
                    </w:rPr>
                    <w:t>3#生产车间</w:t>
                  </w:r>
                </w:p>
              </w:tc>
              <w:tc>
                <w:tcPr>
                  <w:tcW w:w="3592" w:type="pct"/>
                  <w:tcBorders>
                    <w:tl2br w:val="nil"/>
                    <w:tr2bl w:val="nil"/>
                  </w:tcBorders>
                  <w:noWrap w:val="0"/>
                  <w:vAlign w:val="center"/>
                </w:tcPr>
                <w:p w14:paraId="1D3A0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396" w:firstLineChars="200"/>
                    <w:jc w:val="both"/>
                    <w:textAlignment w:val="auto"/>
                    <w:rPr>
                      <w:rFonts w:hint="default" w:ascii="Times New Roman" w:hAnsi="Times New Roman" w:eastAsia="宋体" w:cs="Times New Roman"/>
                      <w:color w:val="auto"/>
                      <w:spacing w:val="0"/>
                      <w:sz w:val="21"/>
                      <w:szCs w:val="21"/>
                      <w:highlight w:val="none"/>
                      <w:vertAlign w:val="baseline"/>
                      <w:lang w:eastAsia="zh-CN"/>
                    </w:rPr>
                  </w:pPr>
                  <w:r>
                    <w:rPr>
                      <w:rFonts w:hint="default" w:ascii="Times New Roman" w:hAnsi="Times New Roman" w:cs="Times New Roman"/>
                      <w:color w:val="auto"/>
                      <w:spacing w:val="-6"/>
                      <w:sz w:val="21"/>
                      <w:szCs w:val="21"/>
                      <w:highlight w:val="none"/>
                      <w:lang w:eastAsia="zh-CN"/>
                    </w:rPr>
                    <w:t>占地面积</w:t>
                  </w:r>
                  <w:r>
                    <w:rPr>
                      <w:rFonts w:hint="eastAsia" w:cs="Times New Roman"/>
                      <w:color w:val="auto"/>
                      <w:spacing w:val="-6"/>
                      <w:kern w:val="0"/>
                      <w:sz w:val="21"/>
                      <w:szCs w:val="21"/>
                      <w:highlight w:val="none"/>
                      <w:lang w:val="en-US" w:eastAsia="zh-CN"/>
                    </w:rPr>
                    <w:t>2769.97</w:t>
                  </w:r>
                  <w:r>
                    <w:rPr>
                      <w:rFonts w:hint="default" w:ascii="Times New Roman" w:hAnsi="Times New Roman" w:eastAsia="宋体" w:cs="Times New Roman"/>
                      <w:color w:val="auto"/>
                      <w:spacing w:val="-6"/>
                      <w:sz w:val="21"/>
                      <w:szCs w:val="21"/>
                      <w:highlight w:val="none"/>
                    </w:rPr>
                    <w:t>m</w:t>
                  </w:r>
                  <w:r>
                    <w:rPr>
                      <w:rFonts w:hint="default" w:ascii="Times New Roman" w:hAnsi="Times New Roman" w:eastAsia="宋体" w:cs="Times New Roman"/>
                      <w:color w:val="auto"/>
                      <w:spacing w:val="-6"/>
                      <w:sz w:val="21"/>
                      <w:szCs w:val="21"/>
                      <w:highlight w:val="none"/>
                      <w:vertAlign w:val="superscript"/>
                    </w:rPr>
                    <w:t>2</w:t>
                  </w:r>
                  <w:r>
                    <w:rPr>
                      <w:rFonts w:hint="default" w:ascii="Times New Roman" w:hAnsi="Times New Roman" w:cs="Times New Roman"/>
                      <w:color w:val="auto"/>
                      <w:spacing w:val="-6"/>
                      <w:sz w:val="21"/>
                      <w:szCs w:val="21"/>
                      <w:highlight w:val="none"/>
                      <w:vertAlign w:val="baseline"/>
                      <w:lang w:eastAsia="zh-CN"/>
                    </w:rPr>
                    <w:t>，</w:t>
                  </w:r>
                  <w:r>
                    <w:rPr>
                      <w:rFonts w:hint="eastAsia" w:cs="Times New Roman"/>
                      <w:color w:val="auto"/>
                      <w:spacing w:val="-6"/>
                      <w:sz w:val="21"/>
                      <w:szCs w:val="21"/>
                      <w:highlight w:val="none"/>
                      <w:vertAlign w:val="baseline"/>
                      <w:lang w:eastAsia="zh-CN"/>
                    </w:rPr>
                    <w:t>局部</w:t>
                  </w:r>
                  <w:r>
                    <w:rPr>
                      <w:rFonts w:hint="eastAsia" w:cs="Times New Roman"/>
                      <w:color w:val="auto"/>
                      <w:spacing w:val="-6"/>
                      <w:sz w:val="21"/>
                      <w:szCs w:val="21"/>
                      <w:highlight w:val="none"/>
                      <w:vertAlign w:val="baseline"/>
                      <w:lang w:val="en-US" w:eastAsia="zh-CN"/>
                    </w:rPr>
                    <w:t>3层，整体1层，高11.4</w:t>
                  </w:r>
                  <w:r>
                    <w:rPr>
                      <w:rFonts w:hint="eastAsia" w:ascii="Times New Roman" w:hAnsi="Times New Roman" w:cs="Times New Roman"/>
                      <w:color w:val="auto"/>
                      <w:spacing w:val="-6"/>
                      <w:sz w:val="21"/>
                      <w:szCs w:val="21"/>
                      <w:highlight w:val="none"/>
                      <w:lang w:val="en-US" w:eastAsia="zh-CN"/>
                    </w:rPr>
                    <w:t>m，</w:t>
                  </w:r>
                  <w:r>
                    <w:rPr>
                      <w:rFonts w:hint="default" w:ascii="Times New Roman" w:hAnsi="Times New Roman" w:cs="Times New Roman"/>
                      <w:color w:val="auto"/>
                      <w:spacing w:val="-6"/>
                      <w:sz w:val="21"/>
                      <w:szCs w:val="21"/>
                      <w:highlight w:val="none"/>
                      <w:lang w:eastAsia="zh-CN"/>
                    </w:rPr>
                    <w:t>框架结构</w:t>
                  </w:r>
                  <w:r>
                    <w:rPr>
                      <w:rFonts w:hint="eastAsia" w:cs="Times New Roman"/>
                      <w:color w:val="auto"/>
                      <w:spacing w:val="-6"/>
                      <w:sz w:val="21"/>
                      <w:szCs w:val="21"/>
                      <w:highlight w:val="none"/>
                      <w:lang w:eastAsia="zh-CN"/>
                    </w:rPr>
                    <w:t>。一层</w:t>
                  </w:r>
                  <w:r>
                    <w:rPr>
                      <w:rFonts w:hint="default" w:ascii="Times New Roman" w:hAnsi="Times New Roman" w:cs="Times New Roman"/>
                      <w:color w:val="auto"/>
                      <w:spacing w:val="-6"/>
                      <w:sz w:val="21"/>
                      <w:szCs w:val="21"/>
                      <w:highlight w:val="none"/>
                      <w:vertAlign w:val="baseline"/>
                      <w:lang w:eastAsia="zh-CN"/>
                    </w:rPr>
                    <w:t>主要建设</w:t>
                  </w:r>
                  <w:r>
                    <w:rPr>
                      <w:rFonts w:hint="eastAsia" w:cs="Times New Roman"/>
                      <w:color w:val="auto"/>
                      <w:spacing w:val="-6"/>
                      <w:sz w:val="21"/>
                      <w:szCs w:val="21"/>
                      <w:highlight w:val="none"/>
                      <w:lang w:eastAsia="zh-CN"/>
                    </w:rPr>
                    <w:t>面筋制品生产线，二层、三层为产品研发室</w:t>
                  </w:r>
                  <w:r>
                    <w:rPr>
                      <w:rFonts w:hint="default" w:ascii="Times New Roman" w:hAnsi="Times New Roman" w:cs="Times New Roman"/>
                      <w:bCs/>
                      <w:color w:val="auto"/>
                      <w:spacing w:val="-6"/>
                      <w:sz w:val="21"/>
                      <w:szCs w:val="21"/>
                      <w:highlight w:val="none"/>
                      <w:lang w:eastAsia="zh-CN"/>
                    </w:rPr>
                    <w:t>。</w:t>
                  </w:r>
                </w:p>
              </w:tc>
              <w:tc>
                <w:tcPr>
                  <w:tcW w:w="311" w:type="pct"/>
                  <w:tcBorders>
                    <w:tl2br w:val="nil"/>
                    <w:tr2bl w:val="nil"/>
                  </w:tcBorders>
                  <w:noWrap w:val="0"/>
                  <w:vAlign w:val="center"/>
                </w:tcPr>
                <w:p w14:paraId="47888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新建</w:t>
                  </w:r>
                </w:p>
              </w:tc>
            </w:tr>
            <w:tr w14:paraId="5B1C9F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continue"/>
                  <w:tcBorders>
                    <w:tl2br w:val="nil"/>
                    <w:tr2bl w:val="nil"/>
                  </w:tcBorders>
                  <w:noWrap w:val="0"/>
                  <w:vAlign w:val="center"/>
                </w:tcPr>
                <w:p w14:paraId="3B522A8F">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p>
              </w:tc>
              <w:tc>
                <w:tcPr>
                  <w:tcW w:w="858" w:type="pct"/>
                  <w:tcBorders>
                    <w:tl2br w:val="nil"/>
                    <w:tr2bl w:val="nil"/>
                  </w:tcBorders>
                  <w:noWrap w:val="0"/>
                  <w:vAlign w:val="center"/>
                </w:tcPr>
                <w:p w14:paraId="0AC02415">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cs="Times New Roman"/>
                      <w:color w:val="auto"/>
                      <w:spacing w:val="0"/>
                      <w:sz w:val="21"/>
                      <w:szCs w:val="21"/>
                      <w:highlight w:val="none"/>
                      <w:lang w:val="en-US" w:eastAsia="zh-CN"/>
                    </w:rPr>
                  </w:pPr>
                  <w:r>
                    <w:rPr>
                      <w:rFonts w:hint="eastAsia" w:ascii="Times New Roman" w:hAnsi="Times New Roman" w:cs="Times New Roman"/>
                      <w:color w:val="auto"/>
                      <w:spacing w:val="0"/>
                      <w:sz w:val="21"/>
                      <w:szCs w:val="21"/>
                      <w:highlight w:val="none"/>
                      <w:lang w:val="en-US" w:eastAsia="zh-CN"/>
                    </w:rPr>
                    <w:t>8#生产车间</w:t>
                  </w:r>
                </w:p>
              </w:tc>
              <w:tc>
                <w:tcPr>
                  <w:tcW w:w="3592" w:type="pct"/>
                  <w:tcBorders>
                    <w:tl2br w:val="nil"/>
                    <w:tr2bl w:val="nil"/>
                  </w:tcBorders>
                  <w:shd w:val="clear" w:color="auto" w:fill="auto"/>
                  <w:noWrap w:val="0"/>
                  <w:vAlign w:val="center"/>
                </w:tcPr>
                <w:p w14:paraId="5875E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ascii="Times New Roman" w:hAnsi="Times New Roman" w:cs="Times New Roman"/>
                      <w:color w:val="auto"/>
                      <w:spacing w:val="0"/>
                      <w:sz w:val="21"/>
                      <w:szCs w:val="21"/>
                      <w:highlight w:val="none"/>
                      <w:lang w:eastAsia="zh-CN"/>
                    </w:rPr>
                    <w:t>占地面积</w:t>
                  </w:r>
                  <w:r>
                    <w:rPr>
                      <w:rFonts w:hint="eastAsia" w:cs="Times New Roman"/>
                      <w:color w:val="auto"/>
                      <w:kern w:val="0"/>
                      <w:sz w:val="21"/>
                      <w:szCs w:val="21"/>
                      <w:highlight w:val="none"/>
                      <w:lang w:val="en-US" w:eastAsia="zh-CN"/>
                    </w:rPr>
                    <w:t>1569.03</w:t>
                  </w:r>
                  <w:r>
                    <w:rPr>
                      <w:rFonts w:hint="default" w:ascii="Times New Roman" w:hAnsi="Times New Roman" w:eastAsia="宋体" w:cs="Times New Roman"/>
                      <w:color w:val="auto"/>
                      <w:spacing w:val="0"/>
                      <w:sz w:val="21"/>
                      <w:szCs w:val="21"/>
                      <w:highlight w:val="none"/>
                    </w:rPr>
                    <w:t>m</w:t>
                  </w:r>
                  <w:r>
                    <w:rPr>
                      <w:rFonts w:hint="default" w:ascii="Times New Roman" w:hAnsi="Times New Roman" w:eastAsia="宋体" w:cs="Times New Roman"/>
                      <w:color w:val="auto"/>
                      <w:spacing w:val="0"/>
                      <w:sz w:val="21"/>
                      <w:szCs w:val="21"/>
                      <w:highlight w:val="none"/>
                      <w:vertAlign w:val="superscript"/>
                    </w:rPr>
                    <w:t>2</w:t>
                  </w:r>
                  <w:r>
                    <w:rPr>
                      <w:rFonts w:hint="default" w:ascii="Times New Roman" w:hAnsi="Times New Roman" w:cs="Times New Roman"/>
                      <w:color w:val="auto"/>
                      <w:spacing w:val="0"/>
                      <w:sz w:val="21"/>
                      <w:szCs w:val="21"/>
                      <w:highlight w:val="none"/>
                      <w:vertAlign w:val="baseline"/>
                      <w:lang w:eastAsia="zh-CN"/>
                    </w:rPr>
                    <w:t>，</w:t>
                  </w:r>
                  <w:r>
                    <w:rPr>
                      <w:rFonts w:hint="eastAsia" w:cs="Times New Roman"/>
                      <w:color w:val="auto"/>
                      <w:spacing w:val="0"/>
                      <w:sz w:val="21"/>
                      <w:szCs w:val="21"/>
                      <w:highlight w:val="none"/>
                      <w:vertAlign w:val="baseline"/>
                      <w:lang w:val="en-US" w:eastAsia="zh-CN"/>
                    </w:rPr>
                    <w:t>整体1层，高9.3</w:t>
                  </w:r>
                  <w:r>
                    <w:rPr>
                      <w:rFonts w:hint="eastAsia" w:ascii="Times New Roman" w:hAnsi="Times New Roman" w:cs="Times New Roman"/>
                      <w:color w:val="auto"/>
                      <w:spacing w:val="0"/>
                      <w:sz w:val="21"/>
                      <w:szCs w:val="21"/>
                      <w:highlight w:val="none"/>
                      <w:lang w:val="en-US" w:eastAsia="zh-CN"/>
                    </w:rPr>
                    <w:t>m，</w:t>
                  </w:r>
                  <w:r>
                    <w:rPr>
                      <w:rFonts w:hint="default" w:ascii="Times New Roman" w:hAnsi="Times New Roman" w:cs="Times New Roman"/>
                      <w:color w:val="auto"/>
                      <w:spacing w:val="0"/>
                      <w:sz w:val="21"/>
                      <w:szCs w:val="21"/>
                      <w:highlight w:val="none"/>
                      <w:lang w:eastAsia="zh-CN"/>
                    </w:rPr>
                    <w:t>框架结构</w:t>
                  </w:r>
                  <w:r>
                    <w:rPr>
                      <w:rFonts w:hint="eastAsia" w:cs="Times New Roman"/>
                      <w:color w:val="auto"/>
                      <w:spacing w:val="0"/>
                      <w:sz w:val="21"/>
                      <w:szCs w:val="21"/>
                      <w:highlight w:val="none"/>
                      <w:lang w:eastAsia="zh-CN"/>
                    </w:rPr>
                    <w:t>。</w:t>
                  </w:r>
                  <w:r>
                    <w:rPr>
                      <w:rFonts w:hint="default" w:ascii="Times New Roman" w:hAnsi="Times New Roman" w:cs="Times New Roman"/>
                      <w:color w:val="auto"/>
                      <w:spacing w:val="0"/>
                      <w:sz w:val="21"/>
                      <w:szCs w:val="21"/>
                      <w:highlight w:val="none"/>
                      <w:vertAlign w:val="baseline"/>
                      <w:lang w:eastAsia="zh-CN"/>
                    </w:rPr>
                    <w:t>主要建设</w:t>
                  </w:r>
                  <w:r>
                    <w:rPr>
                      <w:rFonts w:hint="eastAsia" w:cs="Times New Roman"/>
                      <w:color w:val="auto"/>
                      <w:sz w:val="21"/>
                      <w:szCs w:val="21"/>
                      <w:highlight w:val="none"/>
                      <w:lang w:eastAsia="zh-CN"/>
                    </w:rPr>
                    <w:t>即食面筋生产线，剩下两层均为预留厂房</w:t>
                  </w:r>
                </w:p>
              </w:tc>
              <w:tc>
                <w:tcPr>
                  <w:tcW w:w="311" w:type="pct"/>
                  <w:tcBorders>
                    <w:tl2br w:val="nil"/>
                    <w:tr2bl w:val="nil"/>
                  </w:tcBorders>
                  <w:noWrap w:val="0"/>
                  <w:vAlign w:val="center"/>
                </w:tcPr>
                <w:p w14:paraId="692BA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新建</w:t>
                  </w:r>
                </w:p>
              </w:tc>
            </w:tr>
            <w:tr w14:paraId="48D561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continue"/>
                  <w:tcBorders>
                    <w:tl2br w:val="nil"/>
                    <w:tr2bl w:val="nil"/>
                  </w:tcBorders>
                  <w:noWrap w:val="0"/>
                  <w:vAlign w:val="center"/>
                </w:tcPr>
                <w:p w14:paraId="2E6CAED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p>
              </w:tc>
              <w:tc>
                <w:tcPr>
                  <w:tcW w:w="858" w:type="pct"/>
                  <w:tcBorders>
                    <w:tl2br w:val="nil"/>
                    <w:tr2bl w:val="nil"/>
                  </w:tcBorders>
                  <w:noWrap w:val="0"/>
                  <w:vAlign w:val="center"/>
                </w:tcPr>
                <w:p w14:paraId="124A36E1">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cs="Times New Roman"/>
                      <w:color w:val="auto"/>
                      <w:spacing w:val="0"/>
                      <w:sz w:val="21"/>
                      <w:szCs w:val="21"/>
                      <w:highlight w:val="none"/>
                      <w:lang w:val="en-US" w:eastAsia="zh-CN"/>
                    </w:rPr>
                  </w:pPr>
                  <w:r>
                    <w:rPr>
                      <w:rFonts w:hint="eastAsia" w:ascii="Times New Roman" w:hAnsi="Times New Roman" w:cs="Times New Roman"/>
                      <w:color w:val="auto"/>
                      <w:spacing w:val="0"/>
                      <w:sz w:val="21"/>
                      <w:szCs w:val="21"/>
                      <w:highlight w:val="none"/>
                      <w:lang w:val="en-US" w:eastAsia="zh-CN"/>
                    </w:rPr>
                    <w:t>10#生产车间</w:t>
                  </w:r>
                </w:p>
              </w:tc>
              <w:tc>
                <w:tcPr>
                  <w:tcW w:w="3592" w:type="pct"/>
                  <w:tcBorders>
                    <w:tl2br w:val="nil"/>
                    <w:tr2bl w:val="nil"/>
                  </w:tcBorders>
                  <w:shd w:val="clear" w:color="auto" w:fill="auto"/>
                  <w:noWrap w:val="0"/>
                  <w:vAlign w:val="center"/>
                </w:tcPr>
                <w:p w14:paraId="6F1C8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ascii="Times New Roman" w:hAnsi="Times New Roman" w:cs="Times New Roman"/>
                      <w:color w:val="auto"/>
                      <w:spacing w:val="0"/>
                      <w:sz w:val="21"/>
                      <w:szCs w:val="21"/>
                      <w:highlight w:val="none"/>
                      <w:lang w:eastAsia="zh-CN"/>
                    </w:rPr>
                    <w:t>占地面积</w:t>
                  </w:r>
                  <w:r>
                    <w:rPr>
                      <w:rFonts w:hint="eastAsia" w:cs="Times New Roman"/>
                      <w:color w:val="auto"/>
                      <w:kern w:val="0"/>
                      <w:sz w:val="21"/>
                      <w:szCs w:val="21"/>
                      <w:highlight w:val="none"/>
                      <w:lang w:val="en-US" w:eastAsia="zh-CN"/>
                    </w:rPr>
                    <w:t>1569.03</w:t>
                  </w:r>
                  <w:r>
                    <w:rPr>
                      <w:rFonts w:hint="default" w:ascii="Times New Roman" w:hAnsi="Times New Roman" w:eastAsia="宋体" w:cs="Times New Roman"/>
                      <w:color w:val="auto"/>
                      <w:spacing w:val="0"/>
                      <w:sz w:val="21"/>
                      <w:szCs w:val="21"/>
                      <w:highlight w:val="none"/>
                    </w:rPr>
                    <w:t>m</w:t>
                  </w:r>
                  <w:r>
                    <w:rPr>
                      <w:rFonts w:hint="default" w:ascii="Times New Roman" w:hAnsi="Times New Roman" w:eastAsia="宋体" w:cs="Times New Roman"/>
                      <w:color w:val="auto"/>
                      <w:spacing w:val="0"/>
                      <w:sz w:val="21"/>
                      <w:szCs w:val="21"/>
                      <w:highlight w:val="none"/>
                      <w:vertAlign w:val="superscript"/>
                    </w:rPr>
                    <w:t>2</w:t>
                  </w:r>
                  <w:r>
                    <w:rPr>
                      <w:rFonts w:hint="default" w:ascii="Times New Roman" w:hAnsi="Times New Roman" w:cs="Times New Roman"/>
                      <w:color w:val="auto"/>
                      <w:spacing w:val="0"/>
                      <w:sz w:val="21"/>
                      <w:szCs w:val="21"/>
                      <w:highlight w:val="none"/>
                      <w:vertAlign w:val="baseline"/>
                      <w:lang w:eastAsia="zh-CN"/>
                    </w:rPr>
                    <w:t>，</w:t>
                  </w:r>
                  <w:r>
                    <w:rPr>
                      <w:rFonts w:hint="eastAsia" w:cs="Times New Roman"/>
                      <w:color w:val="auto"/>
                      <w:spacing w:val="0"/>
                      <w:sz w:val="21"/>
                      <w:szCs w:val="21"/>
                      <w:highlight w:val="none"/>
                      <w:vertAlign w:val="baseline"/>
                      <w:lang w:val="en-US" w:eastAsia="zh-CN"/>
                    </w:rPr>
                    <w:t>整体1层，高9.3</w:t>
                  </w:r>
                  <w:r>
                    <w:rPr>
                      <w:rFonts w:hint="eastAsia" w:ascii="Times New Roman" w:hAnsi="Times New Roman" w:cs="Times New Roman"/>
                      <w:color w:val="auto"/>
                      <w:spacing w:val="0"/>
                      <w:sz w:val="21"/>
                      <w:szCs w:val="21"/>
                      <w:highlight w:val="none"/>
                      <w:lang w:val="en-US" w:eastAsia="zh-CN"/>
                    </w:rPr>
                    <w:t>m，</w:t>
                  </w:r>
                  <w:r>
                    <w:rPr>
                      <w:rFonts w:hint="default" w:ascii="Times New Roman" w:hAnsi="Times New Roman" w:cs="Times New Roman"/>
                      <w:color w:val="auto"/>
                      <w:spacing w:val="0"/>
                      <w:sz w:val="21"/>
                      <w:szCs w:val="21"/>
                      <w:highlight w:val="none"/>
                      <w:lang w:eastAsia="zh-CN"/>
                    </w:rPr>
                    <w:t>框架结构</w:t>
                  </w:r>
                  <w:r>
                    <w:rPr>
                      <w:rFonts w:hint="eastAsia" w:cs="Times New Roman"/>
                      <w:color w:val="auto"/>
                      <w:spacing w:val="0"/>
                      <w:sz w:val="21"/>
                      <w:szCs w:val="21"/>
                      <w:highlight w:val="none"/>
                      <w:lang w:eastAsia="zh-CN"/>
                    </w:rPr>
                    <w:t>。</w:t>
                  </w:r>
                  <w:r>
                    <w:rPr>
                      <w:rFonts w:hint="default" w:ascii="Times New Roman" w:hAnsi="Times New Roman" w:cs="Times New Roman"/>
                      <w:color w:val="auto"/>
                      <w:spacing w:val="0"/>
                      <w:sz w:val="21"/>
                      <w:szCs w:val="21"/>
                      <w:highlight w:val="none"/>
                      <w:vertAlign w:val="baseline"/>
                      <w:lang w:eastAsia="zh-CN"/>
                    </w:rPr>
                    <w:t>主要建设</w:t>
                  </w:r>
                  <w:r>
                    <w:rPr>
                      <w:rFonts w:hint="eastAsia" w:cs="Times New Roman"/>
                      <w:color w:val="auto"/>
                      <w:sz w:val="21"/>
                      <w:szCs w:val="21"/>
                      <w:highlight w:val="none"/>
                      <w:lang w:eastAsia="zh-CN"/>
                    </w:rPr>
                    <w:t>即食面筋生产线，剩下两层均为预留厂房</w:t>
                  </w:r>
                </w:p>
              </w:tc>
              <w:tc>
                <w:tcPr>
                  <w:tcW w:w="311" w:type="pct"/>
                  <w:tcBorders>
                    <w:tl2br w:val="nil"/>
                    <w:tr2bl w:val="nil"/>
                  </w:tcBorders>
                  <w:noWrap w:val="0"/>
                  <w:vAlign w:val="center"/>
                </w:tcPr>
                <w:p w14:paraId="2CE3F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新建</w:t>
                  </w:r>
                </w:p>
              </w:tc>
            </w:tr>
            <w:tr w14:paraId="09793C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continue"/>
                  <w:tcBorders>
                    <w:tl2br w:val="nil"/>
                    <w:tr2bl w:val="nil"/>
                  </w:tcBorders>
                  <w:noWrap w:val="0"/>
                  <w:vAlign w:val="center"/>
                </w:tcPr>
                <w:p w14:paraId="23B03C2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p>
              </w:tc>
              <w:tc>
                <w:tcPr>
                  <w:tcW w:w="858" w:type="pct"/>
                  <w:tcBorders>
                    <w:tl2br w:val="nil"/>
                    <w:tr2bl w:val="nil"/>
                  </w:tcBorders>
                  <w:shd w:val="clear" w:color="auto" w:fill="auto"/>
                  <w:noWrap w:val="0"/>
                  <w:vAlign w:val="center"/>
                </w:tcPr>
                <w:p w14:paraId="57085162">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sz w:val="21"/>
                      <w:szCs w:val="21"/>
                      <w:highlight w:val="none"/>
                      <w:lang w:val="en-US" w:eastAsia="zh-CN"/>
                    </w:rPr>
                    <w:t>4#生产车间</w:t>
                  </w:r>
                </w:p>
              </w:tc>
              <w:tc>
                <w:tcPr>
                  <w:tcW w:w="3592" w:type="pct"/>
                  <w:tcBorders>
                    <w:tl2br w:val="nil"/>
                    <w:tr2bl w:val="nil"/>
                  </w:tcBorders>
                  <w:shd w:val="clear" w:color="auto" w:fill="auto"/>
                  <w:noWrap w:val="0"/>
                  <w:vAlign w:val="center"/>
                </w:tcPr>
                <w:p w14:paraId="19C2B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ascii="Times New Roman" w:hAnsi="Times New Roman" w:cs="Times New Roman"/>
                      <w:color w:val="auto"/>
                      <w:spacing w:val="0"/>
                      <w:sz w:val="21"/>
                      <w:szCs w:val="21"/>
                      <w:highlight w:val="none"/>
                      <w:lang w:eastAsia="zh-CN"/>
                    </w:rPr>
                    <w:t>占地面积</w:t>
                  </w:r>
                  <w:r>
                    <w:rPr>
                      <w:rFonts w:hint="eastAsia" w:cs="Times New Roman"/>
                      <w:color w:val="auto"/>
                      <w:kern w:val="0"/>
                      <w:sz w:val="21"/>
                      <w:szCs w:val="21"/>
                      <w:highlight w:val="none"/>
                      <w:lang w:val="en-US" w:eastAsia="zh-CN"/>
                    </w:rPr>
                    <w:t>2090.95</w:t>
                  </w:r>
                  <w:r>
                    <w:rPr>
                      <w:rFonts w:hint="default" w:ascii="Times New Roman" w:hAnsi="Times New Roman" w:eastAsia="宋体" w:cs="Times New Roman"/>
                      <w:color w:val="auto"/>
                      <w:spacing w:val="0"/>
                      <w:sz w:val="21"/>
                      <w:szCs w:val="21"/>
                      <w:highlight w:val="none"/>
                    </w:rPr>
                    <w:t>m</w:t>
                  </w:r>
                  <w:r>
                    <w:rPr>
                      <w:rFonts w:hint="default" w:ascii="Times New Roman" w:hAnsi="Times New Roman" w:eastAsia="宋体" w:cs="Times New Roman"/>
                      <w:color w:val="auto"/>
                      <w:spacing w:val="0"/>
                      <w:sz w:val="21"/>
                      <w:szCs w:val="21"/>
                      <w:highlight w:val="none"/>
                      <w:vertAlign w:val="superscript"/>
                    </w:rPr>
                    <w:t>2</w:t>
                  </w:r>
                  <w:r>
                    <w:rPr>
                      <w:rFonts w:hint="default" w:ascii="Times New Roman" w:hAnsi="Times New Roman" w:cs="Times New Roman"/>
                      <w:color w:val="auto"/>
                      <w:spacing w:val="0"/>
                      <w:sz w:val="21"/>
                      <w:szCs w:val="21"/>
                      <w:highlight w:val="none"/>
                      <w:vertAlign w:val="baseline"/>
                      <w:lang w:eastAsia="zh-CN"/>
                    </w:rPr>
                    <w:t>，</w:t>
                  </w:r>
                  <w:r>
                    <w:rPr>
                      <w:rFonts w:hint="eastAsia" w:cs="Times New Roman"/>
                      <w:color w:val="auto"/>
                      <w:spacing w:val="0"/>
                      <w:sz w:val="21"/>
                      <w:szCs w:val="21"/>
                      <w:highlight w:val="none"/>
                      <w:vertAlign w:val="baseline"/>
                      <w:lang w:val="en-US" w:eastAsia="zh-CN"/>
                    </w:rPr>
                    <w:t>整体1层，高9.3</w:t>
                  </w:r>
                  <w:r>
                    <w:rPr>
                      <w:rFonts w:hint="eastAsia" w:ascii="Times New Roman" w:hAnsi="Times New Roman" w:cs="Times New Roman"/>
                      <w:color w:val="auto"/>
                      <w:spacing w:val="0"/>
                      <w:sz w:val="21"/>
                      <w:szCs w:val="21"/>
                      <w:highlight w:val="none"/>
                      <w:lang w:val="en-US" w:eastAsia="zh-CN"/>
                    </w:rPr>
                    <w:t>m，</w:t>
                  </w:r>
                  <w:r>
                    <w:rPr>
                      <w:rFonts w:hint="default" w:ascii="Times New Roman" w:hAnsi="Times New Roman" w:cs="Times New Roman"/>
                      <w:color w:val="auto"/>
                      <w:spacing w:val="0"/>
                      <w:sz w:val="21"/>
                      <w:szCs w:val="21"/>
                      <w:highlight w:val="none"/>
                      <w:lang w:eastAsia="zh-CN"/>
                    </w:rPr>
                    <w:t>框架结构</w:t>
                  </w:r>
                  <w:r>
                    <w:rPr>
                      <w:rFonts w:hint="eastAsia" w:cs="Times New Roman"/>
                      <w:color w:val="auto"/>
                      <w:spacing w:val="0"/>
                      <w:sz w:val="21"/>
                      <w:szCs w:val="21"/>
                      <w:highlight w:val="none"/>
                      <w:lang w:eastAsia="zh-CN"/>
                    </w:rPr>
                    <w:t>。</w:t>
                  </w:r>
                  <w:r>
                    <w:rPr>
                      <w:rFonts w:hint="default" w:ascii="Times New Roman" w:hAnsi="Times New Roman" w:cs="Times New Roman"/>
                      <w:color w:val="auto"/>
                      <w:spacing w:val="0"/>
                      <w:sz w:val="21"/>
                      <w:szCs w:val="21"/>
                      <w:highlight w:val="none"/>
                      <w:lang w:eastAsia="zh-CN"/>
                    </w:rPr>
                    <w:t>为后期预留厂房</w:t>
                  </w:r>
                </w:p>
              </w:tc>
              <w:tc>
                <w:tcPr>
                  <w:tcW w:w="311" w:type="pct"/>
                  <w:tcBorders>
                    <w:tl2br w:val="nil"/>
                    <w:tr2bl w:val="nil"/>
                  </w:tcBorders>
                  <w:noWrap w:val="0"/>
                  <w:vAlign w:val="center"/>
                </w:tcPr>
                <w:p w14:paraId="6E9B80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新建</w:t>
                  </w:r>
                </w:p>
              </w:tc>
            </w:tr>
            <w:tr w14:paraId="1DF28E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continue"/>
                  <w:tcBorders>
                    <w:tl2br w:val="nil"/>
                    <w:tr2bl w:val="nil"/>
                  </w:tcBorders>
                  <w:noWrap w:val="0"/>
                  <w:vAlign w:val="center"/>
                </w:tcPr>
                <w:p w14:paraId="48D5A7B7">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p>
              </w:tc>
              <w:tc>
                <w:tcPr>
                  <w:tcW w:w="858" w:type="pct"/>
                  <w:tcBorders>
                    <w:tl2br w:val="nil"/>
                    <w:tr2bl w:val="nil"/>
                  </w:tcBorders>
                  <w:shd w:val="clear" w:color="auto" w:fill="auto"/>
                  <w:noWrap w:val="0"/>
                  <w:vAlign w:val="center"/>
                </w:tcPr>
                <w:p w14:paraId="0E5CFF34">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5#生产车间</w:t>
                  </w:r>
                </w:p>
              </w:tc>
              <w:tc>
                <w:tcPr>
                  <w:tcW w:w="3592" w:type="pct"/>
                  <w:tcBorders>
                    <w:tl2br w:val="nil"/>
                    <w:tr2bl w:val="nil"/>
                  </w:tcBorders>
                  <w:shd w:val="clear" w:color="auto" w:fill="auto"/>
                  <w:noWrap w:val="0"/>
                  <w:vAlign w:val="center"/>
                </w:tcPr>
                <w:p w14:paraId="159320E3">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eastAsia="zh-CN"/>
                    </w:rPr>
                    <w:t>占地面积</w:t>
                  </w:r>
                  <w:r>
                    <w:rPr>
                      <w:rFonts w:hint="default" w:ascii="Times New Roman" w:hAnsi="Times New Roman" w:cs="Times New Roman"/>
                      <w:color w:val="auto"/>
                      <w:kern w:val="0"/>
                      <w:sz w:val="21"/>
                      <w:szCs w:val="21"/>
                      <w:highlight w:val="none"/>
                      <w:lang w:val="en-US" w:eastAsia="zh-CN"/>
                    </w:rPr>
                    <w:t>2090.95</w:t>
                  </w:r>
                  <w:r>
                    <w:rPr>
                      <w:rFonts w:hint="default" w:ascii="Times New Roman" w:hAnsi="Times New Roman" w:eastAsia="宋体" w:cs="Times New Roman"/>
                      <w:color w:val="auto"/>
                      <w:spacing w:val="0"/>
                      <w:sz w:val="21"/>
                      <w:szCs w:val="21"/>
                      <w:highlight w:val="none"/>
                    </w:rPr>
                    <w:t>m</w:t>
                  </w:r>
                  <w:r>
                    <w:rPr>
                      <w:rFonts w:hint="default" w:ascii="Times New Roman" w:hAnsi="Times New Roman" w:eastAsia="宋体" w:cs="Times New Roman"/>
                      <w:color w:val="auto"/>
                      <w:spacing w:val="0"/>
                      <w:sz w:val="21"/>
                      <w:szCs w:val="21"/>
                      <w:highlight w:val="none"/>
                      <w:vertAlign w:val="superscript"/>
                    </w:rPr>
                    <w:t>2</w:t>
                  </w:r>
                  <w:r>
                    <w:rPr>
                      <w:rFonts w:hint="default" w:ascii="Times New Roman" w:hAnsi="Times New Roman" w:cs="Times New Roman"/>
                      <w:color w:val="auto"/>
                      <w:spacing w:val="0"/>
                      <w:sz w:val="21"/>
                      <w:szCs w:val="21"/>
                      <w:highlight w:val="none"/>
                      <w:vertAlign w:val="baseline"/>
                      <w:lang w:eastAsia="zh-CN"/>
                    </w:rPr>
                    <w:t>，</w:t>
                  </w:r>
                  <w:r>
                    <w:rPr>
                      <w:rFonts w:hint="default" w:ascii="Times New Roman" w:hAnsi="Times New Roman" w:cs="Times New Roman"/>
                      <w:color w:val="auto"/>
                      <w:spacing w:val="0"/>
                      <w:sz w:val="21"/>
                      <w:szCs w:val="21"/>
                      <w:highlight w:val="none"/>
                      <w:vertAlign w:val="baseline"/>
                      <w:lang w:val="en-US" w:eastAsia="zh-CN"/>
                    </w:rPr>
                    <w:t>整体1层，高9.3</w:t>
                  </w:r>
                  <w:r>
                    <w:rPr>
                      <w:rFonts w:hint="default" w:ascii="Times New Roman" w:hAnsi="Times New Roman" w:cs="Times New Roman"/>
                      <w:color w:val="auto"/>
                      <w:spacing w:val="0"/>
                      <w:sz w:val="21"/>
                      <w:szCs w:val="21"/>
                      <w:highlight w:val="none"/>
                      <w:lang w:val="en-US" w:eastAsia="zh-CN"/>
                    </w:rPr>
                    <w:t>m，</w:t>
                  </w:r>
                  <w:r>
                    <w:rPr>
                      <w:rFonts w:hint="default" w:ascii="Times New Roman" w:hAnsi="Times New Roman" w:cs="Times New Roman"/>
                      <w:color w:val="auto"/>
                      <w:spacing w:val="0"/>
                      <w:sz w:val="21"/>
                      <w:szCs w:val="21"/>
                      <w:highlight w:val="none"/>
                      <w:lang w:eastAsia="zh-CN"/>
                    </w:rPr>
                    <w:t>框架结构。为后期预留厂房</w:t>
                  </w:r>
                </w:p>
              </w:tc>
              <w:tc>
                <w:tcPr>
                  <w:tcW w:w="311" w:type="pct"/>
                  <w:tcBorders>
                    <w:tl2br w:val="nil"/>
                    <w:tr2bl w:val="nil"/>
                  </w:tcBorders>
                  <w:noWrap w:val="0"/>
                  <w:vAlign w:val="center"/>
                </w:tcPr>
                <w:p w14:paraId="24FAD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新建</w:t>
                  </w:r>
                </w:p>
              </w:tc>
            </w:tr>
            <w:tr w14:paraId="2F80D4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continue"/>
                  <w:tcBorders>
                    <w:tl2br w:val="nil"/>
                    <w:tr2bl w:val="nil"/>
                  </w:tcBorders>
                  <w:noWrap w:val="0"/>
                  <w:vAlign w:val="center"/>
                </w:tcPr>
                <w:p w14:paraId="6CC8B7BD">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p>
              </w:tc>
              <w:tc>
                <w:tcPr>
                  <w:tcW w:w="858" w:type="pct"/>
                  <w:tcBorders>
                    <w:tl2br w:val="nil"/>
                    <w:tr2bl w:val="nil"/>
                  </w:tcBorders>
                  <w:shd w:val="clear" w:color="auto" w:fill="auto"/>
                  <w:noWrap w:val="0"/>
                  <w:vAlign w:val="center"/>
                </w:tcPr>
                <w:p w14:paraId="67E05933">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6#生产车间</w:t>
                  </w:r>
                </w:p>
              </w:tc>
              <w:tc>
                <w:tcPr>
                  <w:tcW w:w="3592" w:type="pct"/>
                  <w:tcBorders>
                    <w:tl2br w:val="nil"/>
                    <w:tr2bl w:val="nil"/>
                  </w:tcBorders>
                  <w:shd w:val="clear" w:color="auto" w:fill="auto"/>
                  <w:noWrap w:val="0"/>
                  <w:vAlign w:val="center"/>
                </w:tcPr>
                <w:p w14:paraId="32C91E7D">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eastAsia="zh-CN"/>
                    </w:rPr>
                    <w:t>占地面积</w:t>
                  </w:r>
                  <w:r>
                    <w:rPr>
                      <w:rFonts w:hint="default" w:ascii="Times New Roman" w:hAnsi="Times New Roman" w:cs="Times New Roman"/>
                      <w:color w:val="auto"/>
                      <w:kern w:val="0"/>
                      <w:sz w:val="21"/>
                      <w:szCs w:val="21"/>
                      <w:highlight w:val="none"/>
                      <w:lang w:val="en-US" w:eastAsia="zh-CN"/>
                    </w:rPr>
                    <w:t>2111.77</w:t>
                  </w:r>
                  <w:r>
                    <w:rPr>
                      <w:rFonts w:hint="default" w:ascii="Times New Roman" w:hAnsi="Times New Roman" w:eastAsia="宋体" w:cs="Times New Roman"/>
                      <w:color w:val="auto"/>
                      <w:spacing w:val="0"/>
                      <w:sz w:val="21"/>
                      <w:szCs w:val="21"/>
                      <w:highlight w:val="none"/>
                    </w:rPr>
                    <w:t>m</w:t>
                  </w:r>
                  <w:r>
                    <w:rPr>
                      <w:rFonts w:hint="default" w:ascii="Times New Roman" w:hAnsi="Times New Roman" w:eastAsia="宋体" w:cs="Times New Roman"/>
                      <w:color w:val="auto"/>
                      <w:spacing w:val="0"/>
                      <w:sz w:val="21"/>
                      <w:szCs w:val="21"/>
                      <w:highlight w:val="none"/>
                      <w:vertAlign w:val="superscript"/>
                    </w:rPr>
                    <w:t>2</w:t>
                  </w:r>
                  <w:r>
                    <w:rPr>
                      <w:rFonts w:hint="default" w:ascii="Times New Roman" w:hAnsi="Times New Roman" w:cs="Times New Roman"/>
                      <w:color w:val="auto"/>
                      <w:spacing w:val="0"/>
                      <w:sz w:val="21"/>
                      <w:szCs w:val="21"/>
                      <w:highlight w:val="none"/>
                      <w:vertAlign w:val="baseline"/>
                      <w:lang w:eastAsia="zh-CN"/>
                    </w:rPr>
                    <w:t>，</w:t>
                  </w:r>
                  <w:r>
                    <w:rPr>
                      <w:rFonts w:hint="default" w:ascii="Times New Roman" w:hAnsi="Times New Roman" w:cs="Times New Roman"/>
                      <w:color w:val="auto"/>
                      <w:spacing w:val="0"/>
                      <w:sz w:val="21"/>
                      <w:szCs w:val="21"/>
                      <w:highlight w:val="none"/>
                      <w:vertAlign w:val="baseline"/>
                      <w:lang w:val="en-US" w:eastAsia="zh-CN"/>
                    </w:rPr>
                    <w:t>整体1层，高9.4</w:t>
                  </w:r>
                  <w:r>
                    <w:rPr>
                      <w:rFonts w:hint="default" w:ascii="Times New Roman" w:hAnsi="Times New Roman" w:cs="Times New Roman"/>
                      <w:color w:val="auto"/>
                      <w:spacing w:val="0"/>
                      <w:sz w:val="21"/>
                      <w:szCs w:val="21"/>
                      <w:highlight w:val="none"/>
                      <w:lang w:val="en-US" w:eastAsia="zh-CN"/>
                    </w:rPr>
                    <w:t>m，</w:t>
                  </w:r>
                  <w:r>
                    <w:rPr>
                      <w:rFonts w:hint="default" w:ascii="Times New Roman" w:hAnsi="Times New Roman" w:cs="Times New Roman"/>
                      <w:color w:val="auto"/>
                      <w:spacing w:val="0"/>
                      <w:sz w:val="21"/>
                      <w:szCs w:val="21"/>
                      <w:highlight w:val="none"/>
                      <w:lang w:eastAsia="zh-CN"/>
                    </w:rPr>
                    <w:t>框架结构。为后期预留厂房</w:t>
                  </w:r>
                </w:p>
              </w:tc>
              <w:tc>
                <w:tcPr>
                  <w:tcW w:w="311" w:type="pct"/>
                  <w:tcBorders>
                    <w:tl2br w:val="nil"/>
                    <w:tr2bl w:val="nil"/>
                  </w:tcBorders>
                  <w:noWrap w:val="0"/>
                  <w:vAlign w:val="center"/>
                </w:tcPr>
                <w:p w14:paraId="63A11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新建</w:t>
                  </w:r>
                </w:p>
              </w:tc>
            </w:tr>
            <w:tr w14:paraId="09BC3A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continue"/>
                  <w:tcBorders>
                    <w:tl2br w:val="nil"/>
                    <w:tr2bl w:val="nil"/>
                  </w:tcBorders>
                  <w:noWrap w:val="0"/>
                  <w:vAlign w:val="center"/>
                </w:tcPr>
                <w:p w14:paraId="3372670D">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p>
              </w:tc>
              <w:tc>
                <w:tcPr>
                  <w:tcW w:w="858" w:type="pct"/>
                  <w:tcBorders>
                    <w:tl2br w:val="nil"/>
                    <w:tr2bl w:val="nil"/>
                  </w:tcBorders>
                  <w:shd w:val="clear" w:color="auto" w:fill="auto"/>
                  <w:noWrap w:val="0"/>
                  <w:vAlign w:val="center"/>
                </w:tcPr>
                <w:p w14:paraId="066A6D0C">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7#生产车间</w:t>
                  </w:r>
                </w:p>
              </w:tc>
              <w:tc>
                <w:tcPr>
                  <w:tcW w:w="3592" w:type="pct"/>
                  <w:tcBorders>
                    <w:tl2br w:val="nil"/>
                    <w:tr2bl w:val="nil"/>
                  </w:tcBorders>
                  <w:shd w:val="clear" w:color="auto" w:fill="auto"/>
                  <w:noWrap w:val="0"/>
                  <w:vAlign w:val="center"/>
                </w:tcPr>
                <w:p w14:paraId="1227016E">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eastAsia="zh-CN"/>
                    </w:rPr>
                    <w:t>占地面积</w:t>
                  </w:r>
                  <w:r>
                    <w:rPr>
                      <w:rFonts w:hint="default" w:ascii="Times New Roman" w:hAnsi="Times New Roman" w:cs="Times New Roman"/>
                      <w:color w:val="auto"/>
                      <w:kern w:val="0"/>
                      <w:sz w:val="21"/>
                      <w:szCs w:val="21"/>
                      <w:highlight w:val="none"/>
                      <w:lang w:val="en-US" w:eastAsia="zh-CN"/>
                    </w:rPr>
                    <w:t>2111.77</w:t>
                  </w:r>
                  <w:r>
                    <w:rPr>
                      <w:rFonts w:hint="default" w:ascii="Times New Roman" w:hAnsi="Times New Roman" w:eastAsia="宋体" w:cs="Times New Roman"/>
                      <w:color w:val="auto"/>
                      <w:spacing w:val="0"/>
                      <w:sz w:val="21"/>
                      <w:szCs w:val="21"/>
                      <w:highlight w:val="none"/>
                    </w:rPr>
                    <w:t>m</w:t>
                  </w:r>
                  <w:r>
                    <w:rPr>
                      <w:rFonts w:hint="default" w:ascii="Times New Roman" w:hAnsi="Times New Roman" w:eastAsia="宋体" w:cs="Times New Roman"/>
                      <w:color w:val="auto"/>
                      <w:spacing w:val="0"/>
                      <w:sz w:val="21"/>
                      <w:szCs w:val="21"/>
                      <w:highlight w:val="none"/>
                      <w:vertAlign w:val="superscript"/>
                    </w:rPr>
                    <w:t>2</w:t>
                  </w:r>
                  <w:r>
                    <w:rPr>
                      <w:rFonts w:hint="default" w:ascii="Times New Roman" w:hAnsi="Times New Roman" w:cs="Times New Roman"/>
                      <w:color w:val="auto"/>
                      <w:spacing w:val="0"/>
                      <w:sz w:val="21"/>
                      <w:szCs w:val="21"/>
                      <w:highlight w:val="none"/>
                      <w:vertAlign w:val="baseline"/>
                      <w:lang w:eastAsia="zh-CN"/>
                    </w:rPr>
                    <w:t>，</w:t>
                  </w:r>
                  <w:r>
                    <w:rPr>
                      <w:rFonts w:hint="default" w:ascii="Times New Roman" w:hAnsi="Times New Roman" w:cs="Times New Roman"/>
                      <w:color w:val="auto"/>
                      <w:spacing w:val="0"/>
                      <w:sz w:val="21"/>
                      <w:szCs w:val="21"/>
                      <w:highlight w:val="none"/>
                      <w:vertAlign w:val="baseline"/>
                      <w:lang w:val="en-US" w:eastAsia="zh-CN"/>
                    </w:rPr>
                    <w:t>整体1层，高9.4</w:t>
                  </w:r>
                  <w:r>
                    <w:rPr>
                      <w:rFonts w:hint="default" w:ascii="Times New Roman" w:hAnsi="Times New Roman" w:cs="Times New Roman"/>
                      <w:color w:val="auto"/>
                      <w:spacing w:val="0"/>
                      <w:sz w:val="21"/>
                      <w:szCs w:val="21"/>
                      <w:highlight w:val="none"/>
                      <w:lang w:val="en-US" w:eastAsia="zh-CN"/>
                    </w:rPr>
                    <w:t>m，</w:t>
                  </w:r>
                  <w:r>
                    <w:rPr>
                      <w:rFonts w:hint="default" w:ascii="Times New Roman" w:hAnsi="Times New Roman" w:cs="Times New Roman"/>
                      <w:color w:val="auto"/>
                      <w:spacing w:val="0"/>
                      <w:sz w:val="21"/>
                      <w:szCs w:val="21"/>
                      <w:highlight w:val="none"/>
                      <w:lang w:eastAsia="zh-CN"/>
                    </w:rPr>
                    <w:t>框架结构。为后期预留厂房</w:t>
                  </w:r>
                </w:p>
              </w:tc>
              <w:tc>
                <w:tcPr>
                  <w:tcW w:w="311" w:type="pct"/>
                  <w:tcBorders>
                    <w:tl2br w:val="nil"/>
                    <w:tr2bl w:val="nil"/>
                  </w:tcBorders>
                  <w:noWrap w:val="0"/>
                  <w:vAlign w:val="center"/>
                </w:tcPr>
                <w:p w14:paraId="4414DC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新建</w:t>
                  </w:r>
                </w:p>
              </w:tc>
            </w:tr>
            <w:tr w14:paraId="39A24D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continue"/>
                  <w:tcBorders>
                    <w:tl2br w:val="nil"/>
                    <w:tr2bl w:val="nil"/>
                  </w:tcBorders>
                  <w:noWrap w:val="0"/>
                  <w:vAlign w:val="center"/>
                </w:tcPr>
                <w:p w14:paraId="0FA11BEC">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p>
              </w:tc>
              <w:tc>
                <w:tcPr>
                  <w:tcW w:w="858" w:type="pct"/>
                  <w:tcBorders>
                    <w:tl2br w:val="nil"/>
                    <w:tr2bl w:val="nil"/>
                  </w:tcBorders>
                  <w:shd w:val="clear" w:color="auto" w:fill="auto"/>
                  <w:noWrap w:val="0"/>
                  <w:vAlign w:val="center"/>
                </w:tcPr>
                <w:p w14:paraId="4A614A56">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9#生产车间</w:t>
                  </w:r>
                </w:p>
              </w:tc>
              <w:tc>
                <w:tcPr>
                  <w:tcW w:w="3592" w:type="pct"/>
                  <w:tcBorders>
                    <w:tl2br w:val="nil"/>
                    <w:tr2bl w:val="nil"/>
                  </w:tcBorders>
                  <w:shd w:val="clear" w:color="auto" w:fill="auto"/>
                  <w:noWrap w:val="0"/>
                  <w:vAlign w:val="center"/>
                </w:tcPr>
                <w:p w14:paraId="76F4CEA3">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eastAsia="zh-CN"/>
                    </w:rPr>
                    <w:t>占地面积</w:t>
                  </w:r>
                  <w:r>
                    <w:rPr>
                      <w:rFonts w:hint="default" w:ascii="Times New Roman" w:hAnsi="Times New Roman" w:cs="Times New Roman"/>
                      <w:color w:val="auto"/>
                      <w:kern w:val="0"/>
                      <w:sz w:val="21"/>
                      <w:szCs w:val="21"/>
                      <w:highlight w:val="none"/>
                      <w:lang w:val="en-US" w:eastAsia="zh-CN"/>
                    </w:rPr>
                    <w:t>1705.20</w:t>
                  </w:r>
                  <w:r>
                    <w:rPr>
                      <w:rFonts w:hint="default" w:ascii="Times New Roman" w:hAnsi="Times New Roman" w:eastAsia="宋体" w:cs="Times New Roman"/>
                      <w:color w:val="auto"/>
                      <w:spacing w:val="0"/>
                      <w:sz w:val="21"/>
                      <w:szCs w:val="21"/>
                      <w:highlight w:val="none"/>
                    </w:rPr>
                    <w:t>m</w:t>
                  </w:r>
                  <w:r>
                    <w:rPr>
                      <w:rFonts w:hint="default" w:ascii="Times New Roman" w:hAnsi="Times New Roman" w:eastAsia="宋体" w:cs="Times New Roman"/>
                      <w:color w:val="auto"/>
                      <w:spacing w:val="0"/>
                      <w:sz w:val="21"/>
                      <w:szCs w:val="21"/>
                      <w:highlight w:val="none"/>
                      <w:vertAlign w:val="superscript"/>
                    </w:rPr>
                    <w:t>2</w:t>
                  </w:r>
                  <w:r>
                    <w:rPr>
                      <w:rFonts w:hint="default" w:ascii="Times New Roman" w:hAnsi="Times New Roman" w:cs="Times New Roman"/>
                      <w:color w:val="auto"/>
                      <w:spacing w:val="0"/>
                      <w:sz w:val="21"/>
                      <w:szCs w:val="21"/>
                      <w:highlight w:val="none"/>
                      <w:vertAlign w:val="baseline"/>
                      <w:lang w:eastAsia="zh-CN"/>
                    </w:rPr>
                    <w:t>，</w:t>
                  </w:r>
                  <w:r>
                    <w:rPr>
                      <w:rFonts w:hint="default" w:ascii="Times New Roman" w:hAnsi="Times New Roman" w:cs="Times New Roman"/>
                      <w:color w:val="auto"/>
                      <w:spacing w:val="0"/>
                      <w:sz w:val="21"/>
                      <w:szCs w:val="21"/>
                      <w:highlight w:val="none"/>
                      <w:vertAlign w:val="baseline"/>
                      <w:lang w:val="en-US" w:eastAsia="zh-CN"/>
                    </w:rPr>
                    <w:t>整体</w:t>
                  </w:r>
                  <w:r>
                    <w:rPr>
                      <w:rFonts w:hint="eastAsia" w:ascii="Times New Roman" w:hAnsi="Times New Roman" w:cs="Times New Roman"/>
                      <w:color w:val="auto"/>
                      <w:spacing w:val="0"/>
                      <w:sz w:val="21"/>
                      <w:szCs w:val="21"/>
                      <w:highlight w:val="none"/>
                      <w:vertAlign w:val="baseline"/>
                      <w:lang w:val="en-US" w:eastAsia="zh-CN"/>
                    </w:rPr>
                    <w:t>1</w:t>
                  </w:r>
                  <w:r>
                    <w:rPr>
                      <w:rFonts w:hint="default" w:ascii="Times New Roman" w:hAnsi="Times New Roman" w:cs="Times New Roman"/>
                      <w:color w:val="auto"/>
                      <w:spacing w:val="0"/>
                      <w:sz w:val="21"/>
                      <w:szCs w:val="21"/>
                      <w:highlight w:val="none"/>
                      <w:vertAlign w:val="baseline"/>
                      <w:lang w:val="en-US" w:eastAsia="zh-CN"/>
                    </w:rPr>
                    <w:t>层，高</w:t>
                  </w:r>
                  <w:r>
                    <w:rPr>
                      <w:rFonts w:hint="eastAsia" w:ascii="Times New Roman" w:hAnsi="Times New Roman" w:cs="Times New Roman"/>
                      <w:color w:val="auto"/>
                      <w:spacing w:val="0"/>
                      <w:sz w:val="21"/>
                      <w:szCs w:val="21"/>
                      <w:highlight w:val="none"/>
                      <w:vertAlign w:val="baseline"/>
                      <w:lang w:val="en-US" w:eastAsia="zh-CN"/>
                    </w:rPr>
                    <w:t>9.3</w:t>
                  </w:r>
                  <w:r>
                    <w:rPr>
                      <w:rFonts w:hint="default" w:ascii="Times New Roman" w:hAnsi="Times New Roman" w:cs="Times New Roman"/>
                      <w:color w:val="auto"/>
                      <w:spacing w:val="0"/>
                      <w:sz w:val="21"/>
                      <w:szCs w:val="21"/>
                      <w:highlight w:val="none"/>
                      <w:lang w:val="en-US" w:eastAsia="zh-CN"/>
                    </w:rPr>
                    <w:t>m，</w:t>
                  </w:r>
                  <w:r>
                    <w:rPr>
                      <w:rFonts w:hint="default" w:ascii="Times New Roman" w:hAnsi="Times New Roman" w:cs="Times New Roman"/>
                      <w:color w:val="auto"/>
                      <w:spacing w:val="0"/>
                      <w:sz w:val="21"/>
                      <w:szCs w:val="21"/>
                      <w:highlight w:val="none"/>
                      <w:lang w:eastAsia="zh-CN"/>
                    </w:rPr>
                    <w:t>框架结构。</w:t>
                  </w:r>
                  <w:r>
                    <w:rPr>
                      <w:rFonts w:hint="eastAsia" w:ascii="Times New Roman" w:hAnsi="Times New Roman" w:cs="Times New Roman"/>
                      <w:color w:val="auto"/>
                      <w:spacing w:val="0"/>
                      <w:sz w:val="21"/>
                      <w:szCs w:val="21"/>
                      <w:highlight w:val="none"/>
                      <w:lang w:eastAsia="zh-CN"/>
                    </w:rPr>
                    <w:t>主要设置</w:t>
                  </w:r>
                  <w:r>
                    <w:rPr>
                      <w:rFonts w:hint="eastAsia" w:ascii="Times New Roman" w:hAnsi="Times New Roman" w:cs="Times New Roman"/>
                      <w:color w:val="auto"/>
                      <w:spacing w:val="0"/>
                      <w:sz w:val="21"/>
                      <w:szCs w:val="21"/>
                      <w:highlight w:val="none"/>
                      <w:lang w:val="en-US" w:eastAsia="zh-CN"/>
                    </w:rPr>
                    <w:t>冷库。</w:t>
                  </w:r>
                </w:p>
              </w:tc>
              <w:tc>
                <w:tcPr>
                  <w:tcW w:w="311" w:type="pct"/>
                  <w:tcBorders>
                    <w:tl2br w:val="nil"/>
                    <w:tr2bl w:val="nil"/>
                  </w:tcBorders>
                  <w:noWrap w:val="0"/>
                  <w:vAlign w:val="center"/>
                </w:tcPr>
                <w:p w14:paraId="253AF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新建</w:t>
                  </w:r>
                </w:p>
              </w:tc>
            </w:tr>
            <w:tr w14:paraId="69DD60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7" w:type="pct"/>
                  <w:vMerge w:val="restart"/>
                  <w:tcBorders>
                    <w:tl2br w:val="nil"/>
                    <w:tr2bl w:val="nil"/>
                  </w:tcBorders>
                  <w:noWrap w:val="0"/>
                  <w:vAlign w:val="center"/>
                </w:tcPr>
                <w:p w14:paraId="1D737F5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辅助</w:t>
                  </w:r>
                </w:p>
                <w:p w14:paraId="05D66EE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工程</w:t>
                  </w:r>
                </w:p>
              </w:tc>
              <w:tc>
                <w:tcPr>
                  <w:tcW w:w="858" w:type="pct"/>
                  <w:tcBorders>
                    <w:tl2br w:val="nil"/>
                    <w:tr2bl w:val="nil"/>
                  </w:tcBorders>
                  <w:noWrap w:val="0"/>
                  <w:vAlign w:val="center"/>
                </w:tcPr>
                <w:p w14:paraId="66E99CA4">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eastAsia" w:ascii="Times New Roman" w:hAnsi="Times New Roman" w:cs="Times New Roman"/>
                      <w:color w:val="auto"/>
                      <w:spacing w:val="0"/>
                      <w:sz w:val="21"/>
                      <w:szCs w:val="21"/>
                      <w:highlight w:val="none"/>
                      <w:lang w:val="en-US" w:eastAsia="zh-CN"/>
                    </w:rPr>
                  </w:pPr>
                  <w:r>
                    <w:rPr>
                      <w:rFonts w:hint="eastAsia" w:ascii="Times New Roman" w:hAnsi="Times New Roman" w:cs="Times New Roman"/>
                      <w:color w:val="auto"/>
                      <w:spacing w:val="0"/>
                      <w:sz w:val="21"/>
                      <w:szCs w:val="21"/>
                      <w:highlight w:val="none"/>
                      <w:lang w:val="en-US" w:eastAsia="zh-CN"/>
                    </w:rPr>
                    <w:t>1#办公楼</w:t>
                  </w:r>
                </w:p>
              </w:tc>
              <w:tc>
                <w:tcPr>
                  <w:tcW w:w="3592" w:type="pct"/>
                  <w:tcBorders>
                    <w:tl2br w:val="nil"/>
                    <w:tr2bl w:val="nil"/>
                  </w:tcBorders>
                  <w:noWrap w:val="0"/>
                  <w:vAlign w:val="center"/>
                </w:tcPr>
                <w:p w14:paraId="57F2031E">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cs="Times New Roman"/>
                      <w:color w:val="auto"/>
                      <w:spacing w:val="0"/>
                      <w:kern w:val="2"/>
                      <w:sz w:val="21"/>
                      <w:szCs w:val="21"/>
                      <w:highlight w:val="none"/>
                      <w:lang w:val="en-US" w:eastAsia="zh-CN" w:bidi="ar-SA"/>
                    </w:rPr>
                    <w:t>占地</w:t>
                  </w:r>
                  <w:r>
                    <w:rPr>
                      <w:rFonts w:hint="default" w:ascii="Times New Roman" w:hAnsi="Times New Roman" w:eastAsia="宋体" w:cs="Times New Roman"/>
                      <w:color w:val="auto"/>
                      <w:spacing w:val="0"/>
                      <w:kern w:val="2"/>
                      <w:sz w:val="21"/>
                      <w:szCs w:val="21"/>
                      <w:highlight w:val="none"/>
                      <w:lang w:val="en-US" w:eastAsia="zh-CN" w:bidi="ar-SA"/>
                    </w:rPr>
                    <w:t>面</w:t>
                  </w:r>
                  <w:r>
                    <w:rPr>
                      <w:rFonts w:hint="default" w:ascii="Times New Roman" w:hAnsi="Times New Roman" w:cs="Times New Roman"/>
                      <w:color w:val="auto"/>
                      <w:spacing w:val="0"/>
                      <w:sz w:val="21"/>
                      <w:szCs w:val="21"/>
                      <w:highlight w:val="none"/>
                    </w:rPr>
                    <w:t>积</w:t>
                  </w:r>
                  <w:r>
                    <w:rPr>
                      <w:rFonts w:hint="eastAsia" w:ascii="Times New Roman" w:hAnsi="Times New Roman" w:cs="Times New Roman"/>
                      <w:color w:val="auto"/>
                      <w:kern w:val="0"/>
                      <w:sz w:val="21"/>
                      <w:szCs w:val="21"/>
                      <w:highlight w:val="none"/>
                      <w:lang w:val="en-US" w:eastAsia="zh-CN"/>
                    </w:rPr>
                    <w:t>873.49</w:t>
                  </w:r>
                  <w:r>
                    <w:rPr>
                      <w:rFonts w:hint="default" w:ascii="Times New Roman" w:hAnsi="Times New Roman" w:eastAsia="Times New Roman" w:cs="Times New Roman"/>
                      <w:color w:val="auto"/>
                      <w:spacing w:val="0"/>
                      <w:sz w:val="21"/>
                      <w:szCs w:val="21"/>
                      <w:highlight w:val="none"/>
                    </w:rPr>
                    <w:t>m</w:t>
                  </w:r>
                  <w:r>
                    <w:rPr>
                      <w:rFonts w:hint="default" w:ascii="Times New Roman" w:hAnsi="Times New Roman" w:cs="Times New Roman"/>
                      <w:color w:val="auto"/>
                      <w:spacing w:val="0"/>
                      <w:sz w:val="21"/>
                      <w:szCs w:val="21"/>
                      <w:highlight w:val="none"/>
                      <w:vertAlign w:val="superscript"/>
                      <w:lang w:val="en-US" w:eastAsia="zh-CN"/>
                    </w:rPr>
                    <w:t>2</w:t>
                  </w:r>
                  <w:r>
                    <w:rPr>
                      <w:rFonts w:hint="default" w:ascii="Times New Roman" w:hAnsi="Times New Roman" w:cs="Times New Roman"/>
                      <w:color w:val="auto"/>
                      <w:spacing w:val="0"/>
                      <w:sz w:val="21"/>
                      <w:szCs w:val="21"/>
                      <w:highlight w:val="none"/>
                      <w:lang w:val="en-US" w:eastAsia="zh-CN"/>
                    </w:rPr>
                    <w:t>，3</w:t>
                  </w:r>
                  <w:r>
                    <w:rPr>
                      <w:rFonts w:hint="default" w:ascii="Times New Roman" w:hAnsi="Times New Roman" w:cs="Times New Roman"/>
                      <w:color w:val="auto"/>
                      <w:spacing w:val="0"/>
                      <w:sz w:val="21"/>
                      <w:szCs w:val="21"/>
                      <w:highlight w:val="none"/>
                    </w:rPr>
                    <w:t>层，</w:t>
                  </w:r>
                  <w:r>
                    <w:rPr>
                      <w:rFonts w:hint="default" w:ascii="Times New Roman" w:hAnsi="Times New Roman" w:cs="Times New Roman"/>
                      <w:color w:val="auto"/>
                      <w:spacing w:val="0"/>
                      <w:sz w:val="21"/>
                      <w:szCs w:val="21"/>
                      <w:highlight w:val="none"/>
                      <w:lang w:eastAsia="zh-CN"/>
                    </w:rPr>
                    <w:t>框架</w:t>
                  </w:r>
                  <w:r>
                    <w:rPr>
                      <w:rFonts w:hint="default" w:ascii="Times New Roman" w:hAnsi="Times New Roman" w:cs="Times New Roman"/>
                      <w:color w:val="auto"/>
                      <w:spacing w:val="0"/>
                      <w:sz w:val="21"/>
                      <w:szCs w:val="21"/>
                      <w:highlight w:val="none"/>
                    </w:rPr>
                    <w:t>结构，</w:t>
                  </w:r>
                  <w:r>
                    <w:rPr>
                      <w:rFonts w:hint="eastAsia" w:ascii="Times New Roman" w:hAnsi="Times New Roman" w:cs="Times New Roman"/>
                      <w:color w:val="auto"/>
                      <w:spacing w:val="0"/>
                      <w:sz w:val="21"/>
                      <w:szCs w:val="21"/>
                      <w:highlight w:val="none"/>
                      <w:lang w:eastAsia="zh-CN"/>
                    </w:rPr>
                    <w:t>高</w:t>
                  </w:r>
                  <w:r>
                    <w:rPr>
                      <w:rFonts w:hint="eastAsia" w:ascii="Times New Roman" w:hAnsi="Times New Roman" w:cs="Times New Roman"/>
                      <w:color w:val="auto"/>
                      <w:spacing w:val="0"/>
                      <w:sz w:val="21"/>
                      <w:szCs w:val="21"/>
                      <w:highlight w:val="none"/>
                      <w:lang w:val="en-US" w:eastAsia="zh-CN"/>
                    </w:rPr>
                    <w:t>13.8</w:t>
                  </w:r>
                  <w:r>
                    <w:rPr>
                      <w:rFonts w:hint="default" w:ascii="Times New Roman" w:hAnsi="Times New Roman" w:cs="Times New Roman"/>
                      <w:color w:val="auto"/>
                      <w:spacing w:val="0"/>
                      <w:sz w:val="21"/>
                      <w:szCs w:val="21"/>
                      <w:highlight w:val="none"/>
                      <w:lang w:val="en-US" w:eastAsia="zh-CN"/>
                    </w:rPr>
                    <w:t>m</w:t>
                  </w:r>
                  <w:r>
                    <w:rPr>
                      <w:rFonts w:hint="eastAsia" w:ascii="Times New Roman" w:hAnsi="Times New Roman" w:cs="Times New Roman"/>
                      <w:color w:val="auto"/>
                      <w:spacing w:val="0"/>
                      <w:sz w:val="21"/>
                      <w:szCs w:val="21"/>
                      <w:highlight w:val="none"/>
                      <w:lang w:val="en-US" w:eastAsia="zh-CN"/>
                    </w:rPr>
                    <w:t>，主要用于日常办公、职工生活</w:t>
                  </w:r>
                </w:p>
              </w:tc>
              <w:tc>
                <w:tcPr>
                  <w:tcW w:w="311" w:type="pct"/>
                  <w:tcBorders>
                    <w:tl2br w:val="nil"/>
                    <w:tr2bl w:val="nil"/>
                  </w:tcBorders>
                  <w:noWrap w:val="0"/>
                  <w:vAlign w:val="center"/>
                </w:tcPr>
                <w:p w14:paraId="4DD13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新建</w:t>
                  </w:r>
                </w:p>
              </w:tc>
            </w:tr>
            <w:tr w14:paraId="61FCCC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7" w:type="pct"/>
                  <w:vMerge w:val="continue"/>
                  <w:tcBorders>
                    <w:tl2br w:val="nil"/>
                    <w:tr2bl w:val="nil"/>
                  </w:tcBorders>
                  <w:noWrap w:val="0"/>
                  <w:vAlign w:val="center"/>
                </w:tcPr>
                <w:p w14:paraId="6A5FD6A8">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lang w:eastAsia="zh-CN"/>
                    </w:rPr>
                  </w:pPr>
                </w:p>
              </w:tc>
              <w:tc>
                <w:tcPr>
                  <w:tcW w:w="858" w:type="pct"/>
                  <w:tcBorders>
                    <w:tl2br w:val="nil"/>
                    <w:tr2bl w:val="nil"/>
                  </w:tcBorders>
                  <w:noWrap w:val="0"/>
                  <w:vAlign w:val="center"/>
                </w:tcPr>
                <w:p w14:paraId="2592155C">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2#办公楼</w:t>
                  </w:r>
                </w:p>
              </w:tc>
              <w:tc>
                <w:tcPr>
                  <w:tcW w:w="3592" w:type="pct"/>
                  <w:tcBorders>
                    <w:tl2br w:val="nil"/>
                    <w:tr2bl w:val="nil"/>
                  </w:tcBorders>
                  <w:noWrap w:val="0"/>
                  <w:vAlign w:val="center"/>
                </w:tcPr>
                <w:p w14:paraId="57887055">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rPr>
                      <w:rFonts w:hint="default" w:ascii="Times New Roman" w:hAnsi="Times New Roman"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占地</w:t>
                  </w:r>
                  <w:r>
                    <w:rPr>
                      <w:rFonts w:hint="default" w:ascii="Times New Roman" w:hAnsi="Times New Roman" w:eastAsia="宋体" w:cs="Times New Roman"/>
                      <w:color w:val="auto"/>
                      <w:spacing w:val="0"/>
                      <w:kern w:val="2"/>
                      <w:sz w:val="21"/>
                      <w:szCs w:val="21"/>
                      <w:highlight w:val="none"/>
                      <w:lang w:val="en-US" w:eastAsia="zh-CN" w:bidi="ar-SA"/>
                    </w:rPr>
                    <w:t>面</w:t>
                  </w:r>
                  <w:r>
                    <w:rPr>
                      <w:rFonts w:hint="default" w:ascii="Times New Roman" w:hAnsi="Times New Roman" w:cs="Times New Roman"/>
                      <w:color w:val="auto"/>
                      <w:spacing w:val="0"/>
                      <w:sz w:val="21"/>
                      <w:szCs w:val="21"/>
                      <w:highlight w:val="none"/>
                    </w:rPr>
                    <w:t>积</w:t>
                  </w:r>
                  <w:r>
                    <w:rPr>
                      <w:rFonts w:hint="default" w:ascii="Times New Roman" w:hAnsi="Times New Roman" w:cs="Times New Roman"/>
                      <w:color w:val="auto"/>
                      <w:kern w:val="0"/>
                      <w:sz w:val="21"/>
                      <w:szCs w:val="21"/>
                      <w:highlight w:val="none"/>
                      <w:lang w:val="en-US" w:eastAsia="zh-CN"/>
                    </w:rPr>
                    <w:t>873.49</w:t>
                  </w:r>
                  <w:r>
                    <w:rPr>
                      <w:rFonts w:hint="default" w:ascii="Times New Roman" w:hAnsi="Times New Roman" w:eastAsia="Times New Roman" w:cs="Times New Roman"/>
                      <w:color w:val="auto"/>
                      <w:spacing w:val="0"/>
                      <w:sz w:val="21"/>
                      <w:szCs w:val="21"/>
                      <w:highlight w:val="none"/>
                    </w:rPr>
                    <w:t>m</w:t>
                  </w:r>
                  <w:r>
                    <w:rPr>
                      <w:rFonts w:hint="default" w:ascii="Times New Roman" w:hAnsi="Times New Roman" w:cs="Times New Roman"/>
                      <w:color w:val="auto"/>
                      <w:spacing w:val="0"/>
                      <w:sz w:val="21"/>
                      <w:szCs w:val="21"/>
                      <w:highlight w:val="none"/>
                      <w:vertAlign w:val="superscript"/>
                      <w:lang w:val="en-US" w:eastAsia="zh-CN"/>
                    </w:rPr>
                    <w:t>2</w:t>
                  </w:r>
                  <w:r>
                    <w:rPr>
                      <w:rFonts w:hint="default" w:ascii="Times New Roman" w:hAnsi="Times New Roman" w:cs="Times New Roman"/>
                      <w:color w:val="auto"/>
                      <w:spacing w:val="0"/>
                      <w:sz w:val="21"/>
                      <w:szCs w:val="21"/>
                      <w:highlight w:val="none"/>
                      <w:lang w:val="en-US" w:eastAsia="zh-CN"/>
                    </w:rPr>
                    <w:t>，3</w:t>
                  </w:r>
                  <w:r>
                    <w:rPr>
                      <w:rFonts w:hint="default" w:ascii="Times New Roman" w:hAnsi="Times New Roman" w:cs="Times New Roman"/>
                      <w:color w:val="auto"/>
                      <w:spacing w:val="0"/>
                      <w:sz w:val="21"/>
                      <w:szCs w:val="21"/>
                      <w:highlight w:val="none"/>
                    </w:rPr>
                    <w:t>层，</w:t>
                  </w:r>
                  <w:r>
                    <w:rPr>
                      <w:rFonts w:hint="default" w:ascii="Times New Roman" w:hAnsi="Times New Roman" w:cs="Times New Roman"/>
                      <w:color w:val="auto"/>
                      <w:spacing w:val="0"/>
                      <w:sz w:val="21"/>
                      <w:szCs w:val="21"/>
                      <w:highlight w:val="none"/>
                      <w:lang w:eastAsia="zh-CN"/>
                    </w:rPr>
                    <w:t>框架</w:t>
                  </w:r>
                  <w:r>
                    <w:rPr>
                      <w:rFonts w:hint="default" w:ascii="Times New Roman" w:hAnsi="Times New Roman" w:cs="Times New Roman"/>
                      <w:color w:val="auto"/>
                      <w:spacing w:val="0"/>
                      <w:sz w:val="21"/>
                      <w:szCs w:val="21"/>
                      <w:highlight w:val="none"/>
                    </w:rPr>
                    <w:t>结构，</w:t>
                  </w:r>
                  <w:r>
                    <w:rPr>
                      <w:rFonts w:hint="default" w:ascii="Times New Roman" w:hAnsi="Times New Roman" w:cs="Times New Roman"/>
                      <w:color w:val="auto"/>
                      <w:spacing w:val="0"/>
                      <w:sz w:val="21"/>
                      <w:szCs w:val="21"/>
                      <w:highlight w:val="none"/>
                      <w:lang w:eastAsia="zh-CN"/>
                    </w:rPr>
                    <w:t>高</w:t>
                  </w:r>
                  <w:r>
                    <w:rPr>
                      <w:rFonts w:hint="default" w:ascii="Times New Roman" w:hAnsi="Times New Roman" w:cs="Times New Roman"/>
                      <w:color w:val="auto"/>
                      <w:spacing w:val="0"/>
                      <w:sz w:val="21"/>
                      <w:szCs w:val="21"/>
                      <w:highlight w:val="none"/>
                      <w:lang w:val="en-US" w:eastAsia="zh-CN"/>
                    </w:rPr>
                    <w:t>13.8m，主要用于日常办公、职工生活</w:t>
                  </w:r>
                </w:p>
              </w:tc>
              <w:tc>
                <w:tcPr>
                  <w:tcW w:w="311" w:type="pct"/>
                  <w:tcBorders>
                    <w:tl2br w:val="nil"/>
                    <w:tr2bl w:val="nil"/>
                  </w:tcBorders>
                  <w:noWrap w:val="0"/>
                  <w:vAlign w:val="center"/>
                </w:tcPr>
                <w:p w14:paraId="60197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新建</w:t>
                  </w:r>
                </w:p>
              </w:tc>
            </w:tr>
            <w:tr w14:paraId="43E346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7" w:type="pct"/>
                  <w:vMerge w:val="continue"/>
                  <w:tcBorders>
                    <w:tl2br w:val="nil"/>
                    <w:tr2bl w:val="nil"/>
                  </w:tcBorders>
                  <w:noWrap w:val="0"/>
                  <w:vAlign w:val="center"/>
                </w:tcPr>
                <w:p w14:paraId="1EECDCA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lang w:eastAsia="zh-CN"/>
                    </w:rPr>
                  </w:pPr>
                </w:p>
              </w:tc>
              <w:tc>
                <w:tcPr>
                  <w:tcW w:w="858" w:type="pct"/>
                  <w:tcBorders>
                    <w:tl2br w:val="nil"/>
                    <w:tr2bl w:val="nil"/>
                  </w:tcBorders>
                  <w:noWrap w:val="0"/>
                  <w:vAlign w:val="center"/>
                </w:tcPr>
                <w:p w14:paraId="5A281678">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危废</w:t>
                  </w:r>
                  <w:r>
                    <w:rPr>
                      <w:rFonts w:hint="eastAsia" w:ascii="Times New Roman" w:hAnsi="Times New Roman" w:cs="Times New Roman"/>
                      <w:color w:val="auto"/>
                      <w:spacing w:val="0"/>
                      <w:sz w:val="21"/>
                      <w:szCs w:val="21"/>
                      <w:highlight w:val="none"/>
                      <w:lang w:eastAsia="zh-CN"/>
                    </w:rPr>
                    <w:t>暂存</w:t>
                  </w:r>
                  <w:r>
                    <w:rPr>
                      <w:rFonts w:hint="default" w:ascii="Times New Roman" w:hAnsi="Times New Roman" w:cs="Times New Roman"/>
                      <w:color w:val="auto"/>
                      <w:spacing w:val="0"/>
                      <w:sz w:val="21"/>
                      <w:szCs w:val="21"/>
                      <w:highlight w:val="none"/>
                    </w:rPr>
                    <w:t>间</w:t>
                  </w:r>
                </w:p>
              </w:tc>
              <w:tc>
                <w:tcPr>
                  <w:tcW w:w="3592" w:type="pct"/>
                  <w:tcBorders>
                    <w:tl2br w:val="nil"/>
                    <w:tr2bl w:val="nil"/>
                  </w:tcBorders>
                  <w:noWrap w:val="0"/>
                  <w:vAlign w:val="center"/>
                </w:tcPr>
                <w:p w14:paraId="7461F730">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bCs/>
                      <w:snapToGrid w:val="0"/>
                      <w:color w:val="auto"/>
                      <w:spacing w:val="0"/>
                      <w:sz w:val="21"/>
                      <w:szCs w:val="21"/>
                      <w:highlight w:val="none"/>
                      <w:lang w:eastAsia="zh-CN"/>
                    </w:rPr>
                    <w:t>位于</w:t>
                  </w:r>
                  <w:r>
                    <w:rPr>
                      <w:rFonts w:hint="eastAsia" w:ascii="Times New Roman" w:hAnsi="Times New Roman" w:cs="Times New Roman"/>
                      <w:color w:val="auto"/>
                      <w:spacing w:val="0"/>
                      <w:sz w:val="21"/>
                      <w:szCs w:val="21"/>
                      <w:highlight w:val="none"/>
                      <w:lang w:val="en-US" w:eastAsia="zh-CN"/>
                    </w:rPr>
                    <w:t>3#车间东南角</w:t>
                  </w:r>
                  <w:r>
                    <w:rPr>
                      <w:rFonts w:hint="default" w:ascii="Times New Roman" w:hAnsi="Times New Roman" w:cs="Times New Roman"/>
                      <w:color w:val="auto"/>
                      <w:spacing w:val="0"/>
                      <w:sz w:val="21"/>
                      <w:szCs w:val="21"/>
                      <w:highlight w:val="none"/>
                      <w:lang w:val="en-US" w:eastAsia="zh-CN"/>
                    </w:rPr>
                    <w:t>，占地</w:t>
                  </w:r>
                  <w:r>
                    <w:rPr>
                      <w:rFonts w:hint="eastAsia" w:ascii="Times New Roman" w:hAnsi="Times New Roman" w:cs="Times New Roman"/>
                      <w:color w:val="auto"/>
                      <w:spacing w:val="0"/>
                      <w:sz w:val="21"/>
                      <w:szCs w:val="21"/>
                      <w:highlight w:val="none"/>
                      <w:lang w:val="en-US" w:eastAsia="zh-CN"/>
                    </w:rPr>
                    <w:t>5</w:t>
                  </w:r>
                  <w:r>
                    <w:rPr>
                      <w:rFonts w:hint="default" w:ascii="Times New Roman" w:hAnsi="Times New Roman" w:cs="Times New Roman"/>
                      <w:color w:val="auto"/>
                      <w:spacing w:val="0"/>
                      <w:sz w:val="21"/>
                      <w:szCs w:val="21"/>
                      <w:highlight w:val="none"/>
                      <w:lang w:val="en-US" w:eastAsia="zh-CN"/>
                    </w:rPr>
                    <w:t>m</w:t>
                  </w:r>
                  <w:r>
                    <w:rPr>
                      <w:rFonts w:hint="default" w:ascii="Times New Roman" w:hAnsi="Times New Roman" w:cs="Times New Roman"/>
                      <w:color w:val="auto"/>
                      <w:spacing w:val="0"/>
                      <w:sz w:val="21"/>
                      <w:szCs w:val="21"/>
                      <w:highlight w:val="none"/>
                      <w:vertAlign w:val="superscript"/>
                      <w:lang w:val="en-US" w:eastAsia="zh-CN"/>
                    </w:rPr>
                    <w:t>2</w:t>
                  </w:r>
                  <w:r>
                    <w:rPr>
                      <w:rFonts w:hint="default" w:ascii="Times New Roman" w:hAnsi="Times New Roman" w:cs="Times New Roman"/>
                      <w:color w:val="auto"/>
                      <w:spacing w:val="0"/>
                      <w:sz w:val="21"/>
                      <w:szCs w:val="21"/>
                      <w:highlight w:val="none"/>
                      <w:lang w:val="en-US" w:eastAsia="zh-CN"/>
                    </w:rPr>
                    <w:t>（</w:t>
                  </w:r>
                  <w:r>
                    <w:rPr>
                      <w:rFonts w:hint="default" w:ascii="Times New Roman" w:hAnsi="Times New Roman" w:cs="Times New Roman"/>
                      <w:color w:val="auto"/>
                      <w:spacing w:val="0"/>
                      <w:sz w:val="21"/>
                      <w:szCs w:val="21"/>
                      <w:highlight w:val="none"/>
                    </w:rPr>
                    <w:t>危险废物存放</w:t>
                  </w:r>
                  <w:r>
                    <w:rPr>
                      <w:rFonts w:hint="default" w:ascii="Times New Roman" w:hAnsi="Times New Roman" w:cs="Times New Roman"/>
                      <w:color w:val="auto"/>
                      <w:spacing w:val="0"/>
                      <w:sz w:val="21"/>
                      <w:szCs w:val="21"/>
                      <w:highlight w:val="none"/>
                      <w:lang w:eastAsia="zh-CN"/>
                    </w:rPr>
                    <w:t>）</w:t>
                  </w:r>
                </w:p>
              </w:tc>
              <w:tc>
                <w:tcPr>
                  <w:tcW w:w="311" w:type="pct"/>
                  <w:tcBorders>
                    <w:tl2br w:val="nil"/>
                    <w:tr2bl w:val="nil"/>
                  </w:tcBorders>
                  <w:noWrap w:val="0"/>
                  <w:vAlign w:val="center"/>
                </w:tcPr>
                <w:p w14:paraId="15A00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新建</w:t>
                  </w:r>
                </w:p>
              </w:tc>
            </w:tr>
            <w:tr w14:paraId="0D5077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7" w:type="pct"/>
                  <w:vMerge w:val="continue"/>
                  <w:tcBorders>
                    <w:tl2br w:val="nil"/>
                    <w:tr2bl w:val="nil"/>
                  </w:tcBorders>
                  <w:noWrap w:val="0"/>
                  <w:vAlign w:val="center"/>
                </w:tcPr>
                <w:p w14:paraId="50214A8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lang w:eastAsia="zh-CN"/>
                    </w:rPr>
                  </w:pPr>
                </w:p>
              </w:tc>
              <w:tc>
                <w:tcPr>
                  <w:tcW w:w="858" w:type="pct"/>
                  <w:tcBorders>
                    <w:tl2br w:val="nil"/>
                    <w:tr2bl w:val="nil"/>
                  </w:tcBorders>
                  <w:noWrap w:val="0"/>
                  <w:vAlign w:val="center"/>
                </w:tcPr>
                <w:p w14:paraId="532C359F">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lang w:eastAsia="zh-CN"/>
                    </w:rPr>
                    <w:t>一般固废</w:t>
                  </w:r>
                  <w:r>
                    <w:rPr>
                      <w:rFonts w:hint="default" w:ascii="Times New Roman" w:hAnsi="Times New Roman" w:cs="Times New Roman"/>
                      <w:color w:val="auto"/>
                      <w:spacing w:val="0"/>
                      <w:sz w:val="21"/>
                      <w:szCs w:val="21"/>
                      <w:highlight w:val="none"/>
                    </w:rPr>
                    <w:t>间</w:t>
                  </w:r>
                </w:p>
              </w:tc>
              <w:tc>
                <w:tcPr>
                  <w:tcW w:w="3592" w:type="pct"/>
                  <w:tcBorders>
                    <w:tl2br w:val="nil"/>
                    <w:tr2bl w:val="nil"/>
                  </w:tcBorders>
                  <w:noWrap w:val="0"/>
                  <w:vAlign w:val="center"/>
                </w:tcPr>
                <w:p w14:paraId="02ED55FC">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bCs/>
                      <w:snapToGrid w:val="0"/>
                      <w:color w:val="auto"/>
                      <w:spacing w:val="0"/>
                      <w:sz w:val="21"/>
                      <w:szCs w:val="21"/>
                      <w:highlight w:val="none"/>
                      <w:lang w:eastAsia="zh-CN"/>
                    </w:rPr>
                    <w:t>位于</w:t>
                  </w:r>
                  <w:r>
                    <w:rPr>
                      <w:rFonts w:hint="eastAsia" w:ascii="Times New Roman" w:hAnsi="Times New Roman" w:cs="Times New Roman"/>
                      <w:color w:val="auto"/>
                      <w:spacing w:val="0"/>
                      <w:sz w:val="21"/>
                      <w:szCs w:val="21"/>
                      <w:highlight w:val="none"/>
                      <w:lang w:val="en-US" w:eastAsia="zh-CN"/>
                    </w:rPr>
                    <w:t>各生产车间内</w:t>
                  </w:r>
                </w:p>
              </w:tc>
              <w:tc>
                <w:tcPr>
                  <w:tcW w:w="311" w:type="pct"/>
                  <w:tcBorders>
                    <w:tl2br w:val="nil"/>
                    <w:tr2bl w:val="nil"/>
                  </w:tcBorders>
                  <w:noWrap w:val="0"/>
                  <w:vAlign w:val="center"/>
                </w:tcPr>
                <w:p w14:paraId="35702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center"/>
                    <w:textAlignment w:val="auto"/>
                    <w:rPr>
                      <w:rFonts w:hint="default" w:ascii="Times New Roman" w:hAnsi="Times New Roman"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新建</w:t>
                  </w:r>
                </w:p>
              </w:tc>
            </w:tr>
            <w:bookmarkEnd w:id="2"/>
            <w:tr w14:paraId="140103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237" w:type="pct"/>
                  <w:tcBorders>
                    <w:tl2br w:val="nil"/>
                    <w:tr2bl w:val="nil"/>
                  </w:tcBorders>
                  <w:noWrap w:val="0"/>
                  <w:vAlign w:val="center"/>
                </w:tcPr>
                <w:p w14:paraId="6ECB9A2F">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储运</w:t>
                  </w:r>
                </w:p>
                <w:p w14:paraId="3281237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工程</w:t>
                  </w:r>
                </w:p>
              </w:tc>
              <w:tc>
                <w:tcPr>
                  <w:tcW w:w="858" w:type="pct"/>
                  <w:tcBorders>
                    <w:tl2br w:val="nil"/>
                    <w:tr2bl w:val="nil"/>
                  </w:tcBorders>
                  <w:noWrap w:val="0"/>
                  <w:vAlign w:val="center"/>
                </w:tcPr>
                <w:p w14:paraId="608D4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原辅料、半成品、产品储存</w:t>
                  </w:r>
                </w:p>
              </w:tc>
              <w:tc>
                <w:tcPr>
                  <w:tcW w:w="3592" w:type="pct"/>
                  <w:tcBorders>
                    <w:tl2br w:val="nil"/>
                    <w:tr2bl w:val="nil"/>
                  </w:tcBorders>
                  <w:noWrap w:val="0"/>
                  <w:vAlign w:val="center"/>
                </w:tcPr>
                <w:p w14:paraId="572E6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jc w:val="both"/>
                    <w:textAlignment w:val="auto"/>
                    <w:rPr>
                      <w:rFonts w:hint="default" w:ascii="Times New Roman" w:hAnsi="Times New Roman" w:eastAsia="宋体" w:cs="Times New Roman"/>
                      <w:color w:val="auto"/>
                      <w:spacing w:val="0"/>
                      <w:sz w:val="21"/>
                      <w:szCs w:val="21"/>
                      <w:highlight w:val="none"/>
                      <w:lang w:val="en-US"/>
                    </w:rPr>
                  </w:pPr>
                  <w:r>
                    <w:rPr>
                      <w:rFonts w:hint="default" w:ascii="Times New Roman" w:hAnsi="Times New Roman" w:eastAsia="宋体" w:cs="Times New Roman"/>
                      <w:color w:val="auto"/>
                      <w:spacing w:val="0"/>
                      <w:sz w:val="21"/>
                      <w:szCs w:val="21"/>
                      <w:highlight w:val="none"/>
                      <w:lang w:val="en-US" w:eastAsia="zh-CN"/>
                    </w:rPr>
                    <w:t>生产车间</w:t>
                  </w:r>
                  <w:r>
                    <w:rPr>
                      <w:rFonts w:hint="default" w:ascii="Times New Roman" w:hAnsi="Times New Roman" w:cs="Times New Roman"/>
                      <w:color w:val="auto"/>
                      <w:spacing w:val="0"/>
                      <w:sz w:val="21"/>
                      <w:szCs w:val="21"/>
                      <w:highlight w:val="none"/>
                      <w:lang w:val="en-US" w:eastAsia="zh-CN"/>
                    </w:rPr>
                    <w:t>各工艺设备工位旁设置存放区，用于存放原料辅料；</w:t>
                  </w:r>
                  <w:r>
                    <w:rPr>
                      <w:rFonts w:hint="eastAsia" w:cs="Times New Roman"/>
                      <w:color w:val="auto"/>
                      <w:spacing w:val="0"/>
                      <w:sz w:val="21"/>
                      <w:szCs w:val="21"/>
                      <w:highlight w:val="none"/>
                      <w:lang w:val="en-US" w:eastAsia="zh-CN"/>
                    </w:rPr>
                    <w:t>干面筋</w:t>
                  </w:r>
                  <w:r>
                    <w:rPr>
                      <w:rFonts w:hint="default" w:ascii="Times New Roman" w:hAnsi="Times New Roman" w:cs="Times New Roman"/>
                      <w:color w:val="auto"/>
                      <w:spacing w:val="0"/>
                      <w:sz w:val="21"/>
                      <w:szCs w:val="21"/>
                      <w:highlight w:val="none"/>
                      <w:lang w:val="en-US" w:eastAsia="zh-CN"/>
                    </w:rPr>
                    <w:t>存放于</w:t>
                  </w:r>
                  <w:r>
                    <w:rPr>
                      <w:rFonts w:hint="eastAsia" w:cs="Times New Roman"/>
                      <w:color w:val="auto"/>
                      <w:spacing w:val="0"/>
                      <w:sz w:val="21"/>
                      <w:szCs w:val="21"/>
                      <w:highlight w:val="none"/>
                      <w:lang w:val="en-US" w:eastAsia="zh-CN"/>
                    </w:rPr>
                    <w:t>3#生产</w:t>
                  </w:r>
                  <w:r>
                    <w:rPr>
                      <w:rFonts w:hint="default" w:ascii="Times New Roman" w:hAnsi="Times New Roman" w:cs="Times New Roman"/>
                      <w:color w:val="auto"/>
                      <w:spacing w:val="0"/>
                      <w:sz w:val="21"/>
                      <w:szCs w:val="21"/>
                      <w:highlight w:val="none"/>
                      <w:lang w:val="en-US" w:eastAsia="zh-CN"/>
                    </w:rPr>
                    <w:t>车间</w:t>
                  </w:r>
                  <w:r>
                    <w:rPr>
                      <w:rFonts w:hint="eastAsia" w:cs="Times New Roman"/>
                      <w:color w:val="auto"/>
                      <w:spacing w:val="0"/>
                      <w:sz w:val="21"/>
                      <w:szCs w:val="21"/>
                      <w:highlight w:val="none"/>
                      <w:lang w:val="en-US" w:eastAsia="zh-CN"/>
                    </w:rPr>
                    <w:t>，即食面筋存放于冷库内。</w:t>
                  </w:r>
                </w:p>
              </w:tc>
              <w:tc>
                <w:tcPr>
                  <w:tcW w:w="311" w:type="pct"/>
                  <w:tcBorders>
                    <w:tl2br w:val="nil"/>
                    <w:tr2bl w:val="nil"/>
                  </w:tcBorders>
                  <w:noWrap w:val="0"/>
                  <w:vAlign w:val="center"/>
                </w:tcPr>
                <w:p w14:paraId="09CA9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新建</w:t>
                  </w:r>
                </w:p>
              </w:tc>
            </w:tr>
            <w:tr w14:paraId="6868BC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7" w:type="pct"/>
                  <w:vMerge w:val="restart"/>
                  <w:tcBorders>
                    <w:tl2br w:val="nil"/>
                    <w:tr2bl w:val="nil"/>
                  </w:tcBorders>
                  <w:noWrap w:val="0"/>
                  <w:vAlign w:val="center"/>
                </w:tcPr>
                <w:p w14:paraId="37F4BAA7">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公用</w:t>
                  </w:r>
                </w:p>
                <w:p w14:paraId="1B9BE07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工程</w:t>
                  </w:r>
                </w:p>
              </w:tc>
              <w:tc>
                <w:tcPr>
                  <w:tcW w:w="858" w:type="pct"/>
                  <w:tcBorders>
                    <w:tl2br w:val="nil"/>
                    <w:tr2bl w:val="nil"/>
                  </w:tcBorders>
                  <w:noWrap w:val="0"/>
                  <w:vAlign w:val="center"/>
                </w:tcPr>
                <w:p w14:paraId="07969CBC">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给水</w:t>
                  </w:r>
                </w:p>
              </w:tc>
              <w:tc>
                <w:tcPr>
                  <w:tcW w:w="3592" w:type="pct"/>
                  <w:tcBorders>
                    <w:tl2br w:val="nil"/>
                    <w:tr2bl w:val="nil"/>
                  </w:tcBorders>
                  <w:noWrap w:val="0"/>
                  <w:vAlign w:val="center"/>
                </w:tcPr>
                <w:p w14:paraId="565DDB2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eastAsia="zh-CN"/>
                    </w:rPr>
                    <w:t>项目给水</w:t>
                  </w:r>
                  <w:r>
                    <w:rPr>
                      <w:rFonts w:hint="default" w:ascii="Times New Roman" w:hAnsi="Times New Roman" w:cs="Times New Roman"/>
                      <w:color w:val="auto"/>
                      <w:spacing w:val="0"/>
                      <w:sz w:val="21"/>
                      <w:szCs w:val="21"/>
                      <w:highlight w:val="none"/>
                    </w:rPr>
                    <w:t>由园区供水管网统一供给</w:t>
                  </w:r>
                </w:p>
              </w:tc>
              <w:tc>
                <w:tcPr>
                  <w:tcW w:w="311" w:type="pct"/>
                  <w:tcBorders>
                    <w:tl2br w:val="nil"/>
                    <w:tr2bl w:val="nil"/>
                  </w:tcBorders>
                  <w:noWrap w:val="0"/>
                  <w:vAlign w:val="center"/>
                </w:tcPr>
                <w:p w14:paraId="70F9DDA5">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w:t>
                  </w:r>
                </w:p>
              </w:tc>
            </w:tr>
            <w:tr w14:paraId="6A395C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7" w:type="pct"/>
                  <w:vMerge w:val="continue"/>
                  <w:tcBorders>
                    <w:tl2br w:val="nil"/>
                    <w:tr2bl w:val="nil"/>
                  </w:tcBorders>
                  <w:noWrap w:val="0"/>
                  <w:vAlign w:val="center"/>
                </w:tcPr>
                <w:p w14:paraId="63770B4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p>
              </w:tc>
              <w:tc>
                <w:tcPr>
                  <w:tcW w:w="858" w:type="pct"/>
                  <w:tcBorders>
                    <w:tl2br w:val="nil"/>
                    <w:tr2bl w:val="nil"/>
                  </w:tcBorders>
                  <w:noWrap w:val="0"/>
                  <w:vAlign w:val="center"/>
                </w:tcPr>
                <w:p w14:paraId="414E2495">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lang w:eastAsia="zh-CN"/>
                    </w:rPr>
                    <w:t>排水</w:t>
                  </w:r>
                </w:p>
              </w:tc>
              <w:tc>
                <w:tcPr>
                  <w:tcW w:w="3592" w:type="pct"/>
                  <w:tcBorders>
                    <w:tl2br w:val="nil"/>
                    <w:tr2bl w:val="nil"/>
                  </w:tcBorders>
                  <w:noWrap w:val="0"/>
                  <w:vAlign w:val="center"/>
                </w:tcPr>
                <w:p w14:paraId="4E4E7553">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firstLineChars="200"/>
                    <w:jc w:val="both"/>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lang w:val="en-US" w:eastAsia="zh-CN"/>
                    </w:rPr>
                    <w:t>该项目</w:t>
                  </w:r>
                  <w:r>
                    <w:rPr>
                      <w:rFonts w:hint="eastAsia" w:cs="Times New Roman"/>
                      <w:color w:val="auto"/>
                      <w:spacing w:val="0"/>
                      <w:sz w:val="21"/>
                      <w:szCs w:val="21"/>
                      <w:highlight w:val="none"/>
                      <w:lang w:val="en-US" w:eastAsia="zh-CN"/>
                    </w:rPr>
                    <w:t>生产废水</w:t>
                  </w:r>
                  <w:r>
                    <w:rPr>
                      <w:rFonts w:hint="default" w:ascii="Times New Roman" w:hAnsi="Times New Roman" w:cs="Times New Roman"/>
                      <w:color w:val="auto"/>
                      <w:spacing w:val="0"/>
                      <w:sz w:val="21"/>
                      <w:szCs w:val="21"/>
                      <w:highlight w:val="none"/>
                      <w:lang w:val="en-US" w:eastAsia="zh-CN"/>
                    </w:rPr>
                    <w:t>经厂区污水处理</w:t>
                  </w:r>
                  <w:r>
                    <w:rPr>
                      <w:rFonts w:hint="eastAsia" w:cs="Times New Roman"/>
                      <w:color w:val="auto"/>
                      <w:spacing w:val="0"/>
                      <w:sz w:val="21"/>
                      <w:szCs w:val="21"/>
                      <w:highlight w:val="none"/>
                      <w:lang w:val="en-US" w:eastAsia="zh-CN"/>
                    </w:rPr>
                    <w:t>站采用</w:t>
                  </w:r>
                  <w:r>
                    <w:rPr>
                      <w:rFonts w:hint="default" w:ascii="Times New Roman" w:hAnsi="Times New Roman" w:cs="Times New Roman"/>
                      <w:color w:val="auto"/>
                      <w:spacing w:val="0"/>
                      <w:sz w:val="21"/>
                      <w:szCs w:val="21"/>
                      <w:highlight w:val="none"/>
                      <w:lang w:val="en-US" w:eastAsia="zh-CN"/>
                    </w:rPr>
                    <w:t>“</w:t>
                  </w:r>
                  <w:r>
                    <w:rPr>
                      <w:rFonts w:hint="eastAsia" w:cs="Times New Roman"/>
                      <w:color w:val="auto"/>
                      <w:spacing w:val="0"/>
                      <w:sz w:val="21"/>
                      <w:szCs w:val="21"/>
                      <w:highlight w:val="none"/>
                      <w:lang w:val="en-US" w:eastAsia="zh-CN"/>
                    </w:rPr>
                    <w:t>格栅+沉淀+调节+破乳+絮凝+气浮+A/O+沉淀</w:t>
                  </w:r>
                  <w:r>
                    <w:rPr>
                      <w:rFonts w:hint="default" w:ascii="Times New Roman" w:hAnsi="Times New Roman" w:cs="Times New Roman"/>
                      <w:color w:val="auto"/>
                      <w:spacing w:val="0"/>
                      <w:sz w:val="21"/>
                      <w:szCs w:val="21"/>
                      <w:highlight w:val="none"/>
                      <w:lang w:val="en-US" w:eastAsia="zh-CN"/>
                    </w:rPr>
                    <w:t>”</w:t>
                  </w:r>
                  <w:r>
                    <w:rPr>
                      <w:rFonts w:hint="eastAsia" w:cs="Times New Roman"/>
                      <w:color w:val="auto"/>
                      <w:spacing w:val="0"/>
                      <w:sz w:val="21"/>
                      <w:szCs w:val="21"/>
                      <w:highlight w:val="none"/>
                      <w:lang w:val="en-US" w:eastAsia="zh-CN"/>
                    </w:rPr>
                    <w:t>处理工艺，处理后</w:t>
                  </w:r>
                  <w:r>
                    <w:rPr>
                      <w:rFonts w:hint="default" w:ascii="Times New Roman" w:hAnsi="Times New Roman" w:cs="Times New Roman"/>
                      <w:color w:val="auto"/>
                      <w:spacing w:val="0"/>
                      <w:sz w:val="21"/>
                      <w:szCs w:val="21"/>
                      <w:highlight w:val="none"/>
                      <w:lang w:val="en-US" w:eastAsia="zh-CN"/>
                    </w:rPr>
                    <w:t>达到《污水综合排放标准》（GB8978-1996）表4三级标准，同时满足魏县经济开发区污水处理有限公司进水水质要求后排入魏县经济开发区污水处理有限公司深度处理</w:t>
                  </w:r>
                  <w:r>
                    <w:rPr>
                      <w:rFonts w:hint="eastAsia" w:cs="Times New Roman"/>
                      <w:color w:val="auto"/>
                      <w:spacing w:val="0"/>
                      <w:sz w:val="21"/>
                      <w:szCs w:val="21"/>
                      <w:highlight w:val="none"/>
                      <w:lang w:val="en-US" w:eastAsia="zh-CN"/>
                    </w:rPr>
                    <w:t>；生活废水</w:t>
                  </w:r>
                  <w:r>
                    <w:rPr>
                      <w:rFonts w:hint="default" w:ascii="Times New Roman" w:hAnsi="Times New Roman" w:cs="Times New Roman"/>
                      <w:color w:val="auto"/>
                      <w:spacing w:val="0"/>
                      <w:sz w:val="21"/>
                      <w:szCs w:val="21"/>
                      <w:highlight w:val="none"/>
                      <w:lang w:val="en-US" w:eastAsia="zh-CN"/>
                    </w:rPr>
                    <w:t>，经化粪池处理后排入园区污水管网，最终进入污水处理厂集中处理。</w:t>
                  </w:r>
                </w:p>
              </w:tc>
              <w:tc>
                <w:tcPr>
                  <w:tcW w:w="311" w:type="pct"/>
                  <w:tcBorders>
                    <w:tl2br w:val="nil"/>
                    <w:tr2bl w:val="nil"/>
                  </w:tcBorders>
                  <w:noWrap w:val="0"/>
                  <w:vAlign w:val="center"/>
                </w:tcPr>
                <w:p w14:paraId="5E62C6C8">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lang w:val="en-US" w:eastAsia="zh-CN"/>
                    </w:rPr>
                    <w:t>/</w:t>
                  </w:r>
                </w:p>
              </w:tc>
            </w:tr>
            <w:tr w14:paraId="517786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7" w:type="pct"/>
                  <w:vMerge w:val="continue"/>
                  <w:tcBorders>
                    <w:tl2br w:val="nil"/>
                    <w:tr2bl w:val="nil"/>
                  </w:tcBorders>
                  <w:noWrap w:val="0"/>
                  <w:vAlign w:val="center"/>
                </w:tcPr>
                <w:p w14:paraId="139D20F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cs="Times New Roman"/>
                      <w:color w:val="auto"/>
                      <w:spacing w:val="0"/>
                      <w:kern w:val="0"/>
                      <w:sz w:val="21"/>
                      <w:szCs w:val="21"/>
                      <w:highlight w:val="none"/>
                    </w:rPr>
                  </w:pPr>
                </w:p>
              </w:tc>
              <w:tc>
                <w:tcPr>
                  <w:tcW w:w="858" w:type="pct"/>
                  <w:tcBorders>
                    <w:tl2br w:val="nil"/>
                    <w:tr2bl w:val="nil"/>
                  </w:tcBorders>
                  <w:noWrap w:val="0"/>
                  <w:vAlign w:val="center"/>
                </w:tcPr>
                <w:p w14:paraId="65DBCF9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供电</w:t>
                  </w:r>
                </w:p>
              </w:tc>
              <w:tc>
                <w:tcPr>
                  <w:tcW w:w="3592" w:type="pct"/>
                  <w:tcBorders>
                    <w:tl2br w:val="nil"/>
                    <w:tr2bl w:val="nil"/>
                  </w:tcBorders>
                  <w:noWrap w:val="0"/>
                  <w:vAlign w:val="center"/>
                </w:tcPr>
                <w:p w14:paraId="4DDA5253">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eastAsia="zh-CN"/>
                    </w:rPr>
                    <w:t>项目供电</w:t>
                  </w:r>
                  <w:r>
                    <w:rPr>
                      <w:rFonts w:hint="default" w:ascii="Times New Roman" w:hAnsi="Times New Roman" w:cs="Times New Roman"/>
                      <w:color w:val="auto"/>
                      <w:spacing w:val="0"/>
                      <w:sz w:val="21"/>
                      <w:szCs w:val="21"/>
                      <w:highlight w:val="none"/>
                    </w:rPr>
                    <w:t>由园区供电电网提供</w:t>
                  </w:r>
                </w:p>
              </w:tc>
              <w:tc>
                <w:tcPr>
                  <w:tcW w:w="311" w:type="pct"/>
                  <w:tcBorders>
                    <w:tl2br w:val="nil"/>
                    <w:tr2bl w:val="nil"/>
                  </w:tcBorders>
                  <w:noWrap w:val="0"/>
                  <w:vAlign w:val="center"/>
                </w:tcPr>
                <w:p w14:paraId="21099DD5">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w:t>
                  </w:r>
                </w:p>
              </w:tc>
            </w:tr>
            <w:tr w14:paraId="6037AC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continue"/>
                  <w:tcBorders>
                    <w:tl2br w:val="nil"/>
                    <w:tr2bl w:val="nil"/>
                  </w:tcBorders>
                  <w:noWrap w:val="0"/>
                  <w:vAlign w:val="center"/>
                </w:tcPr>
                <w:p w14:paraId="4576D688">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cs="Times New Roman"/>
                      <w:color w:val="auto"/>
                      <w:spacing w:val="0"/>
                      <w:kern w:val="0"/>
                      <w:sz w:val="21"/>
                      <w:szCs w:val="21"/>
                      <w:highlight w:val="none"/>
                    </w:rPr>
                  </w:pPr>
                </w:p>
              </w:tc>
              <w:tc>
                <w:tcPr>
                  <w:tcW w:w="858" w:type="pct"/>
                  <w:tcBorders>
                    <w:tl2br w:val="nil"/>
                    <w:tr2bl w:val="nil"/>
                  </w:tcBorders>
                  <w:noWrap w:val="0"/>
                  <w:vAlign w:val="center"/>
                </w:tcPr>
                <w:p w14:paraId="24B2E4B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供热</w:t>
                  </w:r>
                </w:p>
              </w:tc>
              <w:tc>
                <w:tcPr>
                  <w:tcW w:w="3592" w:type="pct"/>
                  <w:tcBorders>
                    <w:tl2br w:val="nil"/>
                    <w:tr2bl w:val="nil"/>
                  </w:tcBorders>
                  <w:noWrap w:val="0"/>
                  <w:vAlign w:val="center"/>
                </w:tcPr>
                <w:p w14:paraId="72AFC75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firstLineChars="200"/>
                    <w:jc w:val="both"/>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lang w:val="en-US" w:eastAsia="zh-CN"/>
                    </w:rPr>
                    <w:t>生产用热：</w:t>
                  </w:r>
                  <w:r>
                    <w:rPr>
                      <w:rFonts w:hint="eastAsia" w:cs="Times New Roman"/>
                      <w:color w:val="auto"/>
                      <w:spacing w:val="0"/>
                      <w:sz w:val="21"/>
                      <w:szCs w:val="21"/>
                      <w:highlight w:val="none"/>
                      <w:lang w:val="en-US" w:eastAsia="zh-CN"/>
                    </w:rPr>
                    <w:t>烘干</w:t>
                  </w:r>
                  <w:r>
                    <w:rPr>
                      <w:rFonts w:hint="default" w:ascii="Times New Roman" w:hAnsi="Times New Roman" w:cs="Times New Roman"/>
                      <w:color w:val="auto"/>
                      <w:spacing w:val="0"/>
                      <w:sz w:val="21"/>
                      <w:szCs w:val="21"/>
                      <w:highlight w:val="none"/>
                      <w:lang w:val="en-US" w:eastAsia="zh-CN"/>
                    </w:rPr>
                    <w:t>加热采用天然气，生产车间不设采暖设施</w:t>
                  </w:r>
                  <w:r>
                    <w:rPr>
                      <w:rFonts w:hint="default" w:ascii="Times New Roman" w:hAnsi="Times New Roman" w:cs="Times New Roman"/>
                      <w:color w:val="auto"/>
                      <w:spacing w:val="0"/>
                      <w:sz w:val="21"/>
                      <w:szCs w:val="21"/>
                      <w:highlight w:val="none"/>
                      <w:lang w:eastAsia="zh-CN"/>
                    </w:rPr>
                    <w:t>，</w:t>
                  </w:r>
                  <w:r>
                    <w:rPr>
                      <w:rFonts w:hint="default" w:ascii="Times New Roman" w:hAnsi="Times New Roman" w:eastAsia="宋体" w:cs="Times New Roman"/>
                      <w:color w:val="auto"/>
                      <w:spacing w:val="0"/>
                      <w:sz w:val="21"/>
                      <w:szCs w:val="21"/>
                      <w:highlight w:val="none"/>
                    </w:rPr>
                    <w:t>办公冬季采暖采用分体</w:t>
                  </w:r>
                  <w:r>
                    <w:rPr>
                      <w:rFonts w:hint="default" w:ascii="Times New Roman" w:hAnsi="Times New Roman" w:cs="Times New Roman"/>
                      <w:color w:val="auto"/>
                      <w:spacing w:val="0"/>
                      <w:sz w:val="21"/>
                      <w:szCs w:val="21"/>
                      <w:highlight w:val="none"/>
                      <w:lang w:eastAsia="zh-CN"/>
                    </w:rPr>
                    <w:t>室内电力</w:t>
                  </w:r>
                  <w:r>
                    <w:rPr>
                      <w:rFonts w:hint="default" w:ascii="Times New Roman" w:hAnsi="Times New Roman" w:eastAsia="宋体" w:cs="Times New Roman"/>
                      <w:color w:val="auto"/>
                      <w:spacing w:val="0"/>
                      <w:sz w:val="21"/>
                      <w:szCs w:val="21"/>
                      <w:highlight w:val="none"/>
                    </w:rPr>
                    <w:t>空调</w:t>
                  </w:r>
                  <w:r>
                    <w:rPr>
                      <w:rFonts w:hint="default" w:ascii="Times New Roman" w:hAnsi="Times New Roman" w:cs="Times New Roman"/>
                      <w:color w:val="auto"/>
                      <w:spacing w:val="0"/>
                      <w:sz w:val="21"/>
                      <w:szCs w:val="21"/>
                      <w:highlight w:val="none"/>
                      <w:lang w:eastAsia="zh-CN"/>
                    </w:rPr>
                    <w:t>。</w:t>
                  </w:r>
                </w:p>
              </w:tc>
              <w:tc>
                <w:tcPr>
                  <w:tcW w:w="311" w:type="pct"/>
                  <w:tcBorders>
                    <w:tl2br w:val="nil"/>
                    <w:tr2bl w:val="nil"/>
                  </w:tcBorders>
                  <w:noWrap w:val="0"/>
                  <w:vAlign w:val="center"/>
                </w:tcPr>
                <w:p w14:paraId="300886A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w:t>
                  </w:r>
                </w:p>
              </w:tc>
            </w:tr>
            <w:tr w14:paraId="324B53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 w:type="pct"/>
                  <w:vMerge w:val="restart"/>
                  <w:tcBorders>
                    <w:tl2br w:val="nil"/>
                    <w:tr2bl w:val="nil"/>
                  </w:tcBorders>
                  <w:noWrap w:val="0"/>
                  <w:vAlign w:val="center"/>
                </w:tcPr>
                <w:p w14:paraId="2E56245F">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环保</w:t>
                  </w:r>
                </w:p>
                <w:p w14:paraId="7BEBF06F">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工程</w:t>
                  </w:r>
                </w:p>
              </w:tc>
              <w:tc>
                <w:tcPr>
                  <w:tcW w:w="858" w:type="pct"/>
                  <w:tcBorders>
                    <w:tl2br w:val="nil"/>
                    <w:tr2bl w:val="nil"/>
                  </w:tcBorders>
                  <w:noWrap w:val="0"/>
                  <w:vAlign w:val="center"/>
                </w:tcPr>
                <w:p w14:paraId="287476FB">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废气</w:t>
                  </w:r>
                </w:p>
              </w:tc>
              <w:tc>
                <w:tcPr>
                  <w:tcW w:w="3592" w:type="pct"/>
                  <w:tcBorders>
                    <w:tl2br w:val="nil"/>
                    <w:tr2bl w:val="nil"/>
                  </w:tcBorders>
                  <w:noWrap w:val="0"/>
                  <w:vAlign w:val="center"/>
                </w:tcPr>
                <w:p w14:paraId="5BB0C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default" w:ascii="Times New Roman" w:hAnsi="Times New Roman" w:eastAsia="宋体" w:cs="Times New Roman"/>
                      <w:bCs/>
                      <w:snapToGrid w:val="0"/>
                      <w:color w:val="auto"/>
                      <w:sz w:val="21"/>
                      <w:szCs w:val="21"/>
                      <w:highlight w:val="none"/>
                      <w:lang w:val="en-US" w:eastAsia="zh-CN"/>
                    </w:rPr>
                  </w:pPr>
                  <w:r>
                    <w:rPr>
                      <w:rFonts w:hint="default" w:ascii="Times New Roman" w:hAnsi="Times New Roman" w:cs="Times New Roman"/>
                      <w:bCs/>
                      <w:snapToGrid w:val="0"/>
                      <w:color w:val="auto"/>
                      <w:sz w:val="21"/>
                      <w:szCs w:val="21"/>
                      <w:highlight w:val="none"/>
                      <w:lang w:val="en-US" w:eastAsia="zh-CN"/>
                    </w:rPr>
                    <w:t xml:space="preserve">    </w:t>
                  </w:r>
                  <w:r>
                    <w:rPr>
                      <w:rFonts w:hint="eastAsia" w:cs="Times New Roman"/>
                      <w:b/>
                      <w:bCs/>
                      <w:color w:val="auto"/>
                      <w:sz w:val="21"/>
                      <w:szCs w:val="21"/>
                      <w:highlight w:val="none"/>
                      <w:lang w:val="en-US" w:eastAsia="zh-CN"/>
                    </w:rPr>
                    <w:t>3</w:t>
                  </w:r>
                  <w:r>
                    <w:rPr>
                      <w:rFonts w:hint="eastAsia" w:ascii="Times New Roman" w:hAnsi="Times New Roman" w:cs="Times New Roman"/>
                      <w:b/>
                      <w:bCs/>
                      <w:color w:val="auto"/>
                      <w:kern w:val="2"/>
                      <w:sz w:val="21"/>
                      <w:szCs w:val="21"/>
                      <w:highlight w:val="none"/>
                      <w:lang w:val="en-US" w:eastAsia="zh-CN" w:bidi="ar-SA"/>
                    </w:rPr>
                    <w:t>#生产车间</w:t>
                  </w:r>
                  <w:r>
                    <w:rPr>
                      <w:rFonts w:hint="eastAsia" w:cs="Times New Roman"/>
                      <w:b/>
                      <w:bCs/>
                      <w:color w:val="auto"/>
                      <w:sz w:val="21"/>
                      <w:szCs w:val="21"/>
                      <w:highlight w:val="none"/>
                      <w:lang w:val="en-US" w:eastAsia="zh-CN"/>
                    </w:rPr>
                    <w:t>投料粉尘</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Cs w:val="21"/>
                      <w:highlight w:val="none"/>
                    </w:rPr>
                    <w:t>集气罩+布袋除尘器</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snapToGrid w:val="0"/>
                      <w:color w:val="auto"/>
                      <w:szCs w:val="21"/>
                      <w:highlight w:val="none"/>
                    </w:rPr>
                    <w:t>1</w:t>
                  </w:r>
                  <w:r>
                    <w:rPr>
                      <w:rFonts w:hint="eastAsia" w:cs="Times New Roman"/>
                      <w:snapToGrid w:val="0"/>
                      <w:color w:val="auto"/>
                      <w:szCs w:val="21"/>
                      <w:highlight w:val="none"/>
                      <w:lang w:val="en-US" w:eastAsia="zh-CN"/>
                    </w:rPr>
                    <w:t>9</w:t>
                  </w:r>
                  <w:r>
                    <w:rPr>
                      <w:rFonts w:hint="default" w:ascii="Times New Roman" w:hAnsi="Times New Roman" w:cs="Times New Roman"/>
                      <w:snapToGrid w:val="0"/>
                      <w:color w:val="auto"/>
                      <w:szCs w:val="21"/>
                      <w:highlight w:val="none"/>
                    </w:rPr>
                    <w:t>m排气筒排放</w:t>
                  </w:r>
                  <w:r>
                    <w:rPr>
                      <w:rFonts w:hint="default" w:ascii="Times New Roman" w:hAnsi="Times New Roman" w:cs="Times New Roman"/>
                      <w:snapToGrid w:val="0"/>
                      <w:color w:val="auto"/>
                      <w:szCs w:val="21"/>
                      <w:highlight w:val="none"/>
                      <w:lang w:eastAsia="zh-CN"/>
                    </w:rPr>
                    <w:t>（</w:t>
                  </w:r>
                  <w:r>
                    <w:rPr>
                      <w:rFonts w:hint="default" w:ascii="Times New Roman" w:hAnsi="Times New Roman" w:cs="Times New Roman"/>
                      <w:snapToGrid w:val="0"/>
                      <w:color w:val="auto"/>
                      <w:szCs w:val="21"/>
                      <w:highlight w:val="none"/>
                      <w:lang w:val="en-US" w:eastAsia="zh-CN"/>
                    </w:rPr>
                    <w:t>DA001</w:t>
                  </w:r>
                  <w:r>
                    <w:rPr>
                      <w:rFonts w:hint="default" w:ascii="Times New Roman" w:hAnsi="Times New Roman" w:cs="Times New Roman"/>
                      <w:snapToGrid w:val="0"/>
                      <w:color w:val="auto"/>
                      <w:szCs w:val="21"/>
                      <w:highlight w:val="none"/>
                      <w:lang w:eastAsia="zh-CN"/>
                    </w:rPr>
                    <w:t>）；</w:t>
                  </w:r>
                </w:p>
                <w:p w14:paraId="1C7BDA81">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textAlignment w:val="auto"/>
                    <w:rPr>
                      <w:rFonts w:hint="default"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3#烤箱烘干天然气燃烧废气：</w:t>
                  </w:r>
                  <w:r>
                    <w:rPr>
                      <w:rFonts w:hint="eastAsia" w:cs="Times New Roman"/>
                      <w:b w:val="0"/>
                      <w:bCs w:val="0"/>
                      <w:color w:val="auto"/>
                      <w:sz w:val="21"/>
                      <w:szCs w:val="21"/>
                      <w:highlight w:val="none"/>
                      <w:lang w:val="en-US" w:eastAsia="zh-CN"/>
                    </w:rPr>
                    <w:t>清洁能源天然气+17m排气筒（DA004）</w:t>
                  </w:r>
                  <w:r>
                    <w:rPr>
                      <w:rFonts w:hint="eastAsia" w:cs="Times New Roman"/>
                      <w:b/>
                      <w:bCs/>
                      <w:color w:val="auto"/>
                      <w:sz w:val="21"/>
                      <w:szCs w:val="21"/>
                      <w:highlight w:val="none"/>
                      <w:lang w:val="en-US" w:eastAsia="zh-CN"/>
                    </w:rPr>
                    <w:t>；</w:t>
                  </w:r>
                </w:p>
                <w:p w14:paraId="43F608B9">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bCs/>
                      <w:color w:val="auto"/>
                      <w:sz w:val="21"/>
                      <w:szCs w:val="21"/>
                      <w:highlight w:val="none"/>
                      <w:lang w:val="en-US" w:eastAsia="zh-CN"/>
                    </w:rPr>
                    <w:t>3</w:t>
                  </w:r>
                  <w:r>
                    <w:rPr>
                      <w:rFonts w:hint="eastAsia" w:ascii="Times New Roman" w:hAnsi="Times New Roman" w:cs="Times New Roman"/>
                      <w:b/>
                      <w:bCs/>
                      <w:color w:val="auto"/>
                      <w:kern w:val="2"/>
                      <w:sz w:val="21"/>
                      <w:szCs w:val="21"/>
                      <w:highlight w:val="none"/>
                      <w:lang w:val="en-US" w:eastAsia="zh-CN" w:bidi="ar-SA"/>
                    </w:rPr>
                    <w:t>#生产车</w:t>
                  </w:r>
                  <w:r>
                    <w:rPr>
                      <w:rFonts w:hint="eastAsia" w:ascii="Times New Roman" w:hAnsi="Times New Roman" w:cs="Times New Roman"/>
                      <w:b/>
                      <w:bCs/>
                      <w:color w:val="000000" w:themeColor="text1"/>
                      <w:kern w:val="2"/>
                      <w:sz w:val="21"/>
                      <w:szCs w:val="21"/>
                      <w:highlight w:val="none"/>
                      <w:lang w:val="en-US" w:eastAsia="zh-CN" w:bidi="ar-SA"/>
                      <w14:textFill>
                        <w14:solidFill>
                          <w14:schemeClr w14:val="tx1"/>
                        </w14:solidFill>
                      </w14:textFill>
                    </w:rPr>
                    <w:t>间蒸汽发生器燃料天然气燃烧废气：</w:t>
                  </w: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低氮燃烧装置</w:t>
                  </w:r>
                  <w:r>
                    <w:rPr>
                      <w:rFonts w:hint="eastAsia" w:ascii="Times New Roman" w:hAnsi="Times New Roman"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17m排气筒排放（DA005）;</w:t>
                  </w:r>
                </w:p>
                <w:p w14:paraId="6890DC27">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8#生产车间煮制/卤制废气</w:t>
                  </w:r>
                  <w:r>
                    <w:rPr>
                      <w:rFonts w:hint="default" w:ascii="Times New Roman" w:hAnsi="Times New Roman" w:cs="Times New Roman"/>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集气罩+</w:t>
                  </w:r>
                  <w:r>
                    <w:rPr>
                      <w:rFonts w:hint="default" w:ascii="Times New Roman" w:hAnsi="Times New Roman" w:cs="Times New Roman"/>
                      <w:color w:val="auto"/>
                      <w:sz w:val="21"/>
                      <w:szCs w:val="21"/>
                      <w:highlight w:val="none"/>
                      <w:lang w:val="en-US" w:eastAsia="zh-CN"/>
                    </w:rPr>
                    <w:t>活性炭吸附</w:t>
                  </w:r>
                  <w:r>
                    <w:rPr>
                      <w:rFonts w:hint="eastAsia" w:ascii="Times New Roman" w:hAnsi="Times New Roman" w:cs="Times New Roman"/>
                      <w:color w:val="auto"/>
                      <w:sz w:val="21"/>
                      <w:szCs w:val="21"/>
                      <w:highlight w:val="none"/>
                      <w:lang w:val="en-US" w:eastAsia="zh-CN"/>
                    </w:rPr>
                    <w:t>装置</w:t>
                  </w:r>
                  <w:r>
                    <w:rPr>
                      <w:rFonts w:hint="default" w:ascii="Times New Roman" w:hAnsi="Times New Roman" w:cs="Times New Roman"/>
                      <w:color w:val="auto"/>
                      <w:sz w:val="21"/>
                      <w:szCs w:val="21"/>
                      <w:highlight w:val="none"/>
                    </w:rPr>
                    <w:t>+</w:t>
                  </w:r>
                  <w:r>
                    <w:rPr>
                      <w:rFonts w:hint="eastAsia" w:ascii="Times New Roman" w:hAnsi="Times New Roman" w:cs="Times New Roman"/>
                      <w:snapToGrid w:val="0"/>
                      <w:color w:val="auto"/>
                      <w:sz w:val="21"/>
                      <w:szCs w:val="21"/>
                      <w:highlight w:val="none"/>
                      <w:lang w:val="en-US" w:eastAsia="zh-CN"/>
                    </w:rPr>
                    <w:t>15</w:t>
                  </w:r>
                  <w:r>
                    <w:rPr>
                      <w:rFonts w:hint="default" w:ascii="Times New Roman" w:hAnsi="Times New Roman" w:cs="Times New Roman"/>
                      <w:snapToGrid w:val="0"/>
                      <w:color w:val="auto"/>
                      <w:sz w:val="21"/>
                      <w:szCs w:val="21"/>
                      <w:highlight w:val="none"/>
                    </w:rPr>
                    <w:t>m排气筒排放</w:t>
                  </w:r>
                  <w:r>
                    <w:rPr>
                      <w:rFonts w:hint="default" w:ascii="Times New Roman" w:hAnsi="Times New Roman" w:cs="Times New Roman"/>
                      <w:snapToGrid w:val="0"/>
                      <w:color w:val="auto"/>
                      <w:sz w:val="21"/>
                      <w:szCs w:val="21"/>
                      <w:highlight w:val="none"/>
                      <w:lang w:eastAsia="zh-CN"/>
                    </w:rPr>
                    <w:t>（</w:t>
                  </w:r>
                  <w:r>
                    <w:rPr>
                      <w:rFonts w:hint="default" w:ascii="Times New Roman" w:hAnsi="Times New Roman" w:cs="Times New Roman"/>
                      <w:snapToGrid w:val="0"/>
                      <w:color w:val="auto"/>
                      <w:sz w:val="21"/>
                      <w:szCs w:val="21"/>
                      <w:highlight w:val="none"/>
                      <w:lang w:val="en-US" w:eastAsia="zh-CN"/>
                    </w:rPr>
                    <w:t>DA002</w:t>
                  </w:r>
                  <w:r>
                    <w:rPr>
                      <w:rFonts w:hint="default" w:ascii="Times New Roman" w:hAnsi="Times New Roman" w:cs="Times New Roman"/>
                      <w:snapToGrid w:val="0"/>
                      <w:color w:val="auto"/>
                      <w:sz w:val="21"/>
                      <w:szCs w:val="21"/>
                      <w:highlight w:val="none"/>
                      <w:lang w:eastAsia="zh-CN"/>
                    </w:rPr>
                    <w:t>）；</w:t>
                  </w:r>
                </w:p>
                <w:p w14:paraId="0108BED7">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textAlignment w:val="auto"/>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bCs/>
                      <w:color w:val="auto"/>
                      <w:kern w:val="2"/>
                      <w:sz w:val="21"/>
                      <w:szCs w:val="21"/>
                      <w:highlight w:val="none"/>
                      <w:lang w:val="en-US" w:eastAsia="zh-CN" w:bidi="ar-SA"/>
                    </w:rPr>
                    <w:t>8#生</w:t>
                  </w:r>
                  <w:r>
                    <w:rPr>
                      <w:rFonts w:hint="eastAsia" w:ascii="Times New Roman" w:hAnsi="Times New Roman" w:cs="Times New Roman"/>
                      <w:b/>
                      <w:bCs/>
                      <w:color w:val="000000" w:themeColor="text1"/>
                      <w:kern w:val="2"/>
                      <w:sz w:val="21"/>
                      <w:szCs w:val="21"/>
                      <w:highlight w:val="none"/>
                      <w:lang w:val="en-US" w:eastAsia="zh-CN" w:bidi="ar-SA"/>
                      <w14:textFill>
                        <w14:solidFill>
                          <w14:schemeClr w14:val="tx1"/>
                        </w14:solidFill>
                      </w14:textFill>
                    </w:rPr>
                    <w:t>产车间蒸汽发生器燃料天然气燃烧废气：</w:t>
                  </w: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低氮燃烧装置</w:t>
                  </w:r>
                  <w:r>
                    <w:rPr>
                      <w:rFonts w:hint="eastAsia" w:ascii="Times New Roman" w:hAnsi="Times New Roman"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17m排气筒排放（DA006）;</w:t>
                  </w:r>
                </w:p>
                <w:p w14:paraId="25F57342">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textAlignment w:val="auto"/>
                    <w:rPr>
                      <w:rFonts w:hint="default" w:ascii="Times New Roman" w:hAnsi="Times New Roman" w:eastAsia="宋体" w:cs="Times New Roman"/>
                      <w:b/>
                      <w:bCs/>
                      <w:color w:val="auto"/>
                      <w:spacing w:val="0"/>
                      <w:sz w:val="21"/>
                      <w:szCs w:val="21"/>
                      <w:highlight w:val="none"/>
                      <w:lang w:val="en-US" w:eastAsia="zh-CN"/>
                    </w:rPr>
                  </w:pPr>
                  <w:r>
                    <w:rPr>
                      <w:rFonts w:hint="eastAsia" w:ascii="Times New Roman" w:hAnsi="Times New Roman" w:cs="Times New Roman"/>
                      <w:b/>
                      <w:bCs/>
                      <w:color w:val="000000" w:themeColor="text1"/>
                      <w:kern w:val="2"/>
                      <w:sz w:val="21"/>
                      <w:szCs w:val="21"/>
                      <w:highlight w:val="none"/>
                      <w:lang w:val="en-US" w:eastAsia="zh-CN" w:bidi="ar-SA"/>
                      <w14:textFill>
                        <w14:solidFill>
                          <w14:schemeClr w14:val="tx1"/>
                        </w14:solidFill>
                      </w14:textFill>
                    </w:rPr>
                    <w:t>10#生产车间煮制、卤制</w:t>
                  </w:r>
                  <w:r>
                    <w:rPr>
                      <w:rFonts w:hint="eastAsia" w:ascii="Times New Roman" w:hAnsi="Times New Roman" w:cs="Times New Roman"/>
                      <w:b/>
                      <w:bCs/>
                      <w:color w:val="auto"/>
                      <w:kern w:val="2"/>
                      <w:sz w:val="21"/>
                      <w:szCs w:val="21"/>
                      <w:highlight w:val="none"/>
                      <w:lang w:val="en-US" w:eastAsia="zh-CN" w:bidi="ar-SA"/>
                    </w:rPr>
                    <w:t>废气</w:t>
                  </w:r>
                  <w:r>
                    <w:rPr>
                      <w:rFonts w:hint="default" w:ascii="Times New Roman" w:hAnsi="Times New Roman" w:cs="Times New Roman"/>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集气罩+</w:t>
                  </w:r>
                  <w:r>
                    <w:rPr>
                      <w:rFonts w:hint="default" w:ascii="Times New Roman" w:hAnsi="Times New Roman" w:cs="Times New Roman"/>
                      <w:color w:val="auto"/>
                      <w:sz w:val="21"/>
                      <w:szCs w:val="21"/>
                      <w:highlight w:val="none"/>
                      <w:lang w:val="en-US" w:eastAsia="zh-CN"/>
                    </w:rPr>
                    <w:t>活性炭吸附</w:t>
                  </w:r>
                  <w:r>
                    <w:rPr>
                      <w:rFonts w:hint="eastAsia" w:ascii="Times New Roman" w:hAnsi="Times New Roman" w:cs="Times New Roman"/>
                      <w:color w:val="auto"/>
                      <w:sz w:val="21"/>
                      <w:szCs w:val="21"/>
                      <w:highlight w:val="none"/>
                      <w:lang w:val="en-US" w:eastAsia="zh-CN"/>
                    </w:rPr>
                    <w:t>装置</w:t>
                  </w:r>
                  <w:r>
                    <w:rPr>
                      <w:rFonts w:hint="default" w:ascii="Times New Roman" w:hAnsi="Times New Roman" w:cs="Times New Roman"/>
                      <w:color w:val="auto"/>
                      <w:sz w:val="21"/>
                      <w:szCs w:val="21"/>
                      <w:highlight w:val="none"/>
                    </w:rPr>
                    <w:t>+</w:t>
                  </w:r>
                  <w:r>
                    <w:rPr>
                      <w:rFonts w:hint="eastAsia" w:ascii="Times New Roman" w:hAnsi="Times New Roman" w:cs="Times New Roman"/>
                      <w:snapToGrid w:val="0"/>
                      <w:color w:val="auto"/>
                      <w:sz w:val="21"/>
                      <w:szCs w:val="21"/>
                      <w:highlight w:val="none"/>
                      <w:lang w:val="en-US" w:eastAsia="zh-CN"/>
                    </w:rPr>
                    <w:t>15</w:t>
                  </w:r>
                  <w:r>
                    <w:rPr>
                      <w:rFonts w:hint="default" w:ascii="Times New Roman" w:hAnsi="Times New Roman" w:cs="Times New Roman"/>
                      <w:snapToGrid w:val="0"/>
                      <w:color w:val="auto"/>
                      <w:sz w:val="21"/>
                      <w:szCs w:val="21"/>
                      <w:highlight w:val="none"/>
                    </w:rPr>
                    <w:t>m排气筒排放</w:t>
                  </w:r>
                  <w:r>
                    <w:rPr>
                      <w:rFonts w:hint="default" w:ascii="Times New Roman" w:hAnsi="Times New Roman" w:cs="Times New Roman"/>
                      <w:snapToGrid w:val="0"/>
                      <w:color w:val="auto"/>
                      <w:sz w:val="21"/>
                      <w:szCs w:val="21"/>
                      <w:highlight w:val="none"/>
                      <w:lang w:eastAsia="zh-CN"/>
                    </w:rPr>
                    <w:t>（</w:t>
                  </w:r>
                  <w:r>
                    <w:rPr>
                      <w:rFonts w:hint="default" w:ascii="Times New Roman" w:hAnsi="Times New Roman" w:cs="Times New Roman"/>
                      <w:snapToGrid w:val="0"/>
                      <w:color w:val="auto"/>
                      <w:sz w:val="21"/>
                      <w:szCs w:val="21"/>
                      <w:highlight w:val="none"/>
                      <w:lang w:val="en-US" w:eastAsia="zh-CN"/>
                    </w:rPr>
                    <w:t>DA00</w:t>
                  </w:r>
                  <w:r>
                    <w:rPr>
                      <w:rFonts w:hint="eastAsia" w:ascii="Times New Roman" w:hAnsi="Times New Roman" w:cs="Times New Roman"/>
                      <w:snapToGrid w:val="0"/>
                      <w:color w:val="auto"/>
                      <w:sz w:val="21"/>
                      <w:szCs w:val="21"/>
                      <w:highlight w:val="none"/>
                      <w:lang w:val="en-US" w:eastAsia="zh-CN"/>
                    </w:rPr>
                    <w:t>3</w:t>
                  </w:r>
                  <w:r>
                    <w:rPr>
                      <w:rFonts w:hint="default"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b/>
                      <w:bCs/>
                      <w:color w:val="auto"/>
                      <w:spacing w:val="0"/>
                      <w:sz w:val="21"/>
                      <w:szCs w:val="21"/>
                      <w:highlight w:val="none"/>
                      <w:lang w:val="en-US" w:eastAsia="zh-CN"/>
                    </w:rPr>
                    <w:t xml:space="preserve">  </w:t>
                  </w:r>
                </w:p>
                <w:p w14:paraId="37810323">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10#生产车间天然气燃烧废气：</w:t>
                  </w:r>
                  <w:r>
                    <w:rPr>
                      <w:rFonts w:hint="eastAsia" w:ascii="Times New Roman" w:hAnsi="Times New Roman" w:cs="Times New Roman"/>
                      <w:b w:val="0"/>
                      <w:bCs w:val="0"/>
                      <w:color w:val="auto"/>
                      <w:kern w:val="2"/>
                      <w:sz w:val="21"/>
                      <w:szCs w:val="21"/>
                      <w:highlight w:val="none"/>
                      <w:lang w:val="en-US" w:eastAsia="zh-CN" w:bidi="ar-SA"/>
                    </w:rPr>
                    <w:t>低氮燃烧装置</w:t>
                  </w:r>
                  <w:r>
                    <w:rPr>
                      <w:rFonts w:hint="eastAsia" w:ascii="Times New Roman" w:hAnsi="Times New Roman" w:cs="Times New Roman"/>
                      <w:b/>
                      <w:bCs/>
                      <w:color w:val="auto"/>
                      <w:kern w:val="2"/>
                      <w:sz w:val="21"/>
                      <w:szCs w:val="21"/>
                      <w:highlight w:val="none"/>
                      <w:lang w:val="en-US" w:eastAsia="zh-CN" w:bidi="ar-SA"/>
                    </w:rPr>
                    <w:t>+</w:t>
                  </w:r>
                  <w:r>
                    <w:rPr>
                      <w:rFonts w:hint="eastAsia" w:ascii="Times New Roman" w:hAnsi="Times New Roman" w:cs="Times New Roman"/>
                      <w:b w:val="0"/>
                      <w:bCs w:val="0"/>
                      <w:color w:val="auto"/>
                      <w:kern w:val="2"/>
                      <w:sz w:val="21"/>
                      <w:szCs w:val="21"/>
                      <w:highlight w:val="none"/>
                      <w:lang w:val="en-US" w:eastAsia="zh-CN" w:bidi="ar-SA"/>
                    </w:rPr>
                    <w:t>17m排气筒排放（DA007）;</w:t>
                  </w:r>
                </w:p>
                <w:p w14:paraId="2D4BD03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default" w:ascii="Times New Roman" w:hAnsi="Times New Roman" w:eastAsia="宋体" w:cs="Times New Roman"/>
                      <w:b/>
                      <w:bCs/>
                      <w:color w:val="auto"/>
                      <w:spacing w:val="0"/>
                      <w:sz w:val="21"/>
                      <w:szCs w:val="21"/>
                      <w:highlight w:val="none"/>
                      <w:lang w:val="en-US" w:eastAsia="zh-CN"/>
                    </w:rPr>
                  </w:pPr>
                  <w:r>
                    <w:rPr>
                      <w:rFonts w:hint="eastAsia" w:cs="Times New Roman"/>
                      <w:b/>
                      <w:bCs/>
                      <w:color w:val="auto"/>
                      <w:spacing w:val="0"/>
                      <w:sz w:val="21"/>
                      <w:szCs w:val="21"/>
                      <w:highlight w:val="none"/>
                      <w:lang w:val="en-US" w:eastAsia="zh-CN"/>
                    </w:rPr>
                    <w:t xml:space="preserve">     污水处理站恶臭：密闭收集+</w:t>
                  </w:r>
                  <w:r>
                    <w:rPr>
                      <w:rFonts w:hint="eastAsia" w:ascii="Times New Roman" w:hAnsi="Times New Roman" w:eastAsia="宋体" w:cs="Times New Roman"/>
                      <w:color w:val="000000"/>
                      <w:szCs w:val="21"/>
                      <w:highlight w:val="none"/>
                      <w:lang w:eastAsia="zh-CN"/>
                    </w:rPr>
                    <w:t>活性炭吸附装置</w:t>
                  </w:r>
                  <w:r>
                    <w:rPr>
                      <w:rFonts w:hint="eastAsia" w:ascii="Times New Roman" w:hAnsi="Times New Roman" w:eastAsia="宋体" w:cs="Times New Roman"/>
                      <w:color w:val="000000"/>
                      <w:szCs w:val="21"/>
                      <w:highlight w:val="none"/>
                      <w:lang w:val="en-US" w:eastAsia="zh-CN"/>
                    </w:rPr>
                    <w:t>+</w:t>
                  </w:r>
                  <w:r>
                    <w:rPr>
                      <w:rFonts w:hint="eastAsia" w:cs="Times New Roman"/>
                      <w:color w:val="000000"/>
                      <w:szCs w:val="21"/>
                      <w:highlight w:val="none"/>
                      <w:lang w:val="en-US" w:eastAsia="zh-CN"/>
                    </w:rPr>
                    <w:t>15</w:t>
                  </w:r>
                  <w:r>
                    <w:rPr>
                      <w:rFonts w:hint="eastAsia" w:ascii="Times New Roman" w:hAnsi="Times New Roman" w:eastAsia="宋体" w:cs="Times New Roman"/>
                      <w:color w:val="000000"/>
                      <w:szCs w:val="21"/>
                      <w:highlight w:val="none"/>
                      <w:lang w:val="en-US" w:eastAsia="zh-CN"/>
                    </w:rPr>
                    <w:t>m排气筒</w:t>
                  </w:r>
                  <w:r>
                    <w:rPr>
                      <w:rFonts w:hint="eastAsia" w:ascii="Times New Roman" w:hAnsi="Times New Roman" w:cs="Times New Roman"/>
                      <w:b w:val="0"/>
                      <w:bCs w:val="0"/>
                      <w:color w:val="auto"/>
                      <w:kern w:val="2"/>
                      <w:sz w:val="21"/>
                      <w:szCs w:val="21"/>
                      <w:highlight w:val="none"/>
                      <w:lang w:val="en-US" w:eastAsia="zh-CN" w:bidi="ar-SA"/>
                    </w:rPr>
                    <w:t>（DA00</w:t>
                  </w:r>
                  <w:r>
                    <w:rPr>
                      <w:rFonts w:hint="eastAsia" w:cs="Times New Roman"/>
                      <w:b w:val="0"/>
                      <w:bCs w:val="0"/>
                      <w:color w:val="auto"/>
                      <w:kern w:val="2"/>
                      <w:sz w:val="21"/>
                      <w:szCs w:val="21"/>
                      <w:highlight w:val="none"/>
                      <w:lang w:val="en-US" w:eastAsia="zh-CN" w:bidi="ar-SA"/>
                    </w:rPr>
                    <w:t>8</w:t>
                  </w:r>
                  <w:r>
                    <w:rPr>
                      <w:rFonts w:hint="eastAsia" w:ascii="Times New Roman" w:hAnsi="Times New Roman" w:cs="Times New Roman"/>
                      <w:b w:val="0"/>
                      <w:bCs w:val="0"/>
                      <w:color w:val="auto"/>
                      <w:kern w:val="2"/>
                      <w:sz w:val="21"/>
                      <w:szCs w:val="21"/>
                      <w:highlight w:val="none"/>
                      <w:lang w:val="en-US" w:eastAsia="zh-CN" w:bidi="ar-SA"/>
                    </w:rPr>
                    <w:t>）。</w:t>
                  </w:r>
                </w:p>
                <w:p w14:paraId="103FFF4B">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b/>
                      <w:bCs/>
                      <w:color w:val="auto"/>
                      <w:spacing w:val="0"/>
                      <w:sz w:val="21"/>
                      <w:szCs w:val="21"/>
                      <w:highlight w:val="none"/>
                      <w:lang w:val="en-US" w:eastAsia="zh-CN"/>
                    </w:rPr>
                    <w:t xml:space="preserve">    </w:t>
                  </w:r>
                  <w:r>
                    <w:rPr>
                      <w:rFonts w:hint="default" w:ascii="Times New Roman" w:hAnsi="Times New Roman" w:eastAsia="宋体" w:cs="Times New Roman"/>
                      <w:b/>
                      <w:bCs/>
                      <w:color w:val="auto"/>
                      <w:spacing w:val="0"/>
                      <w:sz w:val="21"/>
                      <w:szCs w:val="21"/>
                      <w:highlight w:val="none"/>
                      <w:lang w:val="en-US" w:eastAsia="zh-CN"/>
                    </w:rPr>
                    <w:t>无组织废气</w:t>
                  </w:r>
                  <w:r>
                    <w:rPr>
                      <w:rFonts w:hint="default" w:ascii="Times New Roman" w:hAnsi="Times New Roman" w:eastAsia="宋体" w:cs="Times New Roman"/>
                      <w:color w:val="auto"/>
                      <w:spacing w:val="0"/>
                      <w:sz w:val="21"/>
                      <w:szCs w:val="21"/>
                      <w:highlight w:val="none"/>
                      <w:lang w:val="en-US" w:eastAsia="zh-CN"/>
                    </w:rPr>
                    <w:t>：</w:t>
                  </w:r>
                  <w:r>
                    <w:rPr>
                      <w:rFonts w:hint="default" w:ascii="Times New Roman" w:hAnsi="Times New Roman" w:eastAsia="宋体" w:cs="Times New Roman"/>
                      <w:b w:val="0"/>
                      <w:bCs w:val="0"/>
                      <w:color w:val="auto"/>
                      <w:sz w:val="21"/>
                      <w:szCs w:val="21"/>
                      <w:highlight w:val="none"/>
                      <w:vertAlign w:val="baseline"/>
                      <w:lang w:val="en-US" w:eastAsia="zh-CN" w:bidi="zh-CN"/>
                    </w:rPr>
                    <w:t>车间密闭、加强通风</w:t>
                  </w:r>
                  <w:r>
                    <w:rPr>
                      <w:rFonts w:hint="eastAsia" w:cs="Times New Roman"/>
                      <w:b w:val="0"/>
                      <w:bCs w:val="0"/>
                      <w:color w:val="auto"/>
                      <w:sz w:val="21"/>
                      <w:szCs w:val="21"/>
                      <w:highlight w:val="none"/>
                      <w:vertAlign w:val="baseline"/>
                      <w:lang w:val="en-US" w:eastAsia="zh-CN" w:bidi="zh-CN"/>
                    </w:rPr>
                    <w:t>，污水处理站池体密闭，加强绿化</w:t>
                  </w:r>
                  <w:r>
                    <w:rPr>
                      <w:rFonts w:hint="default" w:ascii="Times New Roman" w:hAnsi="Times New Roman" w:eastAsia="宋体" w:cs="Times New Roman"/>
                      <w:b w:val="0"/>
                      <w:bCs w:val="0"/>
                      <w:color w:val="auto"/>
                      <w:sz w:val="21"/>
                      <w:szCs w:val="21"/>
                      <w:highlight w:val="none"/>
                      <w:vertAlign w:val="baseline"/>
                      <w:lang w:val="en-US" w:eastAsia="zh-CN" w:bidi="zh-CN"/>
                    </w:rPr>
                    <w:t>。</w:t>
                  </w:r>
                </w:p>
              </w:tc>
              <w:tc>
                <w:tcPr>
                  <w:tcW w:w="311" w:type="pct"/>
                  <w:tcBorders>
                    <w:tl2br w:val="nil"/>
                    <w:tr2bl w:val="nil"/>
                  </w:tcBorders>
                  <w:noWrap w:val="0"/>
                  <w:vAlign w:val="center"/>
                </w:tcPr>
                <w:p w14:paraId="27A8C7C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w:t>
                  </w:r>
                </w:p>
              </w:tc>
            </w:tr>
            <w:tr w14:paraId="276DD2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7" w:type="pct"/>
                  <w:vMerge w:val="continue"/>
                  <w:tcBorders>
                    <w:tl2br w:val="nil"/>
                    <w:tr2bl w:val="nil"/>
                  </w:tcBorders>
                  <w:noWrap w:val="0"/>
                  <w:vAlign w:val="center"/>
                </w:tcPr>
                <w:p w14:paraId="4517749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pacing w:val="0"/>
                      <w:kern w:val="0"/>
                      <w:sz w:val="21"/>
                      <w:szCs w:val="21"/>
                      <w:highlight w:val="none"/>
                    </w:rPr>
                  </w:pPr>
                </w:p>
              </w:tc>
              <w:tc>
                <w:tcPr>
                  <w:tcW w:w="858" w:type="pct"/>
                  <w:tcBorders>
                    <w:tl2br w:val="nil"/>
                    <w:tr2bl w:val="nil"/>
                  </w:tcBorders>
                  <w:noWrap w:val="0"/>
                  <w:vAlign w:val="center"/>
                </w:tcPr>
                <w:p w14:paraId="78DB205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废水</w:t>
                  </w:r>
                </w:p>
              </w:tc>
              <w:tc>
                <w:tcPr>
                  <w:tcW w:w="3592" w:type="pct"/>
                  <w:tcBorders>
                    <w:tl2br w:val="nil"/>
                    <w:tr2bl w:val="nil"/>
                  </w:tcBorders>
                  <w:noWrap w:val="0"/>
                  <w:vAlign w:val="center"/>
                </w:tcPr>
                <w:p w14:paraId="4222593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cs="Times New Roman"/>
                      <w:color w:val="auto"/>
                      <w:spacing w:val="0"/>
                      <w:sz w:val="21"/>
                      <w:szCs w:val="21"/>
                      <w:highlight w:val="none"/>
                      <w:lang w:val="en-US" w:eastAsia="zh-CN"/>
                    </w:rPr>
                    <w:t xml:space="preserve">    项目</w:t>
                  </w:r>
                  <w:r>
                    <w:rPr>
                      <w:rFonts w:hint="eastAsia" w:cs="Times New Roman"/>
                      <w:color w:val="auto"/>
                      <w:spacing w:val="0"/>
                      <w:sz w:val="21"/>
                      <w:szCs w:val="21"/>
                      <w:highlight w:val="none"/>
                      <w:lang w:val="en-US" w:eastAsia="zh-CN"/>
                    </w:rPr>
                    <w:t>生产废水</w:t>
                  </w:r>
                  <w:r>
                    <w:rPr>
                      <w:rFonts w:hint="default" w:ascii="Times New Roman" w:hAnsi="Times New Roman" w:cs="Times New Roman"/>
                      <w:color w:val="auto"/>
                      <w:spacing w:val="0"/>
                      <w:sz w:val="21"/>
                      <w:szCs w:val="21"/>
                      <w:highlight w:val="none"/>
                      <w:lang w:val="en-US" w:eastAsia="zh-CN"/>
                    </w:rPr>
                    <w:t>经厂区污水处理</w:t>
                  </w:r>
                  <w:r>
                    <w:rPr>
                      <w:rFonts w:hint="eastAsia" w:cs="Times New Roman"/>
                      <w:color w:val="auto"/>
                      <w:spacing w:val="0"/>
                      <w:sz w:val="21"/>
                      <w:szCs w:val="21"/>
                      <w:highlight w:val="none"/>
                      <w:lang w:val="en-US" w:eastAsia="zh-CN"/>
                    </w:rPr>
                    <w:t>站采用</w:t>
                  </w:r>
                  <w:r>
                    <w:rPr>
                      <w:rFonts w:hint="default" w:ascii="Times New Roman" w:hAnsi="Times New Roman" w:cs="Times New Roman"/>
                      <w:color w:val="auto"/>
                      <w:spacing w:val="0"/>
                      <w:sz w:val="21"/>
                      <w:szCs w:val="21"/>
                      <w:highlight w:val="none"/>
                      <w:lang w:val="en-US" w:eastAsia="zh-CN"/>
                    </w:rPr>
                    <w:t>“</w:t>
                  </w:r>
                  <w:r>
                    <w:rPr>
                      <w:rFonts w:hint="eastAsia" w:cs="Times New Roman"/>
                      <w:color w:val="auto"/>
                      <w:spacing w:val="0"/>
                      <w:sz w:val="21"/>
                      <w:szCs w:val="21"/>
                      <w:highlight w:val="none"/>
                      <w:lang w:val="en-US" w:eastAsia="zh-CN"/>
                    </w:rPr>
                    <w:t>格栅+沉淀+调节+破乳+絮凝+气浮+A/O+沉淀</w:t>
                  </w:r>
                  <w:r>
                    <w:rPr>
                      <w:rFonts w:hint="default" w:ascii="Times New Roman" w:hAnsi="Times New Roman" w:cs="Times New Roman"/>
                      <w:color w:val="auto"/>
                      <w:spacing w:val="0"/>
                      <w:sz w:val="21"/>
                      <w:szCs w:val="21"/>
                      <w:highlight w:val="none"/>
                      <w:lang w:val="en-US" w:eastAsia="zh-CN"/>
                    </w:rPr>
                    <w:t>”</w:t>
                  </w:r>
                  <w:r>
                    <w:rPr>
                      <w:rFonts w:hint="eastAsia" w:cs="Times New Roman"/>
                      <w:color w:val="auto"/>
                      <w:spacing w:val="0"/>
                      <w:sz w:val="21"/>
                      <w:szCs w:val="21"/>
                      <w:highlight w:val="none"/>
                      <w:lang w:val="en-US" w:eastAsia="zh-CN"/>
                    </w:rPr>
                    <w:t>处理工艺，处理后</w:t>
                  </w:r>
                  <w:r>
                    <w:rPr>
                      <w:rFonts w:hint="default" w:ascii="Times New Roman" w:hAnsi="Times New Roman" w:cs="Times New Roman"/>
                      <w:color w:val="auto"/>
                      <w:spacing w:val="0"/>
                      <w:sz w:val="21"/>
                      <w:szCs w:val="21"/>
                      <w:highlight w:val="none"/>
                      <w:lang w:val="en-US" w:eastAsia="zh-CN"/>
                    </w:rPr>
                    <w:t>达到《污水综合排放标准》（GB8978-1996）表4三级标准，同时满足魏县经济开发区污水处理有限公司进水水质要求后排入魏县经济开发区污水处理有限公司深度处理</w:t>
                  </w:r>
                  <w:r>
                    <w:rPr>
                      <w:rFonts w:hint="eastAsia" w:cs="Times New Roman"/>
                      <w:color w:val="auto"/>
                      <w:spacing w:val="0"/>
                      <w:sz w:val="21"/>
                      <w:szCs w:val="21"/>
                      <w:highlight w:val="none"/>
                      <w:lang w:val="en-US" w:eastAsia="zh-CN"/>
                    </w:rPr>
                    <w:t>；生活废水</w:t>
                  </w:r>
                  <w:r>
                    <w:rPr>
                      <w:rFonts w:hint="default" w:ascii="Times New Roman" w:hAnsi="Times New Roman" w:cs="Times New Roman"/>
                      <w:color w:val="auto"/>
                      <w:spacing w:val="0"/>
                      <w:sz w:val="21"/>
                      <w:szCs w:val="21"/>
                      <w:highlight w:val="none"/>
                      <w:lang w:val="en-US" w:eastAsia="zh-CN"/>
                    </w:rPr>
                    <w:t>，经化粪池处理后排入园区污水管网，最终进入污水处理厂集中处理。</w:t>
                  </w:r>
                </w:p>
              </w:tc>
              <w:tc>
                <w:tcPr>
                  <w:tcW w:w="311" w:type="pct"/>
                  <w:tcBorders>
                    <w:tl2br w:val="nil"/>
                    <w:tr2bl w:val="nil"/>
                  </w:tcBorders>
                  <w:noWrap w:val="0"/>
                  <w:vAlign w:val="center"/>
                </w:tcPr>
                <w:p w14:paraId="5096878F">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eastAsia="zh-CN"/>
                    </w:rPr>
                  </w:pPr>
                  <w:r>
                    <w:rPr>
                      <w:rFonts w:hint="eastAsia" w:cs="Times New Roman"/>
                      <w:color w:val="auto"/>
                      <w:spacing w:val="0"/>
                      <w:sz w:val="21"/>
                      <w:szCs w:val="21"/>
                      <w:highlight w:val="none"/>
                      <w:lang w:val="en-US" w:eastAsia="zh-CN"/>
                    </w:rPr>
                    <w:t>/</w:t>
                  </w:r>
                </w:p>
              </w:tc>
            </w:tr>
            <w:tr w14:paraId="6BAEE5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7" w:type="pct"/>
                  <w:vMerge w:val="continue"/>
                  <w:tcBorders>
                    <w:tl2br w:val="nil"/>
                    <w:tr2bl w:val="nil"/>
                  </w:tcBorders>
                  <w:noWrap w:val="0"/>
                  <w:vAlign w:val="center"/>
                </w:tcPr>
                <w:p w14:paraId="7CDC94F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pacing w:val="0"/>
                      <w:kern w:val="0"/>
                      <w:sz w:val="21"/>
                      <w:szCs w:val="21"/>
                      <w:highlight w:val="none"/>
                    </w:rPr>
                  </w:pPr>
                </w:p>
              </w:tc>
              <w:tc>
                <w:tcPr>
                  <w:tcW w:w="858" w:type="pct"/>
                  <w:tcBorders>
                    <w:tl2br w:val="nil"/>
                    <w:tr2bl w:val="nil"/>
                  </w:tcBorders>
                  <w:noWrap w:val="0"/>
                  <w:vAlign w:val="center"/>
                </w:tcPr>
                <w:p w14:paraId="03AE1D57">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噪声</w:t>
                  </w:r>
                </w:p>
              </w:tc>
              <w:tc>
                <w:tcPr>
                  <w:tcW w:w="3592" w:type="pct"/>
                  <w:tcBorders>
                    <w:tl2br w:val="nil"/>
                    <w:tr2bl w:val="nil"/>
                  </w:tcBorders>
                  <w:noWrap w:val="0"/>
                  <w:vAlign w:val="center"/>
                </w:tcPr>
                <w:p w14:paraId="34F1F89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kern w:val="0"/>
                      <w:sz w:val="21"/>
                      <w:szCs w:val="21"/>
                      <w:highlight w:val="none"/>
                      <w:lang w:eastAsia="zh-CN"/>
                    </w:rPr>
                    <w:t>选用</w:t>
                  </w:r>
                  <w:r>
                    <w:rPr>
                      <w:rFonts w:hint="default" w:ascii="Times New Roman" w:hAnsi="Times New Roman" w:eastAsia="宋体" w:cs="Times New Roman"/>
                      <w:color w:val="auto"/>
                      <w:spacing w:val="0"/>
                      <w:kern w:val="0"/>
                      <w:sz w:val="21"/>
                      <w:szCs w:val="21"/>
                      <w:highlight w:val="none"/>
                    </w:rPr>
                    <w:t>低噪声设备</w:t>
                  </w:r>
                  <w:r>
                    <w:rPr>
                      <w:rFonts w:hint="default" w:ascii="Times New Roman" w:hAnsi="Times New Roman" w:cs="Times New Roman"/>
                      <w:color w:val="auto"/>
                      <w:spacing w:val="0"/>
                      <w:kern w:val="0"/>
                      <w:sz w:val="21"/>
                      <w:szCs w:val="21"/>
                      <w:highlight w:val="none"/>
                      <w:lang w:eastAsia="zh-CN"/>
                    </w:rPr>
                    <w:t>，采用</w:t>
                  </w:r>
                  <w:r>
                    <w:rPr>
                      <w:rFonts w:hint="default" w:ascii="Times New Roman" w:hAnsi="Times New Roman" w:eastAsia="宋体" w:cs="Times New Roman"/>
                      <w:color w:val="auto"/>
                      <w:spacing w:val="0"/>
                      <w:kern w:val="0"/>
                      <w:sz w:val="21"/>
                      <w:szCs w:val="21"/>
                      <w:highlight w:val="none"/>
                    </w:rPr>
                    <w:t>基础减振、厂房隔声、距离衰减</w:t>
                  </w:r>
                  <w:r>
                    <w:rPr>
                      <w:rFonts w:hint="default" w:ascii="Times New Roman" w:hAnsi="Times New Roman" w:cs="Times New Roman"/>
                      <w:color w:val="auto"/>
                      <w:spacing w:val="0"/>
                      <w:kern w:val="0"/>
                      <w:sz w:val="21"/>
                      <w:szCs w:val="21"/>
                      <w:highlight w:val="none"/>
                      <w:lang w:eastAsia="zh-CN"/>
                    </w:rPr>
                    <w:t>等</w:t>
                  </w:r>
                </w:p>
              </w:tc>
              <w:tc>
                <w:tcPr>
                  <w:tcW w:w="311" w:type="pct"/>
                  <w:tcBorders>
                    <w:tl2br w:val="nil"/>
                    <w:tr2bl w:val="nil"/>
                  </w:tcBorders>
                  <w:noWrap w:val="0"/>
                  <w:vAlign w:val="center"/>
                </w:tcPr>
                <w:p w14:paraId="3BBC598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sz w:val="21"/>
                      <w:szCs w:val="21"/>
                      <w:highlight w:val="none"/>
                      <w:lang w:val="en-US" w:eastAsia="zh-CN"/>
                    </w:rPr>
                    <w:t>/</w:t>
                  </w:r>
                </w:p>
              </w:tc>
            </w:tr>
            <w:tr w14:paraId="5A17C2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237" w:type="pct"/>
                  <w:vMerge w:val="continue"/>
                  <w:tcBorders>
                    <w:tl2br w:val="nil"/>
                    <w:tr2bl w:val="nil"/>
                  </w:tcBorders>
                  <w:noWrap w:val="0"/>
                  <w:vAlign w:val="center"/>
                </w:tcPr>
                <w:p w14:paraId="5D16822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pacing w:val="0"/>
                      <w:kern w:val="0"/>
                      <w:sz w:val="21"/>
                      <w:szCs w:val="21"/>
                      <w:highlight w:val="none"/>
                    </w:rPr>
                  </w:pPr>
                </w:p>
              </w:tc>
              <w:tc>
                <w:tcPr>
                  <w:tcW w:w="858" w:type="pct"/>
                  <w:vMerge w:val="restart"/>
                  <w:tcBorders>
                    <w:tl2br w:val="nil"/>
                    <w:tr2bl w:val="nil"/>
                  </w:tcBorders>
                  <w:noWrap w:val="0"/>
                  <w:vAlign w:val="center"/>
                </w:tcPr>
                <w:p w14:paraId="7B83057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固体废物</w:t>
                  </w:r>
                </w:p>
              </w:tc>
              <w:tc>
                <w:tcPr>
                  <w:tcW w:w="3592" w:type="pct"/>
                  <w:tcBorders>
                    <w:tl2br w:val="nil"/>
                    <w:tr2bl w:val="nil"/>
                  </w:tcBorders>
                  <w:noWrap w:val="0"/>
                  <w:vAlign w:val="center"/>
                </w:tcPr>
                <w:p w14:paraId="482FB8F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firstLineChars="200"/>
                    <w:jc w:val="left"/>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cs="Times New Roman"/>
                      <w:color w:val="auto"/>
                      <w:spacing w:val="0"/>
                      <w:sz w:val="21"/>
                      <w:szCs w:val="21"/>
                      <w:highlight w:val="none"/>
                      <w:lang w:eastAsia="zh-CN"/>
                    </w:rPr>
                    <w:t>生活垃圾：收集后定期交由环卫部门统一处理</w:t>
                  </w:r>
                </w:p>
              </w:tc>
              <w:tc>
                <w:tcPr>
                  <w:tcW w:w="311" w:type="pct"/>
                  <w:tcBorders>
                    <w:tl2br w:val="nil"/>
                    <w:tr2bl w:val="nil"/>
                  </w:tcBorders>
                  <w:noWrap w:val="0"/>
                  <w:vAlign w:val="center"/>
                </w:tcPr>
                <w:p w14:paraId="70DB13F3">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w:t>
                  </w:r>
                </w:p>
              </w:tc>
            </w:tr>
            <w:tr w14:paraId="715F8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7" w:type="pct"/>
                  <w:vMerge w:val="continue"/>
                  <w:tcBorders>
                    <w:tl2br w:val="nil"/>
                    <w:tr2bl w:val="nil"/>
                  </w:tcBorders>
                  <w:noWrap w:val="0"/>
                  <w:vAlign w:val="center"/>
                </w:tcPr>
                <w:p w14:paraId="6EDF7F3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highlight w:val="none"/>
                    </w:rPr>
                  </w:pPr>
                </w:p>
              </w:tc>
              <w:tc>
                <w:tcPr>
                  <w:tcW w:w="858" w:type="pct"/>
                  <w:vMerge w:val="continue"/>
                  <w:tcBorders>
                    <w:tl2br w:val="nil"/>
                    <w:tr2bl w:val="nil"/>
                  </w:tcBorders>
                  <w:noWrap w:val="0"/>
                  <w:vAlign w:val="center"/>
                </w:tcPr>
                <w:p w14:paraId="17C4C6A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highlight w:val="none"/>
                    </w:rPr>
                  </w:pPr>
                </w:p>
              </w:tc>
              <w:tc>
                <w:tcPr>
                  <w:tcW w:w="3592" w:type="pct"/>
                  <w:tcBorders>
                    <w:tl2br w:val="nil"/>
                    <w:tr2bl w:val="nil"/>
                  </w:tcBorders>
                  <w:noWrap w:val="0"/>
                  <w:vAlign w:val="center"/>
                </w:tcPr>
                <w:p w14:paraId="7AB0A4D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firstLineChars="200"/>
                    <w:jc w:val="both"/>
                    <w:textAlignment w:val="auto"/>
                    <w:rPr>
                      <w:rFonts w:hint="default" w:ascii="Times New Roman" w:hAnsi="Times New Roman"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lang w:eastAsia="zh-CN"/>
                    </w:rPr>
                    <w:t>一般工业固体废物：</w:t>
                  </w:r>
                  <w:r>
                    <w:rPr>
                      <w:rFonts w:hint="eastAsia" w:cs="Times New Roman"/>
                      <w:color w:val="auto"/>
                      <w:spacing w:val="0"/>
                      <w:sz w:val="21"/>
                      <w:szCs w:val="21"/>
                      <w:highlight w:val="none"/>
                      <w:lang w:eastAsia="zh-CN"/>
                    </w:rPr>
                    <w:t>软水制备离子交换产生的废树脂；包装工序废包装材料、浸泡清洗、卤制工序产生的废渣和检验工序不合格品；袋式除尘器除尘灰外售综合利用，污水处理站产生的污泥外运至垃圾填埋场填埋，职工生活垃圾委托环卫部门统一处置</w:t>
                  </w:r>
                  <w:r>
                    <w:rPr>
                      <w:rFonts w:hint="default" w:ascii="Times New Roman" w:hAnsi="Times New Roman" w:cs="Times New Roman"/>
                      <w:color w:val="auto"/>
                      <w:spacing w:val="0"/>
                      <w:sz w:val="21"/>
                      <w:szCs w:val="21"/>
                      <w:highlight w:val="none"/>
                      <w:lang w:eastAsia="zh-CN"/>
                    </w:rPr>
                    <w:t>。</w:t>
                  </w:r>
                </w:p>
                <w:p w14:paraId="0CC438A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firstLineChars="200"/>
                    <w:jc w:val="both"/>
                    <w:textAlignment w:val="auto"/>
                    <w:rPr>
                      <w:rFonts w:hint="default" w:ascii="Times New Roman" w:hAnsi="Times New Roman" w:cs="Times New Roman"/>
                      <w:color w:val="auto"/>
                      <w:spacing w:val="0"/>
                      <w:sz w:val="21"/>
                      <w:szCs w:val="21"/>
                      <w:highlight w:val="none"/>
                      <w:lang w:val="en-US" w:eastAsia="zh-CN"/>
                    </w:rPr>
                  </w:pPr>
                  <w:r>
                    <w:rPr>
                      <w:rFonts w:hint="eastAsia" w:cs="Times New Roman"/>
                      <w:color w:val="auto"/>
                      <w:spacing w:val="0"/>
                      <w:sz w:val="21"/>
                      <w:szCs w:val="21"/>
                      <w:highlight w:val="none"/>
                      <w:lang w:eastAsia="zh-CN"/>
                    </w:rPr>
                    <w:t>危险废物：卤制工序、污水处理站废气处理产生的废活性炭委托有资质单位统一处置。</w:t>
                  </w:r>
                </w:p>
              </w:tc>
              <w:tc>
                <w:tcPr>
                  <w:tcW w:w="311" w:type="pct"/>
                  <w:tcBorders>
                    <w:tl2br w:val="nil"/>
                    <w:tr2bl w:val="nil"/>
                  </w:tcBorders>
                  <w:noWrap w:val="0"/>
                  <w:vAlign w:val="center"/>
                </w:tcPr>
                <w:p w14:paraId="460B866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w:t>
                  </w:r>
                </w:p>
              </w:tc>
            </w:tr>
          </w:tbl>
          <w:p w14:paraId="53ED61C3">
            <w:pPr>
              <w:keepNext/>
              <w:keepLines w:val="0"/>
              <w:suppressLineNumbers w:val="0"/>
              <w:snapToGrid w:val="0"/>
              <w:spacing w:before="157" w:beforeLines="50" w:beforeAutospacing="0" w:after="0" w:afterLines="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（6）项目投资：项目总投资为</w:t>
            </w:r>
            <w:r>
              <w:rPr>
                <w:rFonts w:hint="eastAsia" w:cs="Times New Roman"/>
                <w:color w:val="000000" w:themeColor="text1"/>
                <w:sz w:val="24"/>
                <w:szCs w:val="24"/>
                <w:highlight w:val="none"/>
                <w:lang w:val="en-US" w:eastAsia="zh-CN"/>
                <w14:textFill>
                  <w14:solidFill>
                    <w14:schemeClr w14:val="tx1"/>
                  </w14:solidFill>
                </w14:textFill>
              </w:rPr>
              <w:t>19000</w:t>
            </w:r>
            <w:r>
              <w:rPr>
                <w:rFonts w:hint="default" w:ascii="Times New Roman" w:hAnsi="Times New Roman" w:eastAsia="宋体" w:cs="Times New Roman"/>
                <w:color w:val="000000" w:themeColor="text1"/>
                <w:sz w:val="24"/>
                <w:szCs w:val="24"/>
                <w:highlight w:val="none"/>
                <w14:textFill>
                  <w14:solidFill>
                    <w14:schemeClr w14:val="tx1"/>
                  </w14:solidFill>
                </w14:textFill>
              </w:rPr>
              <w:t>万元，其中环保投资</w:t>
            </w:r>
            <w:r>
              <w:rPr>
                <w:rFonts w:hint="eastAsia" w:cs="Times New Roman"/>
                <w:color w:val="000000" w:themeColor="text1"/>
                <w:sz w:val="24"/>
                <w:szCs w:val="24"/>
                <w:highlight w:val="none"/>
                <w:lang w:val="en-US" w:eastAsia="zh-CN"/>
                <w14:textFill>
                  <w14:solidFill>
                    <w14:schemeClr w14:val="tx1"/>
                  </w14:solidFill>
                </w14:textFill>
              </w:rPr>
              <w:t>60</w:t>
            </w:r>
            <w:r>
              <w:rPr>
                <w:rFonts w:hint="default" w:ascii="Times New Roman" w:hAnsi="Times New Roman" w:eastAsia="宋体" w:cs="Times New Roman"/>
                <w:color w:val="000000" w:themeColor="text1"/>
                <w:sz w:val="24"/>
                <w:szCs w:val="24"/>
                <w:highlight w:val="none"/>
                <w14:textFill>
                  <w14:solidFill>
                    <w14:schemeClr w14:val="tx1"/>
                  </w14:solidFill>
                </w14:textFill>
              </w:rPr>
              <w:t>万元，占总投资</w:t>
            </w:r>
            <w:r>
              <w:rPr>
                <w:rFonts w:hint="eastAsia" w:cs="Times New Roman"/>
                <w:color w:val="000000" w:themeColor="text1"/>
                <w:sz w:val="24"/>
                <w:szCs w:val="24"/>
                <w:highlight w:val="none"/>
                <w:lang w:val="en-US" w:eastAsia="zh-CN"/>
                <w14:textFill>
                  <w14:solidFill>
                    <w14:schemeClr w14:val="tx1"/>
                  </w14:solidFill>
                </w14:textFill>
              </w:rPr>
              <w:t>0.32</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79727612">
            <w:pPr>
              <w:keepNext w:val="0"/>
              <w:keepLines w:val="0"/>
              <w:suppressLineNumbers w:val="0"/>
              <w:spacing w:before="0" w:beforeAutospacing="0" w:after="0" w:afterAutospacing="0" w:line="480" w:lineRule="exact"/>
              <w:ind w:left="0" w:right="0" w:firstLine="482" w:firstLineChars="200"/>
              <w:rPr>
                <w:rFonts w:hint="default"/>
                <w:b/>
                <w:bCs/>
                <w:color w:val="000000" w:themeColor="text1"/>
                <w:sz w:val="24"/>
                <w:highlight w:val="none"/>
                <w14:textFill>
                  <w14:solidFill>
                    <w14:schemeClr w14:val="tx1"/>
                  </w14:solidFill>
                </w14:textFill>
              </w:rPr>
            </w:pPr>
            <w:r>
              <w:rPr>
                <w:rFonts w:hint="default"/>
                <w:b/>
                <w:bCs/>
                <w:color w:val="000000" w:themeColor="text1"/>
                <w:sz w:val="24"/>
                <w:highlight w:val="none"/>
                <w14:textFill>
                  <w14:solidFill>
                    <w14:schemeClr w14:val="tx1"/>
                  </w14:solidFill>
                </w14:textFill>
              </w:rPr>
              <w:t>2、主要产品及产能</w:t>
            </w:r>
          </w:p>
          <w:p w14:paraId="07459FA3">
            <w:pPr>
              <w:keepNext w:val="0"/>
              <w:keepLines w:val="0"/>
              <w:suppressLineNumbers w:val="0"/>
              <w:spacing w:before="0" w:beforeAutospacing="0" w:after="0" w:afterAutospacing="0" w:line="480" w:lineRule="exact"/>
              <w:ind w:left="0" w:right="0" w:firstLine="482"/>
              <w:rPr>
                <w:rFonts w:hint="default"/>
                <w:b w:val="0"/>
                <w:bCs w:val="0"/>
                <w:color w:val="000000" w:themeColor="text1"/>
                <w:sz w:val="24"/>
                <w:highlight w:val="none"/>
                <w14:textFill>
                  <w14:solidFill>
                    <w14:schemeClr w14:val="tx1"/>
                  </w14:solidFill>
                </w14:textFill>
              </w:rPr>
            </w:pPr>
            <w:r>
              <w:rPr>
                <w:rFonts w:hint="default"/>
                <w:b w:val="0"/>
                <w:bCs w:val="0"/>
                <w:color w:val="000000" w:themeColor="text1"/>
                <w:sz w:val="24"/>
                <w:highlight w:val="none"/>
                <w14:textFill>
                  <w14:solidFill>
                    <w14:schemeClr w14:val="tx1"/>
                  </w14:solidFill>
                </w14:textFill>
              </w:rPr>
              <w:t>产品方案及生产规模见表</w:t>
            </w:r>
            <w:r>
              <w:rPr>
                <w:rFonts w:hint="eastAsia"/>
                <w:b w:val="0"/>
                <w:bCs w:val="0"/>
                <w:color w:val="000000" w:themeColor="text1"/>
                <w:sz w:val="24"/>
                <w:highlight w:val="none"/>
                <w:lang w:val="en-US" w:eastAsia="zh-CN"/>
                <w14:textFill>
                  <w14:solidFill>
                    <w14:schemeClr w14:val="tx1"/>
                  </w14:solidFill>
                </w14:textFill>
              </w:rPr>
              <w:t>2-2</w:t>
            </w:r>
            <w:r>
              <w:rPr>
                <w:rFonts w:hint="default"/>
                <w:b w:val="0"/>
                <w:bCs w:val="0"/>
                <w:color w:val="000000" w:themeColor="text1"/>
                <w:sz w:val="24"/>
                <w:highlight w:val="none"/>
                <w14:textFill>
                  <w14:solidFill>
                    <w14:schemeClr w14:val="tx1"/>
                  </w14:solidFill>
                </w14:textFill>
              </w:rPr>
              <w:t>。</w:t>
            </w:r>
          </w:p>
          <w:p w14:paraId="09A8D713">
            <w:pPr>
              <w:pStyle w:val="5"/>
              <w:keepNext w:val="0"/>
              <w:keepLines w:val="0"/>
              <w:suppressLineNumbers w:val="0"/>
              <w:spacing w:before="0" w:beforeAutospacing="0" w:after="0" w:afterAutospacing="0" w:line="480" w:lineRule="exact"/>
              <w:ind w:left="0" w:right="0" w:firstLine="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表</w:t>
            </w:r>
            <w:r>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2</w:t>
            </w:r>
            <w:r>
              <w:rPr>
                <w:rFonts w:hint="eastAsia" w:ascii="Times New Roman" w:hAnsi="Times New Roman" w:cs="Times New Roman"/>
                <w:b/>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 xml:space="preserve"> </w:t>
            </w:r>
            <w:r>
              <w:rPr>
                <w:rFonts w:hint="eastAsia" w:ascii="Times New Roman" w:hAnsi="Times New Roman" w:cs="Times New Roman"/>
                <w:b/>
                <w:color w:val="000000" w:themeColor="text1"/>
                <w:kern w:val="2"/>
                <w:sz w:val="21"/>
                <w:szCs w:val="21"/>
                <w:highlight w:val="none"/>
                <w:lang w:val="en-US" w:eastAsia="zh-CN" w:bidi="ar-SA"/>
                <w14:textFill>
                  <w14:solidFill>
                    <w14:schemeClr w14:val="tx1"/>
                  </w14:solidFill>
                </w14:textFill>
              </w:rPr>
              <w:t xml:space="preserve"> </w:t>
            </w: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项目产品方案及生产规模一览表</w:t>
            </w:r>
          </w:p>
          <w:tbl>
            <w:tblPr>
              <w:tblStyle w:val="3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91"/>
              <w:gridCol w:w="1368"/>
              <w:gridCol w:w="1371"/>
              <w:gridCol w:w="1232"/>
              <w:gridCol w:w="799"/>
              <w:gridCol w:w="1368"/>
              <w:gridCol w:w="1654"/>
            </w:tblGrid>
            <w:tr w14:paraId="4A519B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61" w:type="pct"/>
                  <w:tcBorders>
                    <w:tl2br w:val="nil"/>
                    <w:tr2bl w:val="nil"/>
                  </w:tcBorders>
                  <w:shd w:val="clear" w:color="auto" w:fill="auto"/>
                  <w:noWrap/>
                  <w:vAlign w:val="center"/>
                </w:tcPr>
                <w:p w14:paraId="251DDB4E">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序号</w:t>
                  </w:r>
                </w:p>
              </w:tc>
              <w:tc>
                <w:tcPr>
                  <w:tcW w:w="1594" w:type="pct"/>
                  <w:gridSpan w:val="2"/>
                  <w:tcBorders>
                    <w:tl2br w:val="nil"/>
                    <w:tr2bl w:val="nil"/>
                  </w:tcBorders>
                  <w:shd w:val="clear" w:color="auto" w:fill="auto"/>
                  <w:noWrap/>
                  <w:vAlign w:val="center"/>
                </w:tcPr>
                <w:p w14:paraId="654C260D">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产品名称</w:t>
                  </w:r>
                </w:p>
              </w:tc>
              <w:tc>
                <w:tcPr>
                  <w:tcW w:w="717" w:type="pct"/>
                  <w:tcBorders>
                    <w:tl2br w:val="nil"/>
                    <w:tr2bl w:val="nil"/>
                  </w:tcBorders>
                  <w:shd w:val="clear" w:color="auto" w:fill="auto"/>
                  <w:noWrap/>
                  <w:vAlign w:val="center"/>
                </w:tcPr>
                <w:p w14:paraId="200DBA1A">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生产能力</w:t>
                  </w:r>
                </w:p>
              </w:tc>
              <w:tc>
                <w:tcPr>
                  <w:tcW w:w="465" w:type="pct"/>
                  <w:tcBorders>
                    <w:tl2br w:val="nil"/>
                    <w:tr2bl w:val="nil"/>
                  </w:tcBorders>
                  <w:shd w:val="clear" w:color="auto" w:fill="auto"/>
                  <w:noWrap/>
                  <w:vAlign w:val="center"/>
                </w:tcPr>
                <w:p w14:paraId="46E9D29E">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单位</w:t>
                  </w:r>
                </w:p>
              </w:tc>
              <w:tc>
                <w:tcPr>
                  <w:tcW w:w="796" w:type="pct"/>
                  <w:tcBorders>
                    <w:tl2br w:val="nil"/>
                    <w:tr2bl w:val="nil"/>
                  </w:tcBorders>
                  <w:shd w:val="clear" w:color="auto" w:fill="auto"/>
                  <w:noWrap/>
                  <w:vAlign w:val="center"/>
                </w:tcPr>
                <w:p w14:paraId="78FDDA77">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运行时间</w:t>
                  </w:r>
                </w:p>
              </w:tc>
              <w:tc>
                <w:tcPr>
                  <w:tcW w:w="963" w:type="pct"/>
                  <w:tcBorders>
                    <w:tl2br w:val="nil"/>
                    <w:tr2bl w:val="nil"/>
                  </w:tcBorders>
                  <w:shd w:val="clear" w:color="auto" w:fill="auto"/>
                  <w:noWrap/>
                  <w:vAlign w:val="center"/>
                </w:tcPr>
                <w:p w14:paraId="7B5B885C">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执行标准</w:t>
                  </w:r>
                </w:p>
              </w:tc>
            </w:tr>
            <w:tr w14:paraId="1FA6B0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1" w:type="pct"/>
                  <w:tcBorders>
                    <w:tl2br w:val="nil"/>
                    <w:tr2bl w:val="nil"/>
                  </w:tcBorders>
                  <w:shd w:val="clear" w:color="auto" w:fill="auto"/>
                  <w:noWrap/>
                  <w:vAlign w:val="center"/>
                </w:tcPr>
                <w:p w14:paraId="25A4876E">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796" w:type="pct"/>
                  <w:vMerge w:val="restart"/>
                  <w:tcBorders>
                    <w:tl2br w:val="nil"/>
                    <w:tr2bl w:val="nil"/>
                  </w:tcBorders>
                  <w:shd w:val="clear" w:color="auto" w:fill="auto"/>
                  <w:noWrap/>
                  <w:vAlign w:val="center"/>
                </w:tcPr>
                <w:p w14:paraId="7F635A26">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面筋制品</w:t>
                  </w:r>
                </w:p>
              </w:tc>
              <w:tc>
                <w:tcPr>
                  <w:tcW w:w="798" w:type="pct"/>
                  <w:tcBorders>
                    <w:tl2br w:val="nil"/>
                    <w:tr2bl w:val="nil"/>
                  </w:tcBorders>
                  <w:shd w:val="clear" w:color="auto" w:fill="auto"/>
                  <w:noWrap/>
                  <w:vAlign w:val="center"/>
                </w:tcPr>
                <w:p w14:paraId="3DAE604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干面筋</w:t>
                  </w:r>
                </w:p>
              </w:tc>
              <w:tc>
                <w:tcPr>
                  <w:tcW w:w="717" w:type="pct"/>
                  <w:tcBorders>
                    <w:tl2br w:val="nil"/>
                    <w:tr2bl w:val="nil"/>
                  </w:tcBorders>
                  <w:shd w:val="clear" w:color="auto" w:fill="auto"/>
                  <w:noWrap/>
                  <w:vAlign w:val="center"/>
                </w:tcPr>
                <w:p w14:paraId="23025766">
                  <w:pPr>
                    <w:keepNext w:val="0"/>
                    <w:keepLines w:val="0"/>
                    <w:widowControl/>
                    <w:suppressLineNumbers w:val="0"/>
                    <w:spacing w:before="0" w:beforeAutospacing="0" w:after="0" w:afterAutospacing="0"/>
                    <w:ind w:left="0" w:right="0"/>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8000</w:t>
                  </w:r>
                </w:p>
              </w:tc>
              <w:tc>
                <w:tcPr>
                  <w:tcW w:w="465" w:type="pct"/>
                  <w:tcBorders>
                    <w:tl2br w:val="nil"/>
                    <w:tr2bl w:val="nil"/>
                  </w:tcBorders>
                  <w:shd w:val="clear" w:color="auto" w:fill="auto"/>
                  <w:noWrap/>
                  <w:vAlign w:val="center"/>
                </w:tcPr>
                <w:p w14:paraId="7B2CFF9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t/a</w:t>
                  </w:r>
                </w:p>
              </w:tc>
              <w:tc>
                <w:tcPr>
                  <w:tcW w:w="796" w:type="pct"/>
                  <w:tcBorders>
                    <w:tl2br w:val="nil"/>
                    <w:tr2bl w:val="nil"/>
                  </w:tcBorders>
                  <w:shd w:val="clear" w:color="auto" w:fill="auto"/>
                  <w:noWrap/>
                  <w:vAlign w:val="center"/>
                </w:tcPr>
                <w:p w14:paraId="36DA4F6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2400h</w:t>
                  </w:r>
                </w:p>
              </w:tc>
              <w:tc>
                <w:tcPr>
                  <w:tcW w:w="963" w:type="pct"/>
                  <w:tcBorders>
                    <w:tl2br w:val="nil"/>
                    <w:tr2bl w:val="nil"/>
                  </w:tcBorders>
                  <w:shd w:val="clear" w:color="auto" w:fill="auto"/>
                  <w:noWrap/>
                  <w:vAlign w:val="center"/>
                </w:tcPr>
                <w:p w14:paraId="46E5457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执行标准GB2711-2014</w:t>
                  </w:r>
                </w:p>
              </w:tc>
            </w:tr>
            <w:tr w14:paraId="0D7D22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1" w:type="pct"/>
                  <w:tcBorders>
                    <w:tl2br w:val="nil"/>
                    <w:tr2bl w:val="nil"/>
                  </w:tcBorders>
                  <w:shd w:val="clear" w:color="auto" w:fill="auto"/>
                  <w:noWrap/>
                  <w:vAlign w:val="center"/>
                </w:tcPr>
                <w:p w14:paraId="3381DD31">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96" w:type="pct"/>
                  <w:vMerge w:val="continue"/>
                  <w:tcBorders>
                    <w:tl2br w:val="nil"/>
                    <w:tr2bl w:val="nil"/>
                  </w:tcBorders>
                  <w:shd w:val="clear" w:color="auto" w:fill="auto"/>
                  <w:noWrap/>
                  <w:vAlign w:val="center"/>
                </w:tcPr>
                <w:p w14:paraId="2305715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8" w:type="pct"/>
                  <w:tcBorders>
                    <w:tl2br w:val="nil"/>
                    <w:tr2bl w:val="nil"/>
                  </w:tcBorders>
                  <w:shd w:val="clear" w:color="auto" w:fill="auto"/>
                  <w:noWrap/>
                  <w:vAlign w:val="center"/>
                </w:tcPr>
                <w:p w14:paraId="1BF336D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卤味面筋</w:t>
                  </w:r>
                </w:p>
              </w:tc>
              <w:tc>
                <w:tcPr>
                  <w:tcW w:w="717" w:type="pct"/>
                  <w:tcBorders>
                    <w:tl2br w:val="nil"/>
                    <w:tr2bl w:val="nil"/>
                  </w:tcBorders>
                  <w:shd w:val="clear" w:color="auto" w:fill="auto"/>
                  <w:noWrap/>
                  <w:vAlign w:val="center"/>
                </w:tcPr>
                <w:p w14:paraId="1EB518B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2000</w:t>
                  </w:r>
                </w:p>
              </w:tc>
              <w:tc>
                <w:tcPr>
                  <w:tcW w:w="465" w:type="pct"/>
                  <w:tcBorders>
                    <w:tl2br w:val="nil"/>
                    <w:tr2bl w:val="nil"/>
                  </w:tcBorders>
                  <w:shd w:val="clear" w:color="auto" w:fill="auto"/>
                  <w:noWrap/>
                  <w:vAlign w:val="center"/>
                </w:tcPr>
                <w:p w14:paraId="4DDF06A9">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t/a</w:t>
                  </w:r>
                </w:p>
              </w:tc>
              <w:tc>
                <w:tcPr>
                  <w:tcW w:w="796" w:type="pct"/>
                  <w:tcBorders>
                    <w:tl2br w:val="nil"/>
                    <w:tr2bl w:val="nil"/>
                  </w:tcBorders>
                  <w:shd w:val="clear" w:color="auto" w:fill="auto"/>
                  <w:noWrap/>
                  <w:vAlign w:val="center"/>
                </w:tcPr>
                <w:p w14:paraId="3903FE30">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2400h</w:t>
                  </w:r>
                </w:p>
              </w:tc>
              <w:tc>
                <w:tcPr>
                  <w:tcW w:w="963" w:type="pct"/>
                  <w:tcBorders>
                    <w:tl2br w:val="nil"/>
                    <w:tr2bl w:val="nil"/>
                  </w:tcBorders>
                  <w:shd w:val="clear" w:color="auto" w:fill="auto"/>
                  <w:noWrap/>
                  <w:vAlign w:val="center"/>
                </w:tcPr>
                <w:p w14:paraId="1E837EF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Q/XXMM0004S</w:t>
                  </w:r>
                </w:p>
              </w:tc>
            </w:tr>
          </w:tbl>
          <w:p w14:paraId="4F05FDCA">
            <w:pPr>
              <w:keepNext/>
              <w:keepLines w:val="0"/>
              <w:suppressLineNumbers w:val="0"/>
              <w:adjustRightInd w:val="0"/>
              <w:snapToGrid w:val="0"/>
              <w:spacing w:before="0" w:beforeLines="0" w:beforeAutospacing="0" w:after="0" w:afterLines="0" w:afterAutospacing="0" w:line="360" w:lineRule="auto"/>
              <w:ind w:left="0" w:right="0" w:firstLine="482" w:firstLineChars="200"/>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3、主要生产设备</w:t>
            </w:r>
          </w:p>
          <w:p w14:paraId="3816D070">
            <w:pPr>
              <w:keepNext/>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主要生产设备一览表见表</w:t>
            </w:r>
            <w:r>
              <w:rPr>
                <w:rFonts w:hint="eastAsia" w:cs="Times New Roman"/>
                <w:color w:val="000000" w:themeColor="text1"/>
                <w:sz w:val="24"/>
                <w:szCs w:val="24"/>
                <w:highlight w:val="none"/>
                <w:lang w:val="en-US" w:eastAsia="zh-CN"/>
                <w14:textFill>
                  <w14:solidFill>
                    <w14:schemeClr w14:val="tx1"/>
                  </w14:solidFill>
                </w14:textFill>
              </w:rPr>
              <w:t>2-3。</w:t>
            </w:r>
          </w:p>
          <w:p w14:paraId="65BFEE4C">
            <w:pPr>
              <w:keepNext/>
              <w:keepLines w:val="0"/>
              <w:suppressLineNumbers w:val="0"/>
              <w:adjustRightInd w:val="0"/>
              <w:snapToGrid w:val="0"/>
              <w:spacing w:before="0" w:beforeLines="0" w:beforeAutospacing="0" w:after="0" w:afterLines="0" w:afterAutospacing="0" w:line="360" w:lineRule="auto"/>
              <w:ind w:left="0" w:right="0" w:firstLine="422" w:firstLineChars="20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2"/>
                <w:sz w:val="21"/>
                <w:szCs w:val="21"/>
                <w:highlight w:val="none"/>
                <w:lang w:val="en-US" w:eastAsia="zh-CN" w:bidi="ar-SA"/>
              </w:rPr>
              <w:t>表</w:t>
            </w:r>
            <w:r>
              <w:rPr>
                <w:rFonts w:hint="eastAsia" w:ascii="Times New Roman" w:hAnsi="Times New Roman" w:eastAsia="宋体" w:cs="Times New Roman"/>
                <w:b/>
                <w:color w:val="auto"/>
                <w:kern w:val="2"/>
                <w:sz w:val="21"/>
                <w:szCs w:val="21"/>
                <w:highlight w:val="none"/>
                <w:lang w:val="en-US" w:eastAsia="zh-CN" w:bidi="ar-SA"/>
              </w:rPr>
              <w:t>2</w:t>
            </w:r>
            <w:r>
              <w:rPr>
                <w:rFonts w:hint="eastAsia" w:ascii="Times New Roman" w:hAnsi="Times New Roman"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3</w:t>
            </w:r>
            <w:r>
              <w:rPr>
                <w:rFonts w:hint="default" w:ascii="Times New Roman" w:hAnsi="Times New Roman" w:eastAsia="宋体" w:cs="Times New Roman"/>
                <w:b/>
                <w:color w:val="auto"/>
                <w:kern w:val="2"/>
                <w:sz w:val="21"/>
                <w:szCs w:val="21"/>
                <w:highlight w:val="none"/>
                <w:lang w:val="en-US" w:eastAsia="zh-CN" w:bidi="ar-SA"/>
              </w:rPr>
              <w:t xml:space="preserve"> </w:t>
            </w:r>
            <w:r>
              <w:rPr>
                <w:rFonts w:hint="eastAsia" w:ascii="Times New Roman" w:hAnsi="Times New Roman" w:cs="Times New Roman"/>
                <w:b/>
                <w:color w:val="auto"/>
                <w:kern w:val="2"/>
                <w:sz w:val="21"/>
                <w:szCs w:val="21"/>
                <w:highlight w:val="none"/>
                <w:lang w:val="en-US" w:eastAsia="zh-CN" w:bidi="ar-SA"/>
              </w:rPr>
              <w:t xml:space="preserve"> </w:t>
            </w:r>
            <w:r>
              <w:rPr>
                <w:rFonts w:hint="default" w:ascii="Times New Roman" w:hAnsi="Times New Roman" w:eastAsia="宋体" w:cs="Times New Roman"/>
                <w:b/>
                <w:color w:val="auto"/>
                <w:kern w:val="2"/>
                <w:sz w:val="21"/>
                <w:szCs w:val="21"/>
                <w:highlight w:val="none"/>
                <w:lang w:val="en-US" w:eastAsia="zh-CN" w:bidi="ar-SA"/>
              </w:rPr>
              <w:t>项目</w:t>
            </w:r>
            <w:r>
              <w:rPr>
                <w:rFonts w:hint="eastAsia" w:cs="Times New Roman"/>
                <w:b/>
                <w:color w:val="auto"/>
                <w:kern w:val="2"/>
                <w:sz w:val="21"/>
                <w:szCs w:val="21"/>
                <w:highlight w:val="none"/>
                <w:lang w:val="en-US" w:eastAsia="zh-CN" w:bidi="ar-SA"/>
              </w:rPr>
              <w:t>主要生产设备</w:t>
            </w:r>
            <w:r>
              <w:rPr>
                <w:rFonts w:hint="default" w:ascii="Times New Roman" w:hAnsi="Times New Roman" w:eastAsia="宋体" w:cs="Times New Roman"/>
                <w:b/>
                <w:color w:val="auto"/>
                <w:kern w:val="2"/>
                <w:sz w:val="21"/>
                <w:szCs w:val="21"/>
                <w:highlight w:val="none"/>
                <w:lang w:val="en-US" w:eastAsia="zh-CN" w:bidi="ar-SA"/>
              </w:rPr>
              <w:t>一览表</w:t>
            </w:r>
          </w:p>
          <w:tbl>
            <w:tblPr>
              <w:tblStyle w:val="3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9"/>
              <w:gridCol w:w="3177"/>
              <w:gridCol w:w="3938"/>
              <w:gridCol w:w="749"/>
            </w:tblGrid>
            <w:tr w14:paraId="453C49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center"/>
                </w:tcPr>
                <w:p w14:paraId="62593B2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default" w:ascii="Times New Roman" w:hAnsi="Times New Roman" w:eastAsia="宋体" w:cs="Times New Roman"/>
                      <w:b/>
                      <w:bCs/>
                      <w:i w:val="0"/>
                      <w:iCs w:val="0"/>
                      <w:color w:val="000000"/>
                      <w:kern w:val="0"/>
                      <w:sz w:val="21"/>
                      <w:szCs w:val="21"/>
                      <w:highlight w:val="none"/>
                      <w:u w:val="none"/>
                      <w:lang w:val="en-US" w:eastAsia="zh-CN" w:bidi="ar"/>
                    </w:rPr>
                    <w:t>序号</w:t>
                  </w:r>
                </w:p>
              </w:tc>
              <w:tc>
                <w:tcPr>
                  <w:tcW w:w="1850" w:type="pct"/>
                  <w:tcBorders>
                    <w:tl2br w:val="nil"/>
                    <w:tr2bl w:val="nil"/>
                  </w:tcBorders>
                  <w:shd w:val="clear" w:color="auto" w:fill="auto"/>
                  <w:noWrap/>
                  <w:vAlign w:val="center"/>
                </w:tcPr>
                <w:p w14:paraId="6BBCDC4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default" w:ascii="Times New Roman" w:hAnsi="Times New Roman" w:eastAsia="宋体" w:cs="Times New Roman"/>
                      <w:b/>
                      <w:bCs/>
                      <w:i w:val="0"/>
                      <w:iCs w:val="0"/>
                      <w:color w:val="000000"/>
                      <w:kern w:val="0"/>
                      <w:sz w:val="21"/>
                      <w:szCs w:val="21"/>
                      <w:highlight w:val="none"/>
                      <w:u w:val="none"/>
                      <w:lang w:val="en-US" w:eastAsia="zh-CN" w:bidi="ar"/>
                    </w:rPr>
                    <w:t>名称</w:t>
                  </w:r>
                </w:p>
              </w:tc>
              <w:tc>
                <w:tcPr>
                  <w:tcW w:w="2294" w:type="pct"/>
                  <w:tcBorders>
                    <w:tl2br w:val="nil"/>
                    <w:tr2bl w:val="nil"/>
                  </w:tcBorders>
                  <w:shd w:val="clear" w:color="auto" w:fill="auto"/>
                  <w:noWrap/>
                  <w:vAlign w:val="center"/>
                </w:tcPr>
                <w:p w14:paraId="54685070">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default" w:ascii="Times New Roman" w:hAnsi="Times New Roman" w:eastAsia="宋体" w:cs="Times New Roman"/>
                      <w:b/>
                      <w:bCs/>
                      <w:i w:val="0"/>
                      <w:iCs w:val="0"/>
                      <w:color w:val="000000"/>
                      <w:kern w:val="0"/>
                      <w:sz w:val="21"/>
                      <w:szCs w:val="21"/>
                      <w:highlight w:val="none"/>
                      <w:u w:val="none"/>
                      <w:lang w:val="en-US" w:eastAsia="zh-CN" w:bidi="ar"/>
                    </w:rPr>
                    <w:t>型号</w:t>
                  </w:r>
                </w:p>
              </w:tc>
              <w:tc>
                <w:tcPr>
                  <w:tcW w:w="436" w:type="pct"/>
                  <w:tcBorders>
                    <w:tl2br w:val="nil"/>
                    <w:tr2bl w:val="nil"/>
                  </w:tcBorders>
                  <w:shd w:val="clear" w:color="auto" w:fill="auto"/>
                  <w:noWrap/>
                  <w:vAlign w:val="center"/>
                </w:tcPr>
                <w:p w14:paraId="7F79364C">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default" w:ascii="Times New Roman" w:hAnsi="Times New Roman" w:eastAsia="宋体" w:cs="Times New Roman"/>
                      <w:b/>
                      <w:bCs/>
                      <w:i w:val="0"/>
                      <w:iCs w:val="0"/>
                      <w:color w:val="000000"/>
                      <w:kern w:val="0"/>
                      <w:sz w:val="21"/>
                      <w:szCs w:val="21"/>
                      <w:highlight w:val="none"/>
                      <w:u w:val="none"/>
                      <w:lang w:val="en-US" w:eastAsia="zh-CN" w:bidi="ar"/>
                    </w:rPr>
                    <w:t>数量</w:t>
                  </w:r>
                </w:p>
              </w:tc>
            </w:tr>
            <w:tr w14:paraId="561217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000" w:type="pct"/>
                  <w:gridSpan w:val="4"/>
                  <w:tcBorders>
                    <w:tl2br w:val="nil"/>
                    <w:tr2bl w:val="nil"/>
                  </w:tcBorders>
                  <w:shd w:val="clear" w:color="auto" w:fill="auto"/>
                  <w:noWrap/>
                  <w:vAlign w:val="bottom"/>
                </w:tcPr>
                <w:p w14:paraId="042C1AC7">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default" w:ascii="Times New Roman" w:hAnsi="Times New Roman" w:eastAsia="宋体" w:cs="Times New Roman"/>
                      <w:b/>
                      <w:bCs/>
                      <w:i w:val="0"/>
                      <w:iCs w:val="0"/>
                      <w:color w:val="000000"/>
                      <w:kern w:val="0"/>
                      <w:sz w:val="21"/>
                      <w:szCs w:val="21"/>
                      <w:highlight w:val="none"/>
                      <w:u w:val="none"/>
                      <w:lang w:val="en-US" w:eastAsia="zh-CN" w:bidi="ar"/>
                    </w:rPr>
                    <w:t>干面筋</w:t>
                  </w:r>
                </w:p>
              </w:tc>
            </w:tr>
            <w:tr w14:paraId="167C82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2B4AA3D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3177" w:type="dxa"/>
                  <w:tcBorders>
                    <w:tl2br w:val="nil"/>
                    <w:tr2bl w:val="nil"/>
                  </w:tcBorders>
                  <w:shd w:val="clear" w:color="auto" w:fill="auto"/>
                  <w:noWrap/>
                  <w:vAlign w:val="bottom"/>
                </w:tcPr>
                <w:p w14:paraId="2AB572E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进料&amp;混合机</w:t>
                  </w:r>
                </w:p>
              </w:tc>
              <w:tc>
                <w:tcPr>
                  <w:tcW w:w="3938" w:type="dxa"/>
                  <w:tcBorders>
                    <w:tl2br w:val="nil"/>
                    <w:tr2bl w:val="nil"/>
                  </w:tcBorders>
                  <w:shd w:val="clear" w:color="auto" w:fill="auto"/>
                  <w:noWrap/>
                  <w:vAlign w:val="bottom"/>
                </w:tcPr>
                <w:p w14:paraId="5AE8D9F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最大1000dm³</w:t>
                  </w:r>
                </w:p>
              </w:tc>
              <w:tc>
                <w:tcPr>
                  <w:tcW w:w="749" w:type="dxa"/>
                  <w:tcBorders>
                    <w:tl2br w:val="nil"/>
                    <w:tr2bl w:val="nil"/>
                  </w:tcBorders>
                  <w:shd w:val="clear" w:color="auto" w:fill="auto"/>
                  <w:noWrap/>
                  <w:vAlign w:val="bottom"/>
                </w:tcPr>
                <w:p w14:paraId="3AB637E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436C73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6AE46FED">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3177" w:type="dxa"/>
                  <w:tcBorders>
                    <w:tl2br w:val="nil"/>
                    <w:tr2bl w:val="nil"/>
                  </w:tcBorders>
                  <w:shd w:val="clear" w:color="auto" w:fill="auto"/>
                  <w:noWrap/>
                  <w:vAlign w:val="bottom"/>
                </w:tcPr>
                <w:p w14:paraId="2A78493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卸料站</w:t>
                  </w:r>
                </w:p>
              </w:tc>
              <w:tc>
                <w:tcPr>
                  <w:tcW w:w="3938" w:type="dxa"/>
                  <w:tcBorders>
                    <w:tl2br w:val="nil"/>
                    <w:tr2bl w:val="nil"/>
                  </w:tcBorders>
                  <w:shd w:val="clear" w:color="auto" w:fill="auto"/>
                  <w:noWrap/>
                  <w:vAlign w:val="bottom"/>
                </w:tcPr>
                <w:p w14:paraId="7E2C6299">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AHFZ</w:t>
                  </w:r>
                </w:p>
              </w:tc>
              <w:tc>
                <w:tcPr>
                  <w:tcW w:w="749" w:type="dxa"/>
                  <w:tcBorders>
                    <w:tl2br w:val="nil"/>
                    <w:tr2bl w:val="nil"/>
                  </w:tcBorders>
                  <w:shd w:val="clear" w:color="auto" w:fill="auto"/>
                  <w:noWrap/>
                  <w:vAlign w:val="bottom"/>
                </w:tcPr>
                <w:p w14:paraId="2CF1668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70408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09B1B3E0">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3177" w:type="dxa"/>
                  <w:tcBorders>
                    <w:tl2br w:val="nil"/>
                    <w:tr2bl w:val="nil"/>
                  </w:tcBorders>
                  <w:shd w:val="clear" w:color="auto" w:fill="auto"/>
                  <w:noWrap/>
                  <w:vAlign w:val="bottom"/>
                </w:tcPr>
                <w:p w14:paraId="567918EF">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投料斗</w:t>
                  </w:r>
                </w:p>
              </w:tc>
              <w:tc>
                <w:tcPr>
                  <w:tcW w:w="3938" w:type="dxa"/>
                  <w:tcBorders>
                    <w:tl2br w:val="nil"/>
                    <w:tr2bl w:val="nil"/>
                  </w:tcBorders>
                  <w:shd w:val="clear" w:color="auto" w:fill="auto"/>
                  <w:noWrap/>
                  <w:vAlign w:val="bottom"/>
                </w:tcPr>
                <w:p w14:paraId="448CEA1F">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不锈钢材质，500L</w:t>
                  </w:r>
                </w:p>
              </w:tc>
              <w:tc>
                <w:tcPr>
                  <w:tcW w:w="749" w:type="dxa"/>
                  <w:tcBorders>
                    <w:tl2br w:val="nil"/>
                    <w:tr2bl w:val="nil"/>
                  </w:tcBorders>
                  <w:shd w:val="clear" w:color="auto" w:fill="auto"/>
                  <w:noWrap/>
                  <w:vAlign w:val="bottom"/>
                </w:tcPr>
                <w:p w14:paraId="16B115F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8DDB6B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3BBDF3D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3177" w:type="dxa"/>
                  <w:tcBorders>
                    <w:tl2br w:val="nil"/>
                    <w:tr2bl w:val="nil"/>
                  </w:tcBorders>
                  <w:shd w:val="clear" w:color="auto" w:fill="auto"/>
                  <w:noWrap/>
                  <w:vAlign w:val="bottom"/>
                </w:tcPr>
                <w:p w14:paraId="38C52BD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料位器</w:t>
                  </w:r>
                </w:p>
              </w:tc>
              <w:tc>
                <w:tcPr>
                  <w:tcW w:w="3938" w:type="dxa"/>
                  <w:tcBorders>
                    <w:tl2br w:val="nil"/>
                    <w:tr2bl w:val="nil"/>
                  </w:tcBorders>
                  <w:shd w:val="clear" w:color="auto" w:fill="auto"/>
                  <w:noWrap/>
                  <w:vAlign w:val="bottom"/>
                </w:tcPr>
                <w:p w14:paraId="333B5A2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w:t>
                  </w:r>
                </w:p>
              </w:tc>
              <w:tc>
                <w:tcPr>
                  <w:tcW w:w="749" w:type="dxa"/>
                  <w:tcBorders>
                    <w:tl2br w:val="nil"/>
                    <w:tr2bl w:val="nil"/>
                  </w:tcBorders>
                  <w:shd w:val="clear" w:color="auto" w:fill="auto"/>
                  <w:noWrap/>
                  <w:vAlign w:val="bottom"/>
                </w:tcPr>
                <w:p w14:paraId="761DDC5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DD90F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5460F79D">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3177" w:type="dxa"/>
                  <w:tcBorders>
                    <w:tl2br w:val="nil"/>
                    <w:tr2bl w:val="nil"/>
                  </w:tcBorders>
                  <w:shd w:val="clear" w:color="auto" w:fill="auto"/>
                  <w:noWrap/>
                  <w:vAlign w:val="bottom"/>
                </w:tcPr>
                <w:p w14:paraId="3DCEA655">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真空上料系统</w:t>
                  </w:r>
                </w:p>
              </w:tc>
              <w:tc>
                <w:tcPr>
                  <w:tcW w:w="3938" w:type="dxa"/>
                  <w:tcBorders>
                    <w:tl2br w:val="nil"/>
                    <w:tr2bl w:val="nil"/>
                  </w:tcBorders>
                  <w:shd w:val="clear" w:color="auto" w:fill="auto"/>
                  <w:noWrap/>
                  <w:vAlign w:val="bottom"/>
                </w:tcPr>
                <w:p w14:paraId="0410222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产能</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2t/h</w:t>
                  </w:r>
                </w:p>
              </w:tc>
              <w:tc>
                <w:tcPr>
                  <w:tcW w:w="749" w:type="dxa"/>
                  <w:tcBorders>
                    <w:tl2br w:val="nil"/>
                    <w:tr2bl w:val="nil"/>
                  </w:tcBorders>
                  <w:shd w:val="clear" w:color="auto" w:fill="auto"/>
                  <w:noWrap/>
                  <w:vAlign w:val="bottom"/>
                </w:tcPr>
                <w:p w14:paraId="0FB8DAF9">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EC42D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6E169026">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3177" w:type="dxa"/>
                  <w:tcBorders>
                    <w:tl2br w:val="nil"/>
                    <w:tr2bl w:val="nil"/>
                  </w:tcBorders>
                  <w:shd w:val="clear" w:color="auto" w:fill="auto"/>
                  <w:noWrap/>
                  <w:vAlign w:val="bottom"/>
                </w:tcPr>
                <w:p w14:paraId="182784B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批次混合机</w:t>
                  </w:r>
                </w:p>
              </w:tc>
              <w:tc>
                <w:tcPr>
                  <w:tcW w:w="3938" w:type="dxa"/>
                  <w:tcBorders>
                    <w:tl2br w:val="nil"/>
                    <w:tr2bl w:val="nil"/>
                  </w:tcBorders>
                  <w:shd w:val="clear" w:color="auto" w:fill="auto"/>
                  <w:noWrap/>
                  <w:vAlign w:val="bottom"/>
                </w:tcPr>
                <w:p w14:paraId="62A8C91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AHML-1000</w:t>
                  </w:r>
                </w:p>
              </w:tc>
              <w:tc>
                <w:tcPr>
                  <w:tcW w:w="749" w:type="dxa"/>
                  <w:tcBorders>
                    <w:tl2br w:val="nil"/>
                    <w:tr2bl w:val="nil"/>
                  </w:tcBorders>
                  <w:shd w:val="clear" w:color="auto" w:fill="auto"/>
                  <w:noWrap/>
                  <w:vAlign w:val="bottom"/>
                </w:tcPr>
                <w:p w14:paraId="1966225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1387D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6153FDDC">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3177" w:type="dxa"/>
                  <w:tcBorders>
                    <w:tl2br w:val="nil"/>
                    <w:tr2bl w:val="nil"/>
                  </w:tcBorders>
                  <w:shd w:val="clear" w:color="auto" w:fill="auto"/>
                  <w:noWrap/>
                  <w:vAlign w:val="bottom"/>
                </w:tcPr>
                <w:p w14:paraId="4D31D4F5">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双螺杆</w:t>
                  </w:r>
                  <w:r>
                    <w:rPr>
                      <w:rFonts w:hint="default" w:ascii="Times New Roman" w:hAnsi="Times New Roman" w:eastAsia="宋体" w:cs="Times New Roman"/>
                      <w:i w:val="0"/>
                      <w:iCs w:val="0"/>
                      <w:color w:val="000000"/>
                      <w:kern w:val="0"/>
                      <w:sz w:val="21"/>
                      <w:szCs w:val="21"/>
                      <w:u w:val="none"/>
                      <w:lang w:val="en-US" w:eastAsia="zh-CN" w:bidi="ar"/>
                    </w:rPr>
                    <w:t>挤压</w:t>
                  </w:r>
                  <w:r>
                    <w:rPr>
                      <w:rFonts w:hint="eastAsia" w:ascii="Times New Roman" w:hAnsi="Times New Roman" w:eastAsia="宋体" w:cs="Times New Roman"/>
                      <w:i w:val="0"/>
                      <w:iCs w:val="0"/>
                      <w:color w:val="000000"/>
                      <w:kern w:val="0"/>
                      <w:sz w:val="21"/>
                      <w:szCs w:val="21"/>
                      <w:u w:val="none"/>
                      <w:lang w:val="en-US" w:eastAsia="zh-CN" w:bidi="ar"/>
                    </w:rPr>
                    <w:t>机</w:t>
                  </w:r>
                </w:p>
              </w:tc>
              <w:tc>
                <w:tcPr>
                  <w:tcW w:w="3938" w:type="dxa"/>
                  <w:tcBorders>
                    <w:tl2br w:val="nil"/>
                    <w:tr2bl w:val="nil"/>
                  </w:tcBorders>
                  <w:shd w:val="clear" w:color="auto" w:fill="auto"/>
                  <w:noWrap/>
                  <w:vAlign w:val="bottom"/>
                </w:tcPr>
                <w:p w14:paraId="0781D22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BCCF-93 /20D</w:t>
                  </w:r>
                </w:p>
              </w:tc>
              <w:tc>
                <w:tcPr>
                  <w:tcW w:w="749" w:type="dxa"/>
                  <w:tcBorders>
                    <w:tl2br w:val="nil"/>
                    <w:tr2bl w:val="nil"/>
                  </w:tcBorders>
                  <w:shd w:val="clear" w:color="auto" w:fill="auto"/>
                  <w:noWrap/>
                  <w:vAlign w:val="bottom"/>
                </w:tcPr>
                <w:p w14:paraId="51E3433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F7428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386C773D">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3177" w:type="dxa"/>
                  <w:tcBorders>
                    <w:tl2br w:val="nil"/>
                    <w:tr2bl w:val="nil"/>
                  </w:tcBorders>
                  <w:shd w:val="clear" w:color="auto" w:fill="auto"/>
                  <w:noWrap/>
                  <w:vAlign w:val="bottom"/>
                </w:tcPr>
                <w:p w14:paraId="4E2FD46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混合机料斗</w:t>
                  </w:r>
                </w:p>
              </w:tc>
              <w:tc>
                <w:tcPr>
                  <w:tcW w:w="3938" w:type="dxa"/>
                  <w:tcBorders>
                    <w:tl2br w:val="nil"/>
                    <w:tr2bl w:val="nil"/>
                  </w:tcBorders>
                  <w:shd w:val="clear" w:color="auto" w:fill="auto"/>
                  <w:noWrap/>
                  <w:vAlign w:val="bottom"/>
                </w:tcPr>
                <w:p w14:paraId="64B8B7A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不锈钢材质，1200L</w:t>
                  </w:r>
                </w:p>
              </w:tc>
              <w:tc>
                <w:tcPr>
                  <w:tcW w:w="749" w:type="dxa"/>
                  <w:tcBorders>
                    <w:tl2br w:val="nil"/>
                    <w:tr2bl w:val="nil"/>
                  </w:tcBorders>
                  <w:shd w:val="clear" w:color="auto" w:fill="auto"/>
                  <w:noWrap/>
                  <w:vAlign w:val="bottom"/>
                </w:tcPr>
                <w:p w14:paraId="6B58AFC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33116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229F5F0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3177" w:type="dxa"/>
                  <w:tcBorders>
                    <w:tl2br w:val="nil"/>
                    <w:tr2bl w:val="nil"/>
                  </w:tcBorders>
                  <w:shd w:val="clear" w:color="auto" w:fill="auto"/>
                  <w:noWrap/>
                  <w:vAlign w:val="bottom"/>
                </w:tcPr>
                <w:p w14:paraId="3E94357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料位器</w:t>
                  </w:r>
                </w:p>
              </w:tc>
              <w:tc>
                <w:tcPr>
                  <w:tcW w:w="3938" w:type="dxa"/>
                  <w:tcBorders>
                    <w:tl2br w:val="nil"/>
                    <w:tr2bl w:val="nil"/>
                  </w:tcBorders>
                  <w:shd w:val="clear" w:color="auto" w:fill="auto"/>
                  <w:noWrap/>
                  <w:vAlign w:val="bottom"/>
                </w:tcPr>
                <w:p w14:paraId="00AD359F">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w:t>
                  </w:r>
                </w:p>
              </w:tc>
              <w:tc>
                <w:tcPr>
                  <w:tcW w:w="749" w:type="dxa"/>
                  <w:tcBorders>
                    <w:tl2br w:val="nil"/>
                    <w:tr2bl w:val="nil"/>
                  </w:tcBorders>
                  <w:shd w:val="clear" w:color="auto" w:fill="auto"/>
                  <w:noWrap/>
                  <w:vAlign w:val="bottom"/>
                </w:tcPr>
                <w:p w14:paraId="3A535E85">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A3E36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4411A57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3177" w:type="dxa"/>
                  <w:tcBorders>
                    <w:tl2br w:val="nil"/>
                    <w:tr2bl w:val="nil"/>
                  </w:tcBorders>
                  <w:shd w:val="clear" w:color="auto" w:fill="auto"/>
                  <w:noWrap/>
                  <w:vAlign w:val="bottom"/>
                </w:tcPr>
                <w:p w14:paraId="25D553FF">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管绞龙</w:t>
                  </w:r>
                </w:p>
              </w:tc>
              <w:tc>
                <w:tcPr>
                  <w:tcW w:w="3938" w:type="dxa"/>
                  <w:tcBorders>
                    <w:tl2br w:val="nil"/>
                    <w:tr2bl w:val="nil"/>
                  </w:tcBorders>
                  <w:shd w:val="clear" w:color="auto" w:fill="auto"/>
                  <w:noWrap/>
                  <w:vAlign w:val="bottom"/>
                </w:tcPr>
                <w:p w14:paraId="7087F5D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AHSG-160</w:t>
                  </w:r>
                </w:p>
              </w:tc>
              <w:tc>
                <w:tcPr>
                  <w:tcW w:w="749" w:type="dxa"/>
                  <w:tcBorders>
                    <w:tl2br w:val="nil"/>
                    <w:tr2bl w:val="nil"/>
                  </w:tcBorders>
                  <w:shd w:val="clear" w:color="auto" w:fill="auto"/>
                  <w:noWrap/>
                  <w:vAlign w:val="bottom"/>
                </w:tcPr>
                <w:p w14:paraId="72861F65">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3CF82D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58DA24F4">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3177" w:type="dxa"/>
                  <w:tcBorders>
                    <w:tl2br w:val="nil"/>
                    <w:tr2bl w:val="nil"/>
                  </w:tcBorders>
                  <w:shd w:val="clear" w:color="auto" w:fill="auto"/>
                  <w:noWrap/>
                  <w:vAlign w:val="bottom"/>
                </w:tcPr>
                <w:p w14:paraId="5367007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喂料秤</w:t>
                  </w:r>
                </w:p>
              </w:tc>
              <w:tc>
                <w:tcPr>
                  <w:tcW w:w="3938" w:type="dxa"/>
                  <w:tcBorders>
                    <w:tl2br w:val="nil"/>
                    <w:tr2bl w:val="nil"/>
                  </w:tcBorders>
                  <w:shd w:val="clear" w:color="auto" w:fill="auto"/>
                  <w:noWrap/>
                  <w:vAlign w:val="bottom"/>
                </w:tcPr>
                <w:p w14:paraId="3F257A1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w:t>
                  </w:r>
                </w:p>
              </w:tc>
              <w:tc>
                <w:tcPr>
                  <w:tcW w:w="749" w:type="dxa"/>
                  <w:tcBorders>
                    <w:tl2br w:val="nil"/>
                    <w:tr2bl w:val="nil"/>
                  </w:tcBorders>
                  <w:shd w:val="clear" w:color="auto" w:fill="auto"/>
                  <w:noWrap/>
                  <w:vAlign w:val="bottom"/>
                </w:tcPr>
                <w:p w14:paraId="5EAB5952">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486597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31C630A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3177" w:type="dxa"/>
                  <w:tcBorders>
                    <w:tl2br w:val="nil"/>
                    <w:tr2bl w:val="nil"/>
                  </w:tcBorders>
                  <w:shd w:val="clear" w:color="auto" w:fill="auto"/>
                  <w:noWrap/>
                  <w:vAlign w:val="bottom"/>
                </w:tcPr>
                <w:p w14:paraId="36AA4404">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手动拨斗</w:t>
                  </w:r>
                </w:p>
              </w:tc>
              <w:tc>
                <w:tcPr>
                  <w:tcW w:w="3938" w:type="dxa"/>
                  <w:tcBorders>
                    <w:tl2br w:val="nil"/>
                    <w:tr2bl w:val="nil"/>
                  </w:tcBorders>
                  <w:shd w:val="clear" w:color="auto" w:fill="auto"/>
                  <w:noWrap/>
                  <w:vAlign w:val="bottom"/>
                </w:tcPr>
                <w:p w14:paraId="361BD1D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w:t>
                  </w:r>
                </w:p>
              </w:tc>
              <w:tc>
                <w:tcPr>
                  <w:tcW w:w="749" w:type="dxa"/>
                  <w:tcBorders>
                    <w:tl2br w:val="nil"/>
                    <w:tr2bl w:val="nil"/>
                  </w:tcBorders>
                  <w:shd w:val="clear" w:color="auto" w:fill="auto"/>
                  <w:noWrap/>
                  <w:vAlign w:val="bottom"/>
                </w:tcPr>
                <w:p w14:paraId="1796B0D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EB545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1F9576E1">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3177" w:type="dxa"/>
                  <w:tcBorders>
                    <w:tl2br w:val="nil"/>
                    <w:tr2bl w:val="nil"/>
                  </w:tcBorders>
                  <w:shd w:val="clear" w:color="auto" w:fill="auto"/>
                  <w:noWrap/>
                  <w:vAlign w:val="bottom"/>
                </w:tcPr>
                <w:p w14:paraId="45C1211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单层预调质器</w:t>
                  </w:r>
                </w:p>
              </w:tc>
              <w:tc>
                <w:tcPr>
                  <w:tcW w:w="3938" w:type="dxa"/>
                  <w:tcBorders>
                    <w:tl2br w:val="nil"/>
                    <w:tr2bl w:val="nil"/>
                  </w:tcBorders>
                  <w:shd w:val="clear" w:color="auto" w:fill="auto"/>
                  <w:noWrap/>
                  <w:vAlign w:val="bottom"/>
                </w:tcPr>
                <w:p w14:paraId="24120D70">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CompacTherm  BCCC-250</w:t>
                  </w:r>
                </w:p>
              </w:tc>
              <w:tc>
                <w:tcPr>
                  <w:tcW w:w="749" w:type="dxa"/>
                  <w:tcBorders>
                    <w:tl2br w:val="nil"/>
                    <w:tr2bl w:val="nil"/>
                  </w:tcBorders>
                  <w:shd w:val="clear" w:color="auto" w:fill="auto"/>
                  <w:noWrap/>
                  <w:vAlign w:val="bottom"/>
                </w:tcPr>
                <w:p w14:paraId="3A929C4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D808B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2FAD2E7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3177" w:type="dxa"/>
                  <w:tcBorders>
                    <w:tl2br w:val="nil"/>
                    <w:tr2bl w:val="nil"/>
                  </w:tcBorders>
                  <w:shd w:val="clear" w:color="auto" w:fill="auto"/>
                  <w:noWrap/>
                  <w:vAlign w:val="bottom"/>
                </w:tcPr>
                <w:p w14:paraId="7D22CE8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双螺杆挤压机</w:t>
                  </w:r>
                </w:p>
              </w:tc>
              <w:tc>
                <w:tcPr>
                  <w:tcW w:w="3938" w:type="dxa"/>
                  <w:tcBorders>
                    <w:tl2br w:val="nil"/>
                    <w:tr2bl w:val="nil"/>
                  </w:tcBorders>
                  <w:shd w:val="clear" w:color="auto" w:fill="auto"/>
                  <w:noWrap/>
                  <w:vAlign w:val="bottom"/>
                </w:tcPr>
                <w:p w14:paraId="7339202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BCCF-93/20D</w:t>
                  </w:r>
                </w:p>
              </w:tc>
              <w:tc>
                <w:tcPr>
                  <w:tcW w:w="749" w:type="dxa"/>
                  <w:tcBorders>
                    <w:tl2br w:val="nil"/>
                    <w:tr2bl w:val="nil"/>
                  </w:tcBorders>
                  <w:shd w:val="clear" w:color="auto" w:fill="auto"/>
                  <w:noWrap/>
                  <w:vAlign w:val="bottom"/>
                </w:tcPr>
                <w:p w14:paraId="6C1186B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66CC8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3D7A5DD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177" w:type="dxa"/>
                  <w:tcBorders>
                    <w:tl2br w:val="nil"/>
                    <w:tr2bl w:val="nil"/>
                  </w:tcBorders>
                  <w:shd w:val="clear" w:color="auto" w:fill="auto"/>
                  <w:noWrap/>
                  <w:vAlign w:val="bottom"/>
                </w:tcPr>
                <w:p w14:paraId="3BFC88D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挤压机控制系统</w:t>
                  </w:r>
                </w:p>
              </w:tc>
              <w:tc>
                <w:tcPr>
                  <w:tcW w:w="3938" w:type="dxa"/>
                  <w:tcBorders>
                    <w:tl2br w:val="nil"/>
                    <w:tr2bl w:val="nil"/>
                  </w:tcBorders>
                  <w:shd w:val="clear" w:color="auto" w:fill="auto"/>
                  <w:noWrap/>
                  <w:vAlign w:val="bottom"/>
                </w:tcPr>
                <w:p w14:paraId="7A70CA8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BCCB</w:t>
                  </w:r>
                </w:p>
              </w:tc>
              <w:tc>
                <w:tcPr>
                  <w:tcW w:w="749" w:type="dxa"/>
                  <w:tcBorders>
                    <w:tl2br w:val="nil"/>
                    <w:tr2bl w:val="nil"/>
                  </w:tcBorders>
                  <w:shd w:val="clear" w:color="auto" w:fill="auto"/>
                  <w:noWrap/>
                  <w:vAlign w:val="bottom"/>
                </w:tcPr>
                <w:p w14:paraId="35949659">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0A6457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1EF32E66">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3177" w:type="dxa"/>
                  <w:tcBorders>
                    <w:tl2br w:val="nil"/>
                    <w:tr2bl w:val="nil"/>
                  </w:tcBorders>
                  <w:shd w:val="clear" w:color="auto" w:fill="auto"/>
                  <w:noWrap/>
                  <w:vAlign w:val="bottom"/>
                </w:tcPr>
                <w:p w14:paraId="1E673E0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添加系统</w:t>
                  </w:r>
                </w:p>
              </w:tc>
              <w:tc>
                <w:tcPr>
                  <w:tcW w:w="3938" w:type="dxa"/>
                  <w:tcBorders>
                    <w:tl2br w:val="nil"/>
                    <w:tr2bl w:val="nil"/>
                  </w:tcBorders>
                  <w:shd w:val="clear" w:color="auto" w:fill="auto"/>
                  <w:noWrap/>
                  <w:vAlign w:val="bottom"/>
                </w:tcPr>
                <w:p w14:paraId="1BC57D4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含频率控制的计量泵和流量测量单元</w:t>
                  </w:r>
                </w:p>
              </w:tc>
              <w:tc>
                <w:tcPr>
                  <w:tcW w:w="749" w:type="dxa"/>
                  <w:tcBorders>
                    <w:tl2br w:val="nil"/>
                    <w:tr2bl w:val="nil"/>
                  </w:tcBorders>
                  <w:shd w:val="clear" w:color="auto" w:fill="auto"/>
                  <w:noWrap/>
                  <w:vAlign w:val="bottom"/>
                </w:tcPr>
                <w:p w14:paraId="2B9579B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A011B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798FD551">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3177" w:type="dxa"/>
                  <w:tcBorders>
                    <w:tl2br w:val="nil"/>
                    <w:tr2bl w:val="nil"/>
                  </w:tcBorders>
                  <w:shd w:val="clear" w:color="auto" w:fill="auto"/>
                  <w:noWrap/>
                  <w:vAlign w:val="bottom"/>
                </w:tcPr>
                <w:p w14:paraId="32DEF655">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碱液添加罐</w:t>
                  </w:r>
                </w:p>
              </w:tc>
              <w:tc>
                <w:tcPr>
                  <w:tcW w:w="3938" w:type="dxa"/>
                  <w:tcBorders>
                    <w:tl2br w:val="nil"/>
                    <w:tr2bl w:val="nil"/>
                  </w:tcBorders>
                  <w:shd w:val="clear" w:color="auto" w:fill="auto"/>
                  <w:noWrap/>
                  <w:vAlign w:val="bottom"/>
                </w:tcPr>
                <w:p w14:paraId="6D16C77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749" w:type="dxa"/>
                  <w:tcBorders>
                    <w:tl2br w:val="nil"/>
                    <w:tr2bl w:val="nil"/>
                  </w:tcBorders>
                  <w:shd w:val="clear" w:color="auto" w:fill="auto"/>
                  <w:noWrap/>
                  <w:vAlign w:val="bottom"/>
                </w:tcPr>
                <w:p w14:paraId="3901AB2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C6C57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45967266">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3177" w:type="dxa"/>
                  <w:tcBorders>
                    <w:tl2br w:val="nil"/>
                    <w:tr2bl w:val="nil"/>
                  </w:tcBorders>
                  <w:shd w:val="clear" w:color="auto" w:fill="auto"/>
                  <w:noWrap/>
                  <w:vAlign w:val="bottom"/>
                </w:tcPr>
                <w:p w14:paraId="17C5A2B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初效过滤器</w:t>
                  </w:r>
                </w:p>
              </w:tc>
              <w:tc>
                <w:tcPr>
                  <w:tcW w:w="3938" w:type="dxa"/>
                  <w:tcBorders>
                    <w:tl2br w:val="nil"/>
                    <w:tr2bl w:val="nil"/>
                  </w:tcBorders>
                  <w:shd w:val="clear" w:color="auto" w:fill="auto"/>
                  <w:noWrap/>
                  <w:vAlign w:val="bottom"/>
                </w:tcPr>
                <w:p w14:paraId="110B218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CG4-32</w:t>
                  </w:r>
                </w:p>
              </w:tc>
              <w:tc>
                <w:tcPr>
                  <w:tcW w:w="749" w:type="dxa"/>
                  <w:tcBorders>
                    <w:tl2br w:val="nil"/>
                    <w:tr2bl w:val="nil"/>
                  </w:tcBorders>
                  <w:shd w:val="clear" w:color="auto" w:fill="auto"/>
                  <w:noWrap/>
                  <w:vAlign w:val="bottom"/>
                </w:tcPr>
                <w:p w14:paraId="437E8740">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CC530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4296B69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3177" w:type="dxa"/>
                  <w:tcBorders>
                    <w:tl2br w:val="nil"/>
                    <w:tr2bl w:val="nil"/>
                  </w:tcBorders>
                  <w:shd w:val="clear" w:color="auto" w:fill="auto"/>
                  <w:noWrap/>
                  <w:vAlign w:val="bottom"/>
                </w:tcPr>
                <w:p w14:paraId="69B07EA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风机</w:t>
                  </w:r>
                </w:p>
              </w:tc>
              <w:tc>
                <w:tcPr>
                  <w:tcW w:w="3938" w:type="dxa"/>
                  <w:tcBorders>
                    <w:tl2br w:val="nil"/>
                    <w:tr2bl w:val="nil"/>
                  </w:tcBorders>
                  <w:shd w:val="clear" w:color="auto" w:fill="auto"/>
                  <w:noWrap/>
                  <w:vAlign w:val="bottom"/>
                </w:tcPr>
                <w:p w14:paraId="1F8125E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风量：23m³/min, 2500Pa</w:t>
                  </w:r>
                </w:p>
              </w:tc>
              <w:tc>
                <w:tcPr>
                  <w:tcW w:w="749" w:type="dxa"/>
                  <w:tcBorders>
                    <w:tl2br w:val="nil"/>
                    <w:tr2bl w:val="nil"/>
                  </w:tcBorders>
                  <w:shd w:val="clear" w:color="auto" w:fill="auto"/>
                  <w:noWrap/>
                  <w:vAlign w:val="bottom"/>
                </w:tcPr>
                <w:p w14:paraId="1A1EB08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5821C6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56081CB3">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3177" w:type="dxa"/>
                  <w:tcBorders>
                    <w:tl2br w:val="nil"/>
                    <w:tr2bl w:val="nil"/>
                  </w:tcBorders>
                  <w:shd w:val="clear" w:color="auto" w:fill="auto"/>
                  <w:noWrap/>
                  <w:vAlign w:val="bottom"/>
                </w:tcPr>
                <w:p w14:paraId="055B8A44">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蒸汽换热器</w:t>
                  </w:r>
                </w:p>
              </w:tc>
              <w:tc>
                <w:tcPr>
                  <w:tcW w:w="3938" w:type="dxa"/>
                  <w:tcBorders>
                    <w:tl2br w:val="nil"/>
                    <w:tr2bl w:val="nil"/>
                  </w:tcBorders>
                  <w:shd w:val="clear" w:color="auto" w:fill="auto"/>
                  <w:noWrap/>
                  <w:vAlign w:val="bottom"/>
                </w:tcPr>
                <w:p w14:paraId="2CB6B39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BR0.23-1.0-10</w:t>
                  </w:r>
                </w:p>
              </w:tc>
              <w:tc>
                <w:tcPr>
                  <w:tcW w:w="749" w:type="dxa"/>
                  <w:tcBorders>
                    <w:tl2br w:val="nil"/>
                    <w:tr2bl w:val="nil"/>
                  </w:tcBorders>
                  <w:shd w:val="clear" w:color="auto" w:fill="auto"/>
                  <w:noWrap/>
                  <w:vAlign w:val="bottom"/>
                </w:tcPr>
                <w:p w14:paraId="38CC538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15E6AB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1D0C3827">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3177" w:type="dxa"/>
                  <w:tcBorders>
                    <w:tl2br w:val="nil"/>
                    <w:tr2bl w:val="nil"/>
                  </w:tcBorders>
                  <w:shd w:val="clear" w:color="auto" w:fill="auto"/>
                  <w:noWrap/>
                  <w:vAlign w:val="bottom"/>
                </w:tcPr>
                <w:p w14:paraId="69B8E8A4">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沙克龙</w:t>
                  </w:r>
                </w:p>
              </w:tc>
              <w:tc>
                <w:tcPr>
                  <w:tcW w:w="3938" w:type="dxa"/>
                  <w:tcBorders>
                    <w:tl2br w:val="nil"/>
                    <w:tr2bl w:val="nil"/>
                  </w:tcBorders>
                  <w:shd w:val="clear" w:color="auto" w:fill="auto"/>
                  <w:noWrap/>
                  <w:vAlign w:val="bottom"/>
                </w:tcPr>
                <w:p w14:paraId="786C94BF">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w:t>
                  </w:r>
                </w:p>
              </w:tc>
              <w:tc>
                <w:tcPr>
                  <w:tcW w:w="749" w:type="dxa"/>
                  <w:tcBorders>
                    <w:tl2br w:val="nil"/>
                    <w:tr2bl w:val="nil"/>
                  </w:tcBorders>
                  <w:shd w:val="clear" w:color="auto" w:fill="auto"/>
                  <w:noWrap/>
                  <w:vAlign w:val="bottom"/>
                </w:tcPr>
                <w:p w14:paraId="305D7F5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427877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5761A81D">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3177" w:type="dxa"/>
                  <w:tcBorders>
                    <w:tl2br w:val="nil"/>
                    <w:tr2bl w:val="nil"/>
                  </w:tcBorders>
                  <w:shd w:val="clear" w:color="auto" w:fill="auto"/>
                  <w:noWrap/>
                  <w:vAlign w:val="bottom"/>
                </w:tcPr>
                <w:p w14:paraId="5D95960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高压风机</w:t>
                  </w:r>
                </w:p>
              </w:tc>
              <w:tc>
                <w:tcPr>
                  <w:tcW w:w="3938" w:type="dxa"/>
                  <w:tcBorders>
                    <w:tl2br w:val="nil"/>
                    <w:tr2bl w:val="nil"/>
                  </w:tcBorders>
                  <w:shd w:val="clear" w:color="auto" w:fill="auto"/>
                  <w:noWrap/>
                  <w:vAlign w:val="bottom"/>
                </w:tcPr>
                <w:p w14:paraId="1B523014">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风量60m</w:t>
                  </w:r>
                  <w:r>
                    <w:rPr>
                      <w:rFonts w:hint="eastAsia" w:cs="Times New Roman"/>
                      <w:i w:val="0"/>
                      <w:iCs w:val="0"/>
                      <w:color w:val="000000"/>
                      <w:kern w:val="0"/>
                      <w:sz w:val="21"/>
                      <w:szCs w:val="21"/>
                      <w:u w:val="none"/>
                      <w:vertAlign w:val="superscript"/>
                      <w:lang w:val="en-US" w:eastAsia="zh-CN" w:bidi="ar"/>
                    </w:rPr>
                    <w:t>3</w:t>
                  </w:r>
                  <w:r>
                    <w:rPr>
                      <w:rFonts w:hint="eastAsia" w:cs="Times New Roman"/>
                      <w:i w:val="0"/>
                      <w:iCs w:val="0"/>
                      <w:color w:val="000000"/>
                      <w:kern w:val="0"/>
                      <w:sz w:val="21"/>
                      <w:szCs w:val="21"/>
                      <w:u w:val="none"/>
                      <w:lang w:val="en-US" w:eastAsia="zh-CN" w:bidi="ar"/>
                    </w:rPr>
                    <w:t>/min, 4000Pa</w:t>
                  </w:r>
                </w:p>
              </w:tc>
              <w:tc>
                <w:tcPr>
                  <w:tcW w:w="749" w:type="dxa"/>
                  <w:tcBorders>
                    <w:tl2br w:val="nil"/>
                    <w:tr2bl w:val="nil"/>
                  </w:tcBorders>
                  <w:shd w:val="clear" w:color="auto" w:fill="auto"/>
                  <w:noWrap/>
                  <w:vAlign w:val="bottom"/>
                </w:tcPr>
                <w:p w14:paraId="5B1E501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C7064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49783C1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3177" w:type="dxa"/>
                  <w:tcBorders>
                    <w:tl2br w:val="nil"/>
                    <w:tr2bl w:val="nil"/>
                  </w:tcBorders>
                  <w:shd w:val="clear" w:color="auto" w:fill="auto"/>
                  <w:noWrap/>
                  <w:vAlign w:val="bottom"/>
                </w:tcPr>
                <w:p w14:paraId="4CEAF247">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卸料关风器</w:t>
                  </w:r>
                </w:p>
              </w:tc>
              <w:tc>
                <w:tcPr>
                  <w:tcW w:w="3938" w:type="dxa"/>
                  <w:tcBorders>
                    <w:tl2br w:val="nil"/>
                    <w:tr2bl w:val="nil"/>
                  </w:tcBorders>
                  <w:shd w:val="clear" w:color="auto" w:fill="auto"/>
                  <w:noWrap/>
                  <w:vAlign w:val="bottom"/>
                </w:tcPr>
                <w:p w14:paraId="6E5EDA7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MPSJ-36/38</w:t>
                  </w:r>
                </w:p>
              </w:tc>
              <w:tc>
                <w:tcPr>
                  <w:tcW w:w="749" w:type="dxa"/>
                  <w:tcBorders>
                    <w:tl2br w:val="nil"/>
                    <w:tr2bl w:val="nil"/>
                  </w:tcBorders>
                  <w:shd w:val="clear" w:color="auto" w:fill="auto"/>
                  <w:noWrap/>
                  <w:vAlign w:val="bottom"/>
                </w:tcPr>
                <w:p w14:paraId="3837171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337EFF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6BAD00C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3177" w:type="dxa"/>
                  <w:tcBorders>
                    <w:tl2br w:val="nil"/>
                    <w:tr2bl w:val="nil"/>
                  </w:tcBorders>
                  <w:shd w:val="clear" w:color="auto" w:fill="auto"/>
                  <w:noWrap/>
                  <w:vAlign w:val="bottom"/>
                </w:tcPr>
                <w:p w14:paraId="78CBFBF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风网系统</w:t>
                  </w:r>
                </w:p>
              </w:tc>
              <w:tc>
                <w:tcPr>
                  <w:tcW w:w="3938" w:type="dxa"/>
                  <w:tcBorders>
                    <w:tl2br w:val="nil"/>
                    <w:tr2bl w:val="nil"/>
                  </w:tcBorders>
                  <w:shd w:val="clear" w:color="auto" w:fill="auto"/>
                  <w:noWrap/>
                  <w:vAlign w:val="bottom"/>
                </w:tcPr>
                <w:p w14:paraId="0AADB7B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w:t>
                  </w:r>
                </w:p>
              </w:tc>
              <w:tc>
                <w:tcPr>
                  <w:tcW w:w="749" w:type="dxa"/>
                  <w:tcBorders>
                    <w:tl2br w:val="nil"/>
                    <w:tr2bl w:val="nil"/>
                  </w:tcBorders>
                  <w:shd w:val="clear" w:color="auto" w:fill="auto"/>
                  <w:noWrap/>
                  <w:vAlign w:val="bottom"/>
                </w:tcPr>
                <w:p w14:paraId="41916DD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3443DB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239A256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3177" w:type="dxa"/>
                  <w:tcBorders>
                    <w:tl2br w:val="nil"/>
                    <w:tr2bl w:val="nil"/>
                  </w:tcBorders>
                  <w:shd w:val="clear" w:color="auto" w:fill="auto"/>
                  <w:noWrap/>
                  <w:vAlign w:val="bottom"/>
                </w:tcPr>
                <w:p w14:paraId="1EA69F90">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sz w:val="21"/>
                      <w:szCs w:val="21"/>
                      <w:u w:val="none"/>
                      <w:lang w:eastAsia="zh-CN"/>
                    </w:rPr>
                    <w:t>蒸汽发生器</w:t>
                  </w:r>
                </w:p>
              </w:tc>
              <w:tc>
                <w:tcPr>
                  <w:tcW w:w="3938" w:type="dxa"/>
                  <w:tcBorders>
                    <w:tl2br w:val="nil"/>
                    <w:tr2bl w:val="nil"/>
                  </w:tcBorders>
                  <w:shd w:val="clear" w:color="auto" w:fill="auto"/>
                  <w:noWrap/>
                  <w:vAlign w:val="bottom"/>
                </w:tcPr>
                <w:p w14:paraId="703E38C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0.5t</w:t>
                  </w:r>
                </w:p>
              </w:tc>
              <w:tc>
                <w:tcPr>
                  <w:tcW w:w="749" w:type="dxa"/>
                  <w:tcBorders>
                    <w:tl2br w:val="nil"/>
                    <w:tr2bl w:val="nil"/>
                  </w:tcBorders>
                  <w:shd w:val="clear" w:color="auto" w:fill="auto"/>
                  <w:noWrap/>
                  <w:vAlign w:val="bottom"/>
                </w:tcPr>
                <w:p w14:paraId="40AA637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9DA20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1D71F629">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3177" w:type="dxa"/>
                  <w:tcBorders>
                    <w:tl2br w:val="nil"/>
                    <w:tr2bl w:val="nil"/>
                  </w:tcBorders>
                  <w:shd w:val="clear" w:color="auto" w:fill="auto"/>
                  <w:noWrap/>
                  <w:vAlign w:val="bottom"/>
                </w:tcPr>
                <w:p w14:paraId="3C0FEED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eastAsia" w:cs="Times New Roman"/>
                      <w:i w:val="0"/>
                      <w:iCs w:val="0"/>
                      <w:color w:val="000000"/>
                      <w:sz w:val="21"/>
                      <w:szCs w:val="21"/>
                      <w:highlight w:val="none"/>
                      <w:u w:val="none"/>
                      <w:lang w:val="en-US" w:eastAsia="zh-CN"/>
                    </w:rPr>
                    <w:t>烘干</w:t>
                  </w:r>
                  <w:r>
                    <w:rPr>
                      <w:rFonts w:hint="default" w:ascii="Times New Roman" w:hAnsi="Times New Roman" w:eastAsia="宋体" w:cs="Times New Roman"/>
                      <w:i w:val="0"/>
                      <w:iCs w:val="0"/>
                      <w:color w:val="000000"/>
                      <w:sz w:val="21"/>
                      <w:szCs w:val="21"/>
                      <w:highlight w:val="none"/>
                      <w:u w:val="none"/>
                      <w:lang w:val="en-US" w:eastAsia="zh-CN"/>
                    </w:rPr>
                    <w:t>天然气烤箱</w:t>
                  </w:r>
                </w:p>
              </w:tc>
              <w:tc>
                <w:tcPr>
                  <w:tcW w:w="3938" w:type="dxa"/>
                  <w:tcBorders>
                    <w:tl2br w:val="nil"/>
                    <w:tr2bl w:val="nil"/>
                  </w:tcBorders>
                  <w:shd w:val="clear" w:color="auto" w:fill="auto"/>
                  <w:noWrap/>
                  <w:vAlign w:val="bottom"/>
                </w:tcPr>
                <w:p w14:paraId="4ACA077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12米</w:t>
                  </w:r>
                </w:p>
              </w:tc>
              <w:tc>
                <w:tcPr>
                  <w:tcW w:w="749" w:type="dxa"/>
                  <w:tcBorders>
                    <w:tl2br w:val="nil"/>
                    <w:tr2bl w:val="nil"/>
                  </w:tcBorders>
                  <w:shd w:val="clear" w:color="auto" w:fill="auto"/>
                  <w:noWrap/>
                  <w:vAlign w:val="bottom"/>
                </w:tcPr>
                <w:p w14:paraId="41DB78A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52C23B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25F637DC">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3177" w:type="dxa"/>
                  <w:tcBorders>
                    <w:tl2br w:val="nil"/>
                    <w:tr2bl w:val="nil"/>
                  </w:tcBorders>
                  <w:shd w:val="clear" w:color="auto" w:fill="auto"/>
                  <w:noWrap/>
                  <w:vAlign w:val="bottom"/>
                </w:tcPr>
                <w:p w14:paraId="4A4317D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sz w:val="21"/>
                      <w:szCs w:val="21"/>
                      <w:u w:val="none"/>
                      <w:lang w:eastAsia="zh-CN"/>
                    </w:rPr>
                    <w:t>冷却箱</w:t>
                  </w:r>
                </w:p>
              </w:tc>
              <w:tc>
                <w:tcPr>
                  <w:tcW w:w="3938" w:type="dxa"/>
                  <w:tcBorders>
                    <w:tl2br w:val="nil"/>
                    <w:tr2bl w:val="nil"/>
                  </w:tcBorders>
                  <w:shd w:val="clear" w:color="auto" w:fill="auto"/>
                  <w:noWrap/>
                  <w:vAlign w:val="bottom"/>
                </w:tcPr>
                <w:p w14:paraId="496448F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5米</w:t>
                  </w:r>
                </w:p>
              </w:tc>
              <w:tc>
                <w:tcPr>
                  <w:tcW w:w="749" w:type="dxa"/>
                  <w:tcBorders>
                    <w:tl2br w:val="nil"/>
                    <w:tr2bl w:val="nil"/>
                  </w:tcBorders>
                  <w:shd w:val="clear" w:color="auto" w:fill="auto"/>
                  <w:noWrap/>
                  <w:vAlign w:val="bottom"/>
                </w:tcPr>
                <w:p w14:paraId="7CB55E0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34B40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10E9197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3177" w:type="dxa"/>
                  <w:tcBorders>
                    <w:tl2br w:val="nil"/>
                    <w:tr2bl w:val="nil"/>
                  </w:tcBorders>
                  <w:shd w:val="clear" w:color="auto" w:fill="auto"/>
                  <w:noWrap/>
                  <w:vAlign w:val="bottom"/>
                </w:tcPr>
                <w:p w14:paraId="50118AEF">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成品冷库</w:t>
                  </w:r>
                </w:p>
              </w:tc>
              <w:tc>
                <w:tcPr>
                  <w:tcW w:w="3938" w:type="dxa"/>
                  <w:tcBorders>
                    <w:tl2br w:val="nil"/>
                    <w:tr2bl w:val="nil"/>
                  </w:tcBorders>
                  <w:shd w:val="clear" w:color="auto" w:fill="auto"/>
                  <w:noWrap/>
                  <w:vAlign w:val="bottom"/>
                </w:tcPr>
                <w:p w14:paraId="581A406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bCs/>
                      <w:color w:val="auto"/>
                      <w:szCs w:val="21"/>
                      <w:highlight w:val="none"/>
                      <w:lang w:val="en-US" w:eastAsia="zh-CN"/>
                    </w:rPr>
                    <w:t>电能；</w:t>
                  </w:r>
                  <w:r>
                    <w:rPr>
                      <w:rStyle w:val="38"/>
                      <w:rFonts w:hint="eastAsia"/>
                      <w:color w:val="auto"/>
                      <w:kern w:val="0"/>
                      <w:szCs w:val="20"/>
                      <w:highlight w:val="none"/>
                      <w:lang w:val="en-US" w:eastAsia="zh-CN"/>
                    </w:rPr>
                    <w:t>温度：-18℃</w:t>
                  </w:r>
                </w:p>
              </w:tc>
              <w:tc>
                <w:tcPr>
                  <w:tcW w:w="749" w:type="dxa"/>
                  <w:tcBorders>
                    <w:tl2br w:val="nil"/>
                    <w:tr2bl w:val="nil"/>
                  </w:tcBorders>
                  <w:shd w:val="clear" w:color="auto" w:fill="auto"/>
                  <w:noWrap/>
                  <w:vAlign w:val="bottom"/>
                </w:tcPr>
                <w:p w14:paraId="0E704DA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3B27F3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tcBorders>
                    <w:tl2br w:val="nil"/>
                    <w:tr2bl w:val="nil"/>
                  </w:tcBorders>
                  <w:shd w:val="clear" w:color="auto" w:fill="auto"/>
                  <w:noWrap/>
                  <w:vAlign w:val="bottom"/>
                </w:tcPr>
                <w:p w14:paraId="141E706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3177" w:type="dxa"/>
                  <w:tcBorders>
                    <w:tl2br w:val="nil"/>
                    <w:tr2bl w:val="nil"/>
                  </w:tcBorders>
                  <w:shd w:val="clear" w:color="auto" w:fill="auto"/>
                  <w:noWrap/>
                  <w:vAlign w:val="bottom"/>
                </w:tcPr>
                <w:p w14:paraId="490AE56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软水制备系统</w:t>
                  </w:r>
                </w:p>
              </w:tc>
              <w:tc>
                <w:tcPr>
                  <w:tcW w:w="3938" w:type="dxa"/>
                  <w:tcBorders>
                    <w:tl2br w:val="nil"/>
                    <w:tr2bl w:val="nil"/>
                  </w:tcBorders>
                  <w:shd w:val="clear" w:color="auto" w:fill="auto"/>
                  <w:noWrap/>
                  <w:vAlign w:val="bottom"/>
                </w:tcPr>
                <w:p w14:paraId="778E022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JMT-900</w:t>
                  </w:r>
                </w:p>
              </w:tc>
              <w:tc>
                <w:tcPr>
                  <w:tcW w:w="749" w:type="dxa"/>
                  <w:tcBorders>
                    <w:tl2br w:val="nil"/>
                    <w:tr2bl w:val="nil"/>
                  </w:tcBorders>
                  <w:shd w:val="clear" w:color="auto" w:fill="auto"/>
                  <w:noWrap/>
                  <w:vAlign w:val="bottom"/>
                </w:tcPr>
                <w:p w14:paraId="3BD40A22">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1</w:t>
                  </w:r>
                </w:p>
              </w:tc>
            </w:tr>
            <w:tr w14:paraId="7FE80D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000" w:type="pct"/>
                  <w:gridSpan w:val="4"/>
                  <w:tcBorders>
                    <w:tl2br w:val="nil"/>
                    <w:tr2bl w:val="nil"/>
                  </w:tcBorders>
                  <w:shd w:val="clear" w:color="auto" w:fill="auto"/>
                  <w:noWrap/>
                  <w:vAlign w:val="bottom"/>
                </w:tcPr>
                <w:p w14:paraId="61E2CD5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bCs/>
                      <w:i w:val="0"/>
                      <w:iCs w:val="0"/>
                      <w:color w:val="000000"/>
                      <w:kern w:val="0"/>
                      <w:sz w:val="21"/>
                      <w:szCs w:val="21"/>
                      <w:highlight w:val="none"/>
                      <w:u w:val="none"/>
                      <w:lang w:val="en-US" w:eastAsia="zh-CN" w:bidi="ar"/>
                    </w:rPr>
                    <w:t>即食面筋</w:t>
                  </w:r>
                </w:p>
              </w:tc>
            </w:tr>
            <w:tr w14:paraId="400198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9" w:type="dxa"/>
                  <w:tcBorders>
                    <w:tl2br w:val="nil"/>
                    <w:tr2bl w:val="nil"/>
                  </w:tcBorders>
                  <w:shd w:val="clear" w:color="auto" w:fill="auto"/>
                  <w:noWrap/>
                  <w:vAlign w:val="bottom"/>
                </w:tcPr>
                <w:p w14:paraId="4B490167">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bookmarkStart w:id="167" w:name="_GoBack" w:colFirst="0" w:colLast="3"/>
                  <w:r>
                    <w:rPr>
                      <w:rFonts w:hint="eastAsia" w:cs="Times New Roman"/>
                      <w:i w:val="0"/>
                      <w:iCs w:val="0"/>
                      <w:color w:val="000000"/>
                      <w:kern w:val="0"/>
                      <w:sz w:val="21"/>
                      <w:szCs w:val="21"/>
                      <w:u w:val="none"/>
                      <w:lang w:val="en-US" w:eastAsia="zh-CN" w:bidi="ar"/>
                    </w:rPr>
                    <w:t>1</w:t>
                  </w:r>
                </w:p>
              </w:tc>
              <w:tc>
                <w:tcPr>
                  <w:tcW w:w="3177" w:type="dxa"/>
                  <w:tcBorders>
                    <w:tl2br w:val="nil"/>
                    <w:tr2bl w:val="nil"/>
                  </w:tcBorders>
                  <w:shd w:val="clear" w:color="auto" w:fill="auto"/>
                  <w:noWrap/>
                  <w:vAlign w:val="center"/>
                </w:tcPr>
                <w:p w14:paraId="27C9BD56">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蒸煮/卤制锅</w:t>
                  </w:r>
                  <w:r>
                    <w:rPr>
                      <w:rFonts w:hint="eastAsia" w:cs="Times New Roman"/>
                      <w:i w:val="0"/>
                      <w:iCs w:val="0"/>
                      <w:color w:val="000000"/>
                      <w:kern w:val="0"/>
                      <w:sz w:val="21"/>
                      <w:szCs w:val="21"/>
                      <w:u w:val="none"/>
                      <w:lang w:val="en-US" w:eastAsia="zh-CN" w:bidi="ar"/>
                    </w:rPr>
                    <w:t>（夹层锅）</w:t>
                  </w:r>
                </w:p>
              </w:tc>
              <w:tc>
                <w:tcPr>
                  <w:tcW w:w="3938" w:type="dxa"/>
                  <w:tcBorders>
                    <w:tl2br w:val="nil"/>
                    <w:tr2bl w:val="nil"/>
                  </w:tcBorders>
                  <w:shd w:val="clear" w:color="auto" w:fill="auto"/>
                  <w:noWrap/>
                  <w:vAlign w:val="center"/>
                </w:tcPr>
                <w:p w14:paraId="3B56589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连续网带蒸煮卤制线（3 米）ZL-3000</w:t>
                  </w:r>
                </w:p>
              </w:tc>
              <w:tc>
                <w:tcPr>
                  <w:tcW w:w="749" w:type="dxa"/>
                  <w:tcBorders>
                    <w:tl2br w:val="nil"/>
                    <w:tr2bl w:val="nil"/>
                  </w:tcBorders>
                  <w:shd w:val="clear" w:color="auto" w:fill="auto"/>
                  <w:noWrap/>
                  <w:vAlign w:val="center"/>
                </w:tcPr>
                <w:p w14:paraId="3216B08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2</w:t>
                  </w:r>
                </w:p>
              </w:tc>
            </w:tr>
            <w:tr w14:paraId="452120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9" w:type="dxa"/>
                  <w:tcBorders>
                    <w:tl2br w:val="nil"/>
                    <w:tr2bl w:val="nil"/>
                  </w:tcBorders>
                  <w:shd w:val="clear" w:color="auto" w:fill="auto"/>
                  <w:noWrap/>
                  <w:vAlign w:val="bottom"/>
                </w:tcPr>
                <w:p w14:paraId="3EE6D37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2</w:t>
                  </w:r>
                </w:p>
              </w:tc>
              <w:tc>
                <w:tcPr>
                  <w:tcW w:w="3177" w:type="dxa"/>
                  <w:tcBorders>
                    <w:tl2br w:val="nil"/>
                    <w:tr2bl w:val="nil"/>
                  </w:tcBorders>
                  <w:shd w:val="clear" w:color="auto" w:fill="auto"/>
                  <w:noWrap/>
                  <w:vAlign w:val="bottom"/>
                </w:tcPr>
                <w:p w14:paraId="5E7661E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全自动连续真空包装机</w:t>
                  </w:r>
                </w:p>
              </w:tc>
              <w:tc>
                <w:tcPr>
                  <w:tcW w:w="3938" w:type="dxa"/>
                  <w:tcBorders>
                    <w:tl2br w:val="nil"/>
                    <w:tr2bl w:val="nil"/>
                  </w:tcBorders>
                  <w:shd w:val="clear" w:color="auto" w:fill="auto"/>
                  <w:noWrap/>
                  <w:vAlign w:val="bottom"/>
                </w:tcPr>
                <w:p w14:paraId="6788F5A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w:t>
                  </w:r>
                </w:p>
              </w:tc>
              <w:tc>
                <w:tcPr>
                  <w:tcW w:w="749" w:type="dxa"/>
                  <w:tcBorders>
                    <w:tl2br w:val="nil"/>
                    <w:tr2bl w:val="nil"/>
                  </w:tcBorders>
                  <w:shd w:val="clear" w:color="auto" w:fill="auto"/>
                  <w:noWrap/>
                  <w:vAlign w:val="bottom"/>
                </w:tcPr>
                <w:p w14:paraId="0AD31C8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3</w:t>
                  </w:r>
                </w:p>
              </w:tc>
            </w:tr>
            <w:tr w14:paraId="05D5BB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9" w:type="dxa"/>
                  <w:tcBorders>
                    <w:tl2br w:val="nil"/>
                    <w:tr2bl w:val="nil"/>
                  </w:tcBorders>
                  <w:shd w:val="clear" w:color="auto" w:fill="auto"/>
                  <w:noWrap/>
                  <w:vAlign w:val="bottom"/>
                </w:tcPr>
                <w:p w14:paraId="0A771AB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3</w:t>
                  </w:r>
                </w:p>
              </w:tc>
              <w:tc>
                <w:tcPr>
                  <w:tcW w:w="3177" w:type="dxa"/>
                  <w:tcBorders>
                    <w:tl2br w:val="nil"/>
                    <w:tr2bl w:val="nil"/>
                  </w:tcBorders>
                  <w:shd w:val="clear" w:color="auto" w:fill="auto"/>
                  <w:noWrap/>
                  <w:vAlign w:val="bottom"/>
                </w:tcPr>
                <w:p w14:paraId="3796BE1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color w:val="auto"/>
                      <w:szCs w:val="21"/>
                      <w:highlight w:val="none"/>
                    </w:rPr>
                    <w:t>高温杀菌机</w:t>
                  </w:r>
                </w:p>
              </w:tc>
              <w:tc>
                <w:tcPr>
                  <w:tcW w:w="3938" w:type="dxa"/>
                  <w:tcBorders>
                    <w:tl2br w:val="nil"/>
                    <w:tr2bl w:val="nil"/>
                  </w:tcBorders>
                  <w:shd w:val="clear" w:color="auto" w:fill="auto"/>
                  <w:noWrap/>
                  <w:vAlign w:val="bottom"/>
                </w:tcPr>
                <w:p w14:paraId="6201E56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bCs/>
                      <w:color w:val="auto"/>
                      <w:szCs w:val="21"/>
                      <w:highlight w:val="none"/>
                    </w:rPr>
                    <w:t>DTS/15-5</w:t>
                  </w:r>
                </w:p>
              </w:tc>
              <w:tc>
                <w:tcPr>
                  <w:tcW w:w="749" w:type="dxa"/>
                  <w:tcBorders>
                    <w:tl2br w:val="nil"/>
                    <w:tr2bl w:val="nil"/>
                  </w:tcBorders>
                  <w:shd w:val="clear" w:color="auto" w:fill="auto"/>
                  <w:noWrap/>
                  <w:vAlign w:val="bottom"/>
                </w:tcPr>
                <w:p w14:paraId="3D7AC629">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2</w:t>
                  </w:r>
                </w:p>
              </w:tc>
            </w:tr>
            <w:tr w14:paraId="4C2462F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9" w:type="dxa"/>
                  <w:tcBorders>
                    <w:tl2br w:val="nil"/>
                    <w:tr2bl w:val="nil"/>
                  </w:tcBorders>
                  <w:shd w:val="clear" w:color="auto" w:fill="auto"/>
                  <w:noWrap/>
                  <w:vAlign w:val="bottom"/>
                </w:tcPr>
                <w:p w14:paraId="086D932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4</w:t>
                  </w:r>
                </w:p>
              </w:tc>
              <w:tc>
                <w:tcPr>
                  <w:tcW w:w="3177" w:type="dxa"/>
                  <w:tcBorders>
                    <w:tl2br w:val="nil"/>
                    <w:tr2bl w:val="nil"/>
                  </w:tcBorders>
                  <w:shd w:val="clear" w:color="auto" w:fill="auto"/>
                  <w:noWrap/>
                  <w:vAlign w:val="bottom"/>
                </w:tcPr>
                <w:p w14:paraId="338493DF">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蒸汽发生器（24kw）</w:t>
                  </w:r>
                </w:p>
              </w:tc>
              <w:tc>
                <w:tcPr>
                  <w:tcW w:w="3938" w:type="dxa"/>
                  <w:tcBorders>
                    <w:tl2br w:val="nil"/>
                    <w:tr2bl w:val="nil"/>
                  </w:tcBorders>
                  <w:shd w:val="clear" w:color="auto" w:fill="auto"/>
                  <w:noWrap/>
                  <w:vAlign w:val="bottom"/>
                </w:tcPr>
                <w:p w14:paraId="628AFF54">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0.5t</w:t>
                  </w:r>
                </w:p>
              </w:tc>
              <w:tc>
                <w:tcPr>
                  <w:tcW w:w="749" w:type="dxa"/>
                  <w:tcBorders>
                    <w:tl2br w:val="nil"/>
                    <w:tr2bl w:val="nil"/>
                  </w:tcBorders>
                  <w:shd w:val="clear" w:color="auto" w:fill="auto"/>
                  <w:noWrap/>
                  <w:vAlign w:val="bottom"/>
                </w:tcPr>
                <w:p w14:paraId="63BABDE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2</w:t>
                  </w:r>
                </w:p>
              </w:tc>
            </w:tr>
            <w:tr w14:paraId="1D0670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9" w:type="dxa"/>
                  <w:tcBorders>
                    <w:tl2br w:val="nil"/>
                    <w:tr2bl w:val="nil"/>
                  </w:tcBorders>
                  <w:shd w:val="clear" w:color="auto" w:fill="auto"/>
                  <w:noWrap/>
                  <w:vAlign w:val="bottom"/>
                </w:tcPr>
                <w:p w14:paraId="00ACE95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5</w:t>
                  </w:r>
                </w:p>
              </w:tc>
              <w:tc>
                <w:tcPr>
                  <w:tcW w:w="3177" w:type="dxa"/>
                  <w:tcBorders>
                    <w:tl2br w:val="nil"/>
                    <w:tr2bl w:val="nil"/>
                  </w:tcBorders>
                  <w:shd w:val="clear" w:color="auto" w:fill="auto"/>
                  <w:noWrap/>
                  <w:vAlign w:val="bottom"/>
                </w:tcPr>
                <w:p w14:paraId="7260953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冰水机（5 匹）</w:t>
                  </w:r>
                </w:p>
              </w:tc>
              <w:tc>
                <w:tcPr>
                  <w:tcW w:w="3938" w:type="dxa"/>
                  <w:tcBorders>
                    <w:tl2br w:val="nil"/>
                    <w:tr2bl w:val="nil"/>
                  </w:tcBorders>
                  <w:shd w:val="clear" w:color="auto" w:fill="auto"/>
                  <w:noWrap/>
                  <w:vAlign w:val="bottom"/>
                </w:tcPr>
                <w:p w14:paraId="59DB835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w:t>
                  </w:r>
                </w:p>
              </w:tc>
              <w:tc>
                <w:tcPr>
                  <w:tcW w:w="749" w:type="dxa"/>
                  <w:tcBorders>
                    <w:tl2br w:val="nil"/>
                    <w:tr2bl w:val="nil"/>
                  </w:tcBorders>
                  <w:shd w:val="clear" w:color="auto" w:fill="auto"/>
                  <w:noWrap/>
                  <w:vAlign w:val="bottom"/>
                </w:tcPr>
                <w:p w14:paraId="1FA3627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05D9E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9" w:type="dxa"/>
                  <w:tcBorders>
                    <w:tl2br w:val="nil"/>
                    <w:tr2bl w:val="nil"/>
                  </w:tcBorders>
                  <w:shd w:val="clear" w:color="auto" w:fill="auto"/>
                  <w:noWrap/>
                  <w:vAlign w:val="bottom"/>
                </w:tcPr>
                <w:p w14:paraId="7C3DE7E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6</w:t>
                  </w:r>
                </w:p>
              </w:tc>
              <w:tc>
                <w:tcPr>
                  <w:tcW w:w="3177" w:type="dxa"/>
                  <w:tcBorders>
                    <w:tl2br w:val="nil"/>
                    <w:tr2bl w:val="nil"/>
                  </w:tcBorders>
                  <w:shd w:val="clear" w:color="auto" w:fill="auto"/>
                  <w:noWrap/>
                  <w:vAlign w:val="bottom"/>
                </w:tcPr>
                <w:p w14:paraId="439596C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不锈钢周转筐 / 清洗机</w:t>
                  </w:r>
                </w:p>
              </w:tc>
              <w:tc>
                <w:tcPr>
                  <w:tcW w:w="3938" w:type="dxa"/>
                  <w:tcBorders>
                    <w:tl2br w:val="nil"/>
                    <w:tr2bl w:val="nil"/>
                  </w:tcBorders>
                  <w:shd w:val="clear" w:color="auto" w:fill="auto"/>
                  <w:noWrap/>
                  <w:vAlign w:val="bottom"/>
                </w:tcPr>
                <w:p w14:paraId="6FEEF2F2">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bCs/>
                      <w:color w:val="auto"/>
                      <w:szCs w:val="21"/>
                      <w:highlight w:val="none"/>
                    </w:rPr>
                    <w:t>JD-8000型</w:t>
                  </w:r>
                </w:p>
              </w:tc>
              <w:tc>
                <w:tcPr>
                  <w:tcW w:w="749" w:type="dxa"/>
                  <w:tcBorders>
                    <w:tl2br w:val="nil"/>
                    <w:tr2bl w:val="nil"/>
                  </w:tcBorders>
                  <w:shd w:val="clear" w:color="auto" w:fill="auto"/>
                  <w:noWrap/>
                  <w:vAlign w:val="bottom"/>
                </w:tcPr>
                <w:p w14:paraId="6071D4C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73368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9" w:type="dxa"/>
                  <w:tcBorders>
                    <w:tl2br w:val="nil"/>
                    <w:tr2bl w:val="nil"/>
                  </w:tcBorders>
                  <w:shd w:val="clear" w:color="auto" w:fill="auto"/>
                  <w:noWrap/>
                  <w:vAlign w:val="bottom"/>
                </w:tcPr>
                <w:p w14:paraId="73EF4F20">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7</w:t>
                  </w:r>
                </w:p>
              </w:tc>
              <w:tc>
                <w:tcPr>
                  <w:tcW w:w="3177" w:type="dxa"/>
                  <w:tcBorders>
                    <w:tl2br w:val="nil"/>
                    <w:tr2bl w:val="nil"/>
                  </w:tcBorders>
                  <w:shd w:val="clear" w:color="auto" w:fill="auto"/>
                  <w:noWrap/>
                  <w:vAlign w:val="bottom"/>
                </w:tcPr>
                <w:p w14:paraId="673C6D1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真空快速冷却机</w:t>
                  </w:r>
                </w:p>
              </w:tc>
              <w:tc>
                <w:tcPr>
                  <w:tcW w:w="3938" w:type="dxa"/>
                  <w:tcBorders>
                    <w:tl2br w:val="nil"/>
                    <w:tr2bl w:val="nil"/>
                  </w:tcBorders>
                  <w:shd w:val="clear" w:color="auto" w:fill="auto"/>
                  <w:noWrap/>
                  <w:vAlign w:val="bottom"/>
                </w:tcPr>
                <w:p w14:paraId="252AD7B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FCJY-300</w:t>
                  </w:r>
                </w:p>
              </w:tc>
              <w:tc>
                <w:tcPr>
                  <w:tcW w:w="749" w:type="dxa"/>
                  <w:tcBorders>
                    <w:tl2br w:val="nil"/>
                    <w:tr2bl w:val="nil"/>
                  </w:tcBorders>
                  <w:shd w:val="clear" w:color="auto" w:fill="auto"/>
                  <w:noWrap/>
                  <w:vAlign w:val="bottom"/>
                </w:tcPr>
                <w:p w14:paraId="225E0A24">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1</w:t>
                  </w:r>
                </w:p>
              </w:tc>
            </w:tr>
            <w:tr w14:paraId="6EBC97A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9" w:type="dxa"/>
                  <w:tcBorders>
                    <w:tl2br w:val="nil"/>
                    <w:tr2bl w:val="nil"/>
                  </w:tcBorders>
                  <w:shd w:val="clear" w:color="auto" w:fill="auto"/>
                  <w:noWrap/>
                  <w:vAlign w:val="bottom"/>
                </w:tcPr>
                <w:p w14:paraId="4018ED5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8</w:t>
                  </w:r>
                </w:p>
              </w:tc>
              <w:tc>
                <w:tcPr>
                  <w:tcW w:w="3177" w:type="dxa"/>
                  <w:tcBorders>
                    <w:tl2br w:val="nil"/>
                    <w:tr2bl w:val="nil"/>
                  </w:tcBorders>
                  <w:shd w:val="clear" w:color="auto" w:fill="auto"/>
                  <w:noWrap/>
                  <w:vAlign w:val="bottom"/>
                </w:tcPr>
                <w:p w14:paraId="2A1BB0A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杀菌釜</w:t>
                  </w:r>
                </w:p>
              </w:tc>
              <w:tc>
                <w:tcPr>
                  <w:tcW w:w="3938" w:type="dxa"/>
                  <w:tcBorders>
                    <w:tl2br w:val="nil"/>
                    <w:tr2bl w:val="nil"/>
                  </w:tcBorders>
                  <w:shd w:val="clear" w:color="auto" w:fill="auto"/>
                  <w:noWrap/>
                  <w:vAlign w:val="bottom"/>
                </w:tcPr>
                <w:p w14:paraId="1AB5930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SJG1200</w:t>
                  </w:r>
                </w:p>
              </w:tc>
              <w:tc>
                <w:tcPr>
                  <w:tcW w:w="749" w:type="dxa"/>
                  <w:tcBorders>
                    <w:tl2br w:val="nil"/>
                    <w:tr2bl w:val="nil"/>
                  </w:tcBorders>
                  <w:shd w:val="clear" w:color="auto" w:fill="auto"/>
                  <w:noWrap/>
                  <w:vAlign w:val="bottom"/>
                </w:tcPr>
                <w:p w14:paraId="73CDBF52">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u w:val="none"/>
                      <w:lang w:val="en-US" w:eastAsia="zh-CN" w:bidi="ar"/>
                    </w:rPr>
                    <w:t>1</w:t>
                  </w:r>
                </w:p>
              </w:tc>
            </w:tr>
            <w:bookmarkEnd w:id="167"/>
          </w:tbl>
          <w:p w14:paraId="7A516880">
            <w:pPr>
              <w:keepNext/>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eastAsia="宋体" w:cs="Times New Roman"/>
                <w:b/>
                <w:color w:val="auto"/>
                <w:sz w:val="24"/>
                <w:szCs w:val="24"/>
                <w:highlight w:val="none"/>
              </w:rPr>
              <w:t>5、原辅材料及能源消耗</w:t>
            </w:r>
          </w:p>
          <w:p w14:paraId="450BA211">
            <w:pPr>
              <w:keepNext/>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5.1</w:t>
            </w:r>
            <w:r>
              <w:rPr>
                <w:rFonts w:hint="default" w:ascii="Times New Roman" w:hAnsi="Times New Roman" w:eastAsia="宋体" w:cs="Times New Roman"/>
                <w:b/>
                <w:bCs/>
                <w:color w:val="auto"/>
                <w:sz w:val="24"/>
                <w:szCs w:val="24"/>
                <w:highlight w:val="none"/>
              </w:rPr>
              <w:t>主要原辅材料及能源消耗情况</w:t>
            </w:r>
          </w:p>
          <w:p w14:paraId="0391CA4B">
            <w:pPr>
              <w:keepNext/>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b/>
                <w:color w:val="auto"/>
                <w:sz w:val="21"/>
                <w:szCs w:val="21"/>
                <w:highlight w:val="none"/>
                <w:lang w:val="en-US"/>
              </w:rPr>
            </w:pPr>
            <w:r>
              <w:rPr>
                <w:rFonts w:hint="default" w:ascii="Times New Roman" w:hAnsi="Times New Roman" w:eastAsia="宋体" w:cs="Times New Roman"/>
                <w:color w:val="auto"/>
                <w:sz w:val="24"/>
                <w:szCs w:val="24"/>
                <w:highlight w:val="none"/>
              </w:rPr>
              <w:t>主要原辅材料及能源消耗情况见表</w:t>
            </w:r>
            <w:r>
              <w:rPr>
                <w:rFonts w:hint="eastAsia" w:cs="Times New Roman"/>
                <w:color w:val="auto"/>
                <w:sz w:val="24"/>
                <w:szCs w:val="24"/>
                <w:highlight w:val="none"/>
                <w:lang w:val="en-US" w:eastAsia="zh-CN"/>
              </w:rPr>
              <w:t>2-4，主要成分见表2-5。</w:t>
            </w:r>
          </w:p>
          <w:p w14:paraId="5DDDA1D3">
            <w:pPr>
              <w:keepNext/>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eastAsia" w:cs="Times New Roman"/>
                <w:b/>
                <w:color w:val="auto"/>
                <w:sz w:val="21"/>
                <w:szCs w:val="21"/>
                <w:highlight w:val="none"/>
                <w:lang w:val="en-US" w:eastAsia="zh-CN"/>
              </w:rPr>
              <w:t>2-4</w:t>
            </w:r>
            <w:r>
              <w:rPr>
                <w:rFonts w:hint="default" w:ascii="Times New Roman" w:hAnsi="Times New Roman" w:eastAsia="宋体" w:cs="Times New Roman"/>
                <w:b/>
                <w:color w:val="auto"/>
                <w:sz w:val="21"/>
                <w:szCs w:val="21"/>
                <w:highlight w:val="none"/>
              </w:rPr>
              <w:t xml:space="preserve">  原辅材料及能源消耗情况一览表</w:t>
            </w:r>
          </w:p>
          <w:tbl>
            <w:tblPr>
              <w:tblStyle w:val="33"/>
              <w:tblW w:w="4991"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089"/>
              <w:gridCol w:w="1309"/>
              <w:gridCol w:w="1175"/>
              <w:gridCol w:w="1100"/>
              <w:gridCol w:w="1363"/>
              <w:gridCol w:w="2535"/>
            </w:tblGrid>
            <w:tr w14:paraId="18A20C2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227EA86C">
                  <w:pPr>
                    <w:keepNext w:val="0"/>
                    <w:keepLines w:val="0"/>
                    <w:suppressLineNumbers w:val="0"/>
                    <w:snapToGrid w:val="0"/>
                    <w:spacing w:before="0" w:beforeAutospacing="0" w:after="0" w:afterAutospacing="0"/>
                    <w:ind w:left="0" w:right="0"/>
                    <w:jc w:val="center"/>
                    <w:rPr>
                      <w:rFonts w:hint="default"/>
                      <w:b/>
                      <w:bCs w:val="0"/>
                      <w:color w:val="auto"/>
                      <w:szCs w:val="21"/>
                      <w:highlight w:val="none"/>
                    </w:rPr>
                  </w:pPr>
                  <w:r>
                    <w:rPr>
                      <w:rFonts w:hint="default"/>
                      <w:b/>
                      <w:bCs w:val="0"/>
                      <w:color w:val="auto"/>
                      <w:szCs w:val="21"/>
                      <w:highlight w:val="none"/>
                    </w:rPr>
                    <w:t>序号</w:t>
                  </w:r>
                </w:p>
              </w:tc>
              <w:tc>
                <w:tcPr>
                  <w:tcW w:w="763" w:type="pct"/>
                  <w:tcBorders>
                    <w:tl2br w:val="nil"/>
                    <w:tr2bl w:val="nil"/>
                  </w:tcBorders>
                  <w:noWrap/>
                  <w:vAlign w:val="center"/>
                </w:tcPr>
                <w:p w14:paraId="188EE3EA">
                  <w:pPr>
                    <w:keepNext w:val="0"/>
                    <w:keepLines w:val="0"/>
                    <w:widowControl/>
                    <w:suppressLineNumbers w:val="0"/>
                    <w:spacing w:before="0" w:beforeAutospacing="0" w:after="0" w:afterAutospacing="0"/>
                    <w:ind w:left="0" w:right="0"/>
                    <w:jc w:val="center"/>
                    <w:textAlignment w:val="center"/>
                    <w:rPr>
                      <w:rFonts w:hint="default"/>
                      <w:b/>
                      <w:bCs w:val="0"/>
                      <w:color w:val="auto"/>
                      <w:szCs w:val="21"/>
                      <w:highlight w:val="none"/>
                    </w:rPr>
                  </w:pPr>
                  <w:r>
                    <w:rPr>
                      <w:rFonts w:hint="default"/>
                      <w:b/>
                      <w:bCs w:val="0"/>
                      <w:color w:val="auto"/>
                      <w:kern w:val="0"/>
                      <w:szCs w:val="21"/>
                      <w:highlight w:val="none"/>
                    </w:rPr>
                    <w:t>材料名称</w:t>
                  </w:r>
                </w:p>
              </w:tc>
              <w:tc>
                <w:tcPr>
                  <w:tcW w:w="685" w:type="pct"/>
                  <w:tcBorders>
                    <w:tl2br w:val="nil"/>
                    <w:tr2bl w:val="nil"/>
                  </w:tcBorders>
                  <w:noWrap/>
                  <w:vAlign w:val="center"/>
                </w:tcPr>
                <w:p w14:paraId="67A360E8">
                  <w:pPr>
                    <w:keepNext w:val="0"/>
                    <w:keepLines w:val="0"/>
                    <w:widowControl/>
                    <w:suppressLineNumbers w:val="0"/>
                    <w:spacing w:before="0" w:beforeAutospacing="0" w:after="0" w:afterAutospacing="0"/>
                    <w:ind w:left="0" w:right="0"/>
                    <w:jc w:val="center"/>
                    <w:textAlignment w:val="center"/>
                    <w:rPr>
                      <w:rFonts w:hint="default"/>
                      <w:b/>
                      <w:bCs w:val="0"/>
                      <w:color w:val="auto"/>
                      <w:szCs w:val="21"/>
                      <w:highlight w:val="none"/>
                    </w:rPr>
                  </w:pPr>
                  <w:r>
                    <w:rPr>
                      <w:rFonts w:hint="default"/>
                      <w:b/>
                      <w:bCs w:val="0"/>
                      <w:color w:val="auto"/>
                      <w:kern w:val="0"/>
                      <w:szCs w:val="21"/>
                      <w:highlight w:val="none"/>
                    </w:rPr>
                    <w:t>单位</w:t>
                  </w:r>
                </w:p>
              </w:tc>
              <w:tc>
                <w:tcPr>
                  <w:tcW w:w="641" w:type="pct"/>
                  <w:tcBorders>
                    <w:tl2br w:val="nil"/>
                    <w:tr2bl w:val="nil"/>
                  </w:tcBorders>
                  <w:noWrap/>
                  <w:vAlign w:val="center"/>
                </w:tcPr>
                <w:p w14:paraId="2AA6EC2D">
                  <w:pPr>
                    <w:keepNext w:val="0"/>
                    <w:keepLines w:val="0"/>
                    <w:widowControl/>
                    <w:suppressLineNumbers w:val="0"/>
                    <w:spacing w:before="0" w:beforeAutospacing="0" w:after="0" w:afterAutospacing="0"/>
                    <w:ind w:left="0" w:right="0"/>
                    <w:jc w:val="center"/>
                    <w:textAlignment w:val="center"/>
                    <w:rPr>
                      <w:rFonts w:hint="default"/>
                      <w:b/>
                      <w:bCs w:val="0"/>
                      <w:color w:val="auto"/>
                      <w:szCs w:val="21"/>
                      <w:highlight w:val="none"/>
                    </w:rPr>
                  </w:pPr>
                  <w:r>
                    <w:rPr>
                      <w:rFonts w:hint="default"/>
                      <w:b/>
                      <w:bCs w:val="0"/>
                      <w:color w:val="auto"/>
                      <w:kern w:val="0"/>
                      <w:szCs w:val="21"/>
                      <w:highlight w:val="none"/>
                    </w:rPr>
                    <w:t>年用量</w:t>
                  </w:r>
                </w:p>
              </w:tc>
              <w:tc>
                <w:tcPr>
                  <w:tcW w:w="795" w:type="pct"/>
                  <w:tcBorders>
                    <w:tl2br w:val="nil"/>
                    <w:tr2bl w:val="nil"/>
                  </w:tcBorders>
                  <w:noWrap/>
                  <w:vAlign w:val="center"/>
                </w:tcPr>
                <w:p w14:paraId="02C91E46">
                  <w:pPr>
                    <w:keepNext w:val="0"/>
                    <w:keepLines w:val="0"/>
                    <w:widowControl/>
                    <w:suppressLineNumbers w:val="0"/>
                    <w:spacing w:before="0" w:beforeAutospacing="0" w:after="0" w:afterAutospacing="0"/>
                    <w:ind w:left="0" w:right="0"/>
                    <w:jc w:val="center"/>
                    <w:textAlignment w:val="center"/>
                    <w:rPr>
                      <w:rFonts w:hint="default"/>
                      <w:b/>
                      <w:bCs w:val="0"/>
                      <w:color w:val="auto"/>
                      <w:szCs w:val="21"/>
                      <w:highlight w:val="none"/>
                    </w:rPr>
                  </w:pPr>
                  <w:r>
                    <w:rPr>
                      <w:rFonts w:hint="default"/>
                      <w:b/>
                      <w:bCs w:val="0"/>
                      <w:color w:val="auto"/>
                      <w:kern w:val="0"/>
                      <w:szCs w:val="21"/>
                      <w:highlight w:val="none"/>
                    </w:rPr>
                    <w:t>包装规格</w:t>
                  </w:r>
                </w:p>
              </w:tc>
              <w:tc>
                <w:tcPr>
                  <w:tcW w:w="1478" w:type="pct"/>
                  <w:tcBorders>
                    <w:tl2br w:val="nil"/>
                    <w:tr2bl w:val="nil"/>
                  </w:tcBorders>
                  <w:noWrap/>
                  <w:vAlign w:val="center"/>
                </w:tcPr>
                <w:p w14:paraId="7A233714">
                  <w:pPr>
                    <w:keepNext w:val="0"/>
                    <w:keepLines w:val="0"/>
                    <w:widowControl/>
                    <w:suppressLineNumbers w:val="0"/>
                    <w:spacing w:before="0" w:beforeAutospacing="0" w:after="0" w:afterAutospacing="0"/>
                    <w:ind w:left="0" w:right="0"/>
                    <w:jc w:val="center"/>
                    <w:textAlignment w:val="center"/>
                    <w:rPr>
                      <w:rFonts w:hint="default"/>
                      <w:b/>
                      <w:bCs w:val="0"/>
                      <w:color w:val="auto"/>
                      <w:szCs w:val="21"/>
                      <w:highlight w:val="none"/>
                    </w:rPr>
                  </w:pPr>
                  <w:r>
                    <w:rPr>
                      <w:rFonts w:hint="default"/>
                      <w:b/>
                      <w:bCs w:val="0"/>
                      <w:color w:val="auto"/>
                      <w:kern w:val="0"/>
                      <w:szCs w:val="21"/>
                      <w:highlight w:val="none"/>
                    </w:rPr>
                    <w:t>最大储存量</w:t>
                  </w:r>
                </w:p>
              </w:tc>
            </w:tr>
            <w:tr w14:paraId="467030F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34C0B42C">
                  <w:pPr>
                    <w:keepNext w:val="0"/>
                    <w:keepLines w:val="0"/>
                    <w:suppressLineNumbers w:val="0"/>
                    <w:snapToGrid w:val="0"/>
                    <w:spacing w:before="0" w:beforeAutospacing="0" w:after="0" w:afterAutospacing="0"/>
                    <w:ind w:left="0" w:right="0"/>
                    <w:jc w:val="center"/>
                    <w:rPr>
                      <w:rFonts w:hint="default"/>
                      <w:bCs/>
                      <w:color w:val="auto"/>
                      <w:szCs w:val="21"/>
                      <w:highlight w:val="none"/>
                    </w:rPr>
                  </w:pPr>
                  <w:bookmarkStart w:id="3" w:name="OLE_LINK3" w:colFirst="1" w:colLast="1"/>
                  <w:r>
                    <w:rPr>
                      <w:rFonts w:hint="default"/>
                      <w:bCs/>
                      <w:color w:val="auto"/>
                      <w:szCs w:val="21"/>
                      <w:highlight w:val="none"/>
                    </w:rPr>
                    <w:t>1</w:t>
                  </w:r>
                </w:p>
              </w:tc>
              <w:tc>
                <w:tcPr>
                  <w:tcW w:w="763" w:type="pct"/>
                  <w:tcBorders>
                    <w:tl2br w:val="nil"/>
                    <w:tr2bl w:val="nil"/>
                  </w:tcBorders>
                  <w:noWrap/>
                  <w:vAlign w:val="center"/>
                </w:tcPr>
                <w:p w14:paraId="2B43927D">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eastAsia="zh-CN"/>
                    </w:rPr>
                  </w:pPr>
                  <w:r>
                    <w:rPr>
                      <w:rFonts w:hint="eastAsia"/>
                      <w:bCs/>
                      <w:color w:val="auto"/>
                      <w:kern w:val="0"/>
                      <w:szCs w:val="21"/>
                      <w:highlight w:val="none"/>
                      <w:lang w:eastAsia="zh-CN"/>
                    </w:rPr>
                    <w:t>谷朊粉</w:t>
                  </w:r>
                </w:p>
              </w:tc>
              <w:tc>
                <w:tcPr>
                  <w:tcW w:w="685" w:type="pct"/>
                  <w:tcBorders>
                    <w:tl2br w:val="nil"/>
                    <w:tr2bl w:val="nil"/>
                  </w:tcBorders>
                  <w:noWrap/>
                  <w:vAlign w:val="center"/>
                </w:tcPr>
                <w:p w14:paraId="0259D272">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449810E0">
                  <w:pPr>
                    <w:keepNext w:val="0"/>
                    <w:keepLines w:val="0"/>
                    <w:widowControl/>
                    <w:suppressLineNumbers w:val="0"/>
                    <w:spacing w:before="0" w:beforeAutospacing="0" w:after="0" w:afterAutospacing="0"/>
                    <w:ind w:left="0" w:right="0"/>
                    <w:jc w:val="center"/>
                    <w:textAlignment w:val="center"/>
                    <w:rPr>
                      <w:rFonts w:hint="default" w:eastAsia="宋体"/>
                      <w:bCs/>
                      <w:color w:val="auto"/>
                      <w:szCs w:val="21"/>
                      <w:highlight w:val="none"/>
                      <w:lang w:val="en-US" w:eastAsia="zh-CN"/>
                    </w:rPr>
                  </w:pPr>
                  <w:r>
                    <w:rPr>
                      <w:rFonts w:hint="eastAsia"/>
                      <w:bCs/>
                      <w:color w:val="auto"/>
                      <w:kern w:val="0"/>
                      <w:szCs w:val="21"/>
                      <w:highlight w:val="none"/>
                      <w:lang w:val="en-US" w:eastAsia="zh-CN"/>
                    </w:rPr>
                    <w:t>7142</w:t>
                  </w:r>
                </w:p>
              </w:tc>
              <w:tc>
                <w:tcPr>
                  <w:tcW w:w="795" w:type="pct"/>
                  <w:tcBorders>
                    <w:tl2br w:val="nil"/>
                    <w:tr2bl w:val="nil"/>
                  </w:tcBorders>
                  <w:noWrap/>
                  <w:vAlign w:val="center"/>
                </w:tcPr>
                <w:p w14:paraId="7F7DBC21">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500kg</w:t>
                  </w:r>
                  <w:r>
                    <w:rPr>
                      <w:rFonts w:hint="default"/>
                      <w:bCs/>
                      <w:color w:val="auto"/>
                      <w:kern w:val="0"/>
                      <w:szCs w:val="21"/>
                      <w:highlight w:val="none"/>
                    </w:rPr>
                    <w:t>/件</w:t>
                  </w:r>
                </w:p>
              </w:tc>
              <w:tc>
                <w:tcPr>
                  <w:tcW w:w="1478" w:type="pct"/>
                  <w:tcBorders>
                    <w:tl2br w:val="nil"/>
                    <w:tr2bl w:val="nil"/>
                  </w:tcBorders>
                  <w:noWrap/>
                  <w:vAlign w:val="center"/>
                </w:tcPr>
                <w:p w14:paraId="276A0DEF">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szCs w:val="21"/>
                      <w:highlight w:val="none"/>
                    </w:rPr>
                    <w:t>10</w:t>
                  </w:r>
                  <w:r>
                    <w:rPr>
                      <w:rFonts w:hint="default"/>
                      <w:bCs/>
                      <w:color w:val="auto"/>
                      <w:szCs w:val="21"/>
                      <w:highlight w:val="none"/>
                    </w:rPr>
                    <w:t>0</w:t>
                  </w:r>
                </w:p>
              </w:tc>
            </w:tr>
            <w:tr w14:paraId="08282E7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2614D2ED">
                  <w:pPr>
                    <w:keepNext w:val="0"/>
                    <w:keepLines w:val="0"/>
                    <w:suppressLineNumbers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2</w:t>
                  </w:r>
                </w:p>
              </w:tc>
              <w:tc>
                <w:tcPr>
                  <w:tcW w:w="763" w:type="pct"/>
                  <w:tcBorders>
                    <w:tl2br w:val="nil"/>
                    <w:tr2bl w:val="nil"/>
                  </w:tcBorders>
                  <w:noWrap/>
                  <w:vAlign w:val="center"/>
                </w:tcPr>
                <w:p w14:paraId="7BE79E2D">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eastAsia="zh-CN"/>
                    </w:rPr>
                  </w:pPr>
                  <w:r>
                    <w:rPr>
                      <w:rFonts w:hint="eastAsia"/>
                      <w:bCs/>
                      <w:color w:val="auto"/>
                      <w:szCs w:val="21"/>
                      <w:highlight w:val="none"/>
                      <w:lang w:eastAsia="zh-CN"/>
                    </w:rPr>
                    <w:t>面粉</w:t>
                  </w:r>
                </w:p>
              </w:tc>
              <w:tc>
                <w:tcPr>
                  <w:tcW w:w="685" w:type="pct"/>
                  <w:tcBorders>
                    <w:tl2br w:val="nil"/>
                    <w:tr2bl w:val="nil"/>
                  </w:tcBorders>
                  <w:noWrap/>
                  <w:vAlign w:val="center"/>
                </w:tcPr>
                <w:p w14:paraId="1C467CDE">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388273AC">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lang w:val="en-US"/>
                    </w:rPr>
                  </w:pPr>
                  <w:r>
                    <w:rPr>
                      <w:rFonts w:hint="eastAsia"/>
                      <w:bCs/>
                      <w:color w:val="auto"/>
                      <w:kern w:val="0"/>
                      <w:szCs w:val="21"/>
                      <w:highlight w:val="none"/>
                      <w:lang w:val="en-US" w:eastAsia="zh-CN"/>
                    </w:rPr>
                    <w:t>714.2</w:t>
                  </w:r>
                </w:p>
              </w:tc>
              <w:tc>
                <w:tcPr>
                  <w:tcW w:w="795" w:type="pct"/>
                  <w:tcBorders>
                    <w:tl2br w:val="nil"/>
                    <w:tr2bl w:val="nil"/>
                  </w:tcBorders>
                  <w:noWrap/>
                  <w:vAlign w:val="center"/>
                </w:tcPr>
                <w:p w14:paraId="7A2EDEB1">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500kg</w:t>
                  </w:r>
                  <w:r>
                    <w:rPr>
                      <w:rFonts w:hint="default"/>
                      <w:bCs/>
                      <w:color w:val="auto"/>
                      <w:kern w:val="0"/>
                      <w:szCs w:val="21"/>
                      <w:highlight w:val="none"/>
                    </w:rPr>
                    <w:t>/件</w:t>
                  </w:r>
                </w:p>
              </w:tc>
              <w:tc>
                <w:tcPr>
                  <w:tcW w:w="1478" w:type="pct"/>
                  <w:tcBorders>
                    <w:tl2br w:val="nil"/>
                    <w:tr2bl w:val="nil"/>
                  </w:tcBorders>
                  <w:noWrap/>
                  <w:vAlign w:val="center"/>
                </w:tcPr>
                <w:p w14:paraId="53618F77">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szCs w:val="21"/>
                      <w:highlight w:val="none"/>
                    </w:rPr>
                    <w:t>100</w:t>
                  </w:r>
                </w:p>
              </w:tc>
            </w:tr>
            <w:tr w14:paraId="0352C90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1F09748B">
                  <w:pPr>
                    <w:keepNext w:val="0"/>
                    <w:keepLines w:val="0"/>
                    <w:suppressLineNumbers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3</w:t>
                  </w:r>
                </w:p>
              </w:tc>
              <w:tc>
                <w:tcPr>
                  <w:tcW w:w="763" w:type="pct"/>
                  <w:tcBorders>
                    <w:tl2br w:val="nil"/>
                    <w:tr2bl w:val="nil"/>
                  </w:tcBorders>
                  <w:noWrap/>
                  <w:vAlign w:val="center"/>
                </w:tcPr>
                <w:p w14:paraId="1975BDDE">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eastAsia="zh-CN"/>
                    </w:rPr>
                  </w:pPr>
                  <w:r>
                    <w:rPr>
                      <w:rFonts w:hint="eastAsia"/>
                      <w:bCs/>
                      <w:color w:val="auto"/>
                      <w:szCs w:val="21"/>
                      <w:highlight w:val="none"/>
                      <w:lang w:eastAsia="zh-CN"/>
                    </w:rPr>
                    <w:t>食用盐</w:t>
                  </w:r>
                </w:p>
              </w:tc>
              <w:tc>
                <w:tcPr>
                  <w:tcW w:w="685" w:type="pct"/>
                  <w:tcBorders>
                    <w:tl2br w:val="nil"/>
                    <w:tr2bl w:val="nil"/>
                  </w:tcBorders>
                  <w:noWrap/>
                  <w:vAlign w:val="center"/>
                </w:tcPr>
                <w:p w14:paraId="261BB7A9">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4F4FDBE2">
                  <w:pPr>
                    <w:keepNext w:val="0"/>
                    <w:keepLines w:val="0"/>
                    <w:widowControl/>
                    <w:suppressLineNumbers w:val="0"/>
                    <w:spacing w:before="0" w:beforeAutospacing="0" w:after="0" w:afterAutospacing="0"/>
                    <w:ind w:left="0" w:right="0"/>
                    <w:jc w:val="center"/>
                    <w:textAlignment w:val="center"/>
                    <w:rPr>
                      <w:rFonts w:hint="default" w:eastAsia="宋体"/>
                      <w:bCs/>
                      <w:color w:val="auto"/>
                      <w:szCs w:val="21"/>
                      <w:highlight w:val="none"/>
                      <w:lang w:val="en-US" w:eastAsia="zh-CN"/>
                    </w:rPr>
                  </w:pPr>
                  <w:r>
                    <w:rPr>
                      <w:rFonts w:hint="eastAsia"/>
                      <w:bCs/>
                      <w:color w:val="auto"/>
                      <w:kern w:val="0"/>
                      <w:szCs w:val="21"/>
                      <w:highlight w:val="none"/>
                      <w:lang w:val="en-US" w:eastAsia="zh-CN"/>
                    </w:rPr>
                    <w:t>5</w:t>
                  </w:r>
                </w:p>
              </w:tc>
              <w:tc>
                <w:tcPr>
                  <w:tcW w:w="795" w:type="pct"/>
                  <w:tcBorders>
                    <w:tl2br w:val="nil"/>
                    <w:tr2bl w:val="nil"/>
                  </w:tcBorders>
                  <w:noWrap/>
                  <w:vAlign w:val="center"/>
                </w:tcPr>
                <w:p w14:paraId="214736C3">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100kg</w:t>
                  </w:r>
                  <w:r>
                    <w:rPr>
                      <w:rFonts w:hint="default"/>
                      <w:bCs/>
                      <w:color w:val="auto"/>
                      <w:kern w:val="0"/>
                      <w:szCs w:val="21"/>
                      <w:highlight w:val="none"/>
                    </w:rPr>
                    <w:t>/件</w:t>
                  </w:r>
                </w:p>
              </w:tc>
              <w:tc>
                <w:tcPr>
                  <w:tcW w:w="1478" w:type="pct"/>
                  <w:tcBorders>
                    <w:tl2br w:val="nil"/>
                    <w:tr2bl w:val="nil"/>
                  </w:tcBorders>
                  <w:noWrap/>
                  <w:vAlign w:val="center"/>
                </w:tcPr>
                <w:p w14:paraId="62D6B562">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val="en-US" w:eastAsia="zh-CN"/>
                    </w:rPr>
                  </w:pPr>
                  <w:r>
                    <w:rPr>
                      <w:rFonts w:hint="eastAsia"/>
                      <w:bCs/>
                      <w:color w:val="auto"/>
                      <w:szCs w:val="21"/>
                      <w:highlight w:val="none"/>
                      <w:lang w:val="en-US" w:eastAsia="zh-CN"/>
                    </w:rPr>
                    <w:t>1</w:t>
                  </w:r>
                </w:p>
              </w:tc>
            </w:tr>
            <w:tr w14:paraId="21A20A7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0B429465">
                  <w:pPr>
                    <w:keepNext w:val="0"/>
                    <w:keepLines w:val="0"/>
                    <w:suppressLineNumbers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4</w:t>
                  </w:r>
                </w:p>
              </w:tc>
              <w:tc>
                <w:tcPr>
                  <w:tcW w:w="763" w:type="pct"/>
                  <w:tcBorders>
                    <w:tl2br w:val="nil"/>
                    <w:tr2bl w:val="nil"/>
                  </w:tcBorders>
                  <w:noWrap/>
                  <w:vAlign w:val="center"/>
                </w:tcPr>
                <w:p w14:paraId="13E2A13B">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eastAsia="zh-CN"/>
                    </w:rPr>
                  </w:pPr>
                  <w:r>
                    <w:rPr>
                      <w:rFonts w:hint="eastAsia"/>
                      <w:bCs/>
                      <w:color w:val="auto"/>
                      <w:szCs w:val="21"/>
                      <w:highlight w:val="none"/>
                      <w:lang w:eastAsia="zh-CN"/>
                    </w:rPr>
                    <w:t>植物油</w:t>
                  </w:r>
                </w:p>
              </w:tc>
              <w:tc>
                <w:tcPr>
                  <w:tcW w:w="685" w:type="pct"/>
                  <w:tcBorders>
                    <w:tl2br w:val="nil"/>
                    <w:tr2bl w:val="nil"/>
                  </w:tcBorders>
                  <w:noWrap/>
                  <w:vAlign w:val="center"/>
                </w:tcPr>
                <w:p w14:paraId="743AA395">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17751CDD">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eastAsia="zh-CN"/>
                    </w:rPr>
                  </w:pPr>
                  <w:r>
                    <w:rPr>
                      <w:rFonts w:hint="eastAsia"/>
                      <w:bCs/>
                      <w:color w:val="auto"/>
                      <w:kern w:val="0"/>
                      <w:szCs w:val="21"/>
                      <w:highlight w:val="none"/>
                      <w:lang w:val="en-US" w:eastAsia="zh-CN"/>
                    </w:rPr>
                    <w:t>1</w:t>
                  </w:r>
                </w:p>
              </w:tc>
              <w:tc>
                <w:tcPr>
                  <w:tcW w:w="795" w:type="pct"/>
                  <w:tcBorders>
                    <w:tl2br w:val="nil"/>
                    <w:tr2bl w:val="nil"/>
                  </w:tcBorders>
                  <w:noWrap/>
                  <w:vAlign w:val="center"/>
                </w:tcPr>
                <w:p w14:paraId="609BF2EF">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100kg</w:t>
                  </w:r>
                  <w:r>
                    <w:rPr>
                      <w:rFonts w:hint="default"/>
                      <w:bCs/>
                      <w:color w:val="auto"/>
                      <w:kern w:val="0"/>
                      <w:szCs w:val="21"/>
                      <w:highlight w:val="none"/>
                    </w:rPr>
                    <w:t>/件</w:t>
                  </w:r>
                </w:p>
              </w:tc>
              <w:tc>
                <w:tcPr>
                  <w:tcW w:w="1478" w:type="pct"/>
                  <w:tcBorders>
                    <w:tl2br w:val="nil"/>
                    <w:tr2bl w:val="nil"/>
                  </w:tcBorders>
                  <w:noWrap/>
                  <w:vAlign w:val="center"/>
                </w:tcPr>
                <w:p w14:paraId="0E9CB3EB">
                  <w:pPr>
                    <w:keepNext w:val="0"/>
                    <w:keepLines w:val="0"/>
                    <w:widowControl/>
                    <w:suppressLineNumbers w:val="0"/>
                    <w:spacing w:before="0" w:beforeAutospacing="0" w:after="0" w:afterAutospacing="0"/>
                    <w:ind w:left="0" w:right="0"/>
                    <w:jc w:val="center"/>
                    <w:textAlignment w:val="center"/>
                    <w:rPr>
                      <w:rFonts w:hint="default" w:eastAsia="宋体"/>
                      <w:bCs/>
                      <w:color w:val="auto"/>
                      <w:szCs w:val="21"/>
                      <w:highlight w:val="none"/>
                      <w:lang w:val="en-US" w:eastAsia="zh-CN"/>
                    </w:rPr>
                  </w:pPr>
                  <w:r>
                    <w:rPr>
                      <w:rFonts w:hint="eastAsia"/>
                      <w:bCs/>
                      <w:color w:val="auto"/>
                      <w:szCs w:val="21"/>
                      <w:highlight w:val="none"/>
                      <w:lang w:val="en-US" w:eastAsia="zh-CN"/>
                    </w:rPr>
                    <w:t>0.05</w:t>
                  </w:r>
                </w:p>
              </w:tc>
            </w:tr>
            <w:tr w14:paraId="3185DFF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shd w:val="clear" w:color="auto" w:fill="auto"/>
                  <w:noWrap/>
                  <w:vAlign w:val="center"/>
                </w:tcPr>
                <w:p w14:paraId="15C80201">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5</w:t>
                  </w:r>
                </w:p>
              </w:tc>
              <w:tc>
                <w:tcPr>
                  <w:tcW w:w="763" w:type="pct"/>
                  <w:tcBorders>
                    <w:tl2br w:val="nil"/>
                    <w:tr2bl w:val="nil"/>
                  </w:tcBorders>
                  <w:noWrap/>
                  <w:vAlign w:val="center"/>
                </w:tcPr>
                <w:p w14:paraId="03FC4022">
                  <w:pPr>
                    <w:keepNext w:val="0"/>
                    <w:keepLines w:val="0"/>
                    <w:widowControl/>
                    <w:suppressLineNumbers w:val="0"/>
                    <w:spacing w:before="0" w:beforeAutospacing="0" w:after="0" w:afterAutospacing="0"/>
                    <w:ind w:left="0" w:right="0"/>
                    <w:jc w:val="center"/>
                    <w:textAlignment w:val="center"/>
                    <w:rPr>
                      <w:rFonts w:hint="eastAsia"/>
                      <w:bCs/>
                      <w:color w:val="auto"/>
                      <w:szCs w:val="21"/>
                      <w:highlight w:val="none"/>
                      <w:lang w:eastAsia="zh-CN"/>
                    </w:rPr>
                  </w:pPr>
                  <w:r>
                    <w:rPr>
                      <w:rFonts w:hint="eastAsia"/>
                      <w:bCs/>
                      <w:color w:val="auto"/>
                      <w:szCs w:val="21"/>
                      <w:highlight w:val="none"/>
                      <w:lang w:eastAsia="zh-CN"/>
                    </w:rPr>
                    <w:t>碱面</w:t>
                  </w:r>
                </w:p>
              </w:tc>
              <w:tc>
                <w:tcPr>
                  <w:tcW w:w="685" w:type="pct"/>
                  <w:tcBorders>
                    <w:tl2br w:val="nil"/>
                    <w:tr2bl w:val="nil"/>
                  </w:tcBorders>
                  <w:noWrap/>
                  <w:vAlign w:val="center"/>
                </w:tcPr>
                <w:p w14:paraId="5E352F0F">
                  <w:pPr>
                    <w:keepNext w:val="0"/>
                    <w:keepLines w:val="0"/>
                    <w:widowControl/>
                    <w:suppressLineNumbers w:val="0"/>
                    <w:spacing w:before="0" w:beforeAutospacing="0" w:after="0" w:afterAutospacing="0"/>
                    <w:ind w:left="0" w:right="0"/>
                    <w:jc w:val="center"/>
                    <w:textAlignment w:val="center"/>
                    <w:rPr>
                      <w:rFonts w:hint="default"/>
                      <w:bCs/>
                      <w:color w:val="auto"/>
                      <w:kern w:val="0"/>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1C5BE4D2">
                  <w:pPr>
                    <w:keepNext w:val="0"/>
                    <w:keepLines w:val="0"/>
                    <w:widowControl/>
                    <w:suppressLineNumbers w:val="0"/>
                    <w:spacing w:before="0" w:beforeAutospacing="0" w:after="0" w:afterAutospacing="0"/>
                    <w:ind w:left="0" w:right="0"/>
                    <w:jc w:val="center"/>
                    <w:textAlignment w:val="center"/>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50</w:t>
                  </w:r>
                </w:p>
              </w:tc>
              <w:tc>
                <w:tcPr>
                  <w:tcW w:w="795" w:type="pct"/>
                  <w:tcBorders>
                    <w:tl2br w:val="nil"/>
                    <w:tr2bl w:val="nil"/>
                  </w:tcBorders>
                  <w:noWrap/>
                  <w:vAlign w:val="center"/>
                </w:tcPr>
                <w:p w14:paraId="31ADDBDF">
                  <w:pPr>
                    <w:keepNext w:val="0"/>
                    <w:keepLines w:val="0"/>
                    <w:widowControl/>
                    <w:suppressLineNumbers w:val="0"/>
                    <w:spacing w:before="0" w:beforeAutospacing="0" w:after="0" w:afterAutospacing="0"/>
                    <w:ind w:left="0" w:right="0"/>
                    <w:jc w:val="center"/>
                    <w:textAlignment w:val="center"/>
                    <w:rPr>
                      <w:rFonts w:hint="default"/>
                      <w:bCs/>
                      <w:color w:val="auto"/>
                      <w:kern w:val="0"/>
                      <w:szCs w:val="21"/>
                      <w:highlight w:val="none"/>
                    </w:rPr>
                  </w:pPr>
                  <w:r>
                    <w:rPr>
                      <w:rFonts w:hint="eastAsia"/>
                      <w:bCs/>
                      <w:color w:val="auto"/>
                      <w:kern w:val="0"/>
                      <w:szCs w:val="21"/>
                      <w:highlight w:val="none"/>
                      <w:lang w:val="en-US" w:eastAsia="zh-CN"/>
                    </w:rPr>
                    <w:t>100kg</w:t>
                  </w:r>
                  <w:r>
                    <w:rPr>
                      <w:rFonts w:hint="default"/>
                      <w:bCs/>
                      <w:color w:val="auto"/>
                      <w:kern w:val="0"/>
                      <w:szCs w:val="21"/>
                      <w:highlight w:val="none"/>
                    </w:rPr>
                    <w:t>/件</w:t>
                  </w:r>
                </w:p>
              </w:tc>
              <w:tc>
                <w:tcPr>
                  <w:tcW w:w="1478" w:type="pct"/>
                  <w:tcBorders>
                    <w:tl2br w:val="nil"/>
                    <w:tr2bl w:val="nil"/>
                  </w:tcBorders>
                  <w:noWrap/>
                  <w:vAlign w:val="center"/>
                </w:tcPr>
                <w:p w14:paraId="03F7EB99">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val="en-US" w:eastAsia="zh-CN"/>
                    </w:rPr>
                  </w:pPr>
                  <w:r>
                    <w:rPr>
                      <w:rFonts w:hint="eastAsia"/>
                      <w:bCs/>
                      <w:color w:val="auto"/>
                      <w:szCs w:val="21"/>
                      <w:highlight w:val="none"/>
                      <w:lang w:val="en-US" w:eastAsia="zh-CN"/>
                    </w:rPr>
                    <w:t>1</w:t>
                  </w:r>
                </w:p>
              </w:tc>
            </w:tr>
            <w:tr w14:paraId="2F1D063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shd w:val="clear" w:color="auto" w:fill="auto"/>
                  <w:noWrap/>
                  <w:vAlign w:val="center"/>
                </w:tcPr>
                <w:p w14:paraId="0D9D215C">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6</w:t>
                  </w:r>
                </w:p>
              </w:tc>
              <w:tc>
                <w:tcPr>
                  <w:tcW w:w="763" w:type="pct"/>
                  <w:tcBorders>
                    <w:tl2br w:val="nil"/>
                    <w:tr2bl w:val="nil"/>
                  </w:tcBorders>
                  <w:noWrap/>
                  <w:vAlign w:val="center"/>
                </w:tcPr>
                <w:p w14:paraId="5D734266">
                  <w:pPr>
                    <w:keepNext w:val="0"/>
                    <w:keepLines w:val="0"/>
                    <w:widowControl/>
                    <w:suppressLineNumbers w:val="0"/>
                    <w:spacing w:before="0" w:beforeAutospacing="0" w:after="0" w:afterAutospacing="0"/>
                    <w:ind w:left="0" w:right="0"/>
                    <w:jc w:val="center"/>
                    <w:textAlignment w:val="center"/>
                    <w:rPr>
                      <w:rFonts w:hint="eastAsia" w:eastAsia="宋体"/>
                      <w:bCs/>
                      <w:color w:val="auto"/>
                      <w:kern w:val="0"/>
                      <w:szCs w:val="21"/>
                      <w:highlight w:val="none"/>
                      <w:lang w:eastAsia="zh-CN"/>
                    </w:rPr>
                  </w:pPr>
                  <w:r>
                    <w:rPr>
                      <w:rFonts w:hint="eastAsia"/>
                      <w:bCs/>
                      <w:color w:val="auto"/>
                      <w:kern w:val="0"/>
                      <w:szCs w:val="21"/>
                      <w:highlight w:val="none"/>
                      <w:lang w:eastAsia="zh-CN"/>
                    </w:rPr>
                    <w:t>白糖</w:t>
                  </w:r>
                </w:p>
              </w:tc>
              <w:tc>
                <w:tcPr>
                  <w:tcW w:w="685" w:type="pct"/>
                  <w:tcBorders>
                    <w:tl2br w:val="nil"/>
                    <w:tr2bl w:val="nil"/>
                  </w:tcBorders>
                  <w:noWrap/>
                  <w:vAlign w:val="center"/>
                </w:tcPr>
                <w:p w14:paraId="3A2B7704">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6FA91D99">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eastAsia="zh-CN"/>
                    </w:rPr>
                  </w:pPr>
                  <w:r>
                    <w:rPr>
                      <w:rFonts w:hint="eastAsia"/>
                      <w:bCs/>
                      <w:color w:val="auto"/>
                      <w:szCs w:val="21"/>
                      <w:highlight w:val="none"/>
                      <w:lang w:val="en-US" w:eastAsia="zh-CN"/>
                    </w:rPr>
                    <w:t>5</w:t>
                  </w:r>
                </w:p>
              </w:tc>
              <w:tc>
                <w:tcPr>
                  <w:tcW w:w="795" w:type="pct"/>
                  <w:tcBorders>
                    <w:tl2br w:val="nil"/>
                    <w:tr2bl w:val="nil"/>
                  </w:tcBorders>
                  <w:noWrap/>
                  <w:vAlign w:val="center"/>
                </w:tcPr>
                <w:p w14:paraId="317E14A9">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25</w:t>
                  </w:r>
                  <w:r>
                    <w:rPr>
                      <w:rFonts w:hint="eastAsia"/>
                      <w:bCs/>
                      <w:color w:val="auto"/>
                      <w:kern w:val="0"/>
                      <w:szCs w:val="21"/>
                      <w:highlight w:val="none"/>
                      <w:lang w:val="en-US" w:eastAsia="zh-CN"/>
                    </w:rPr>
                    <w:t>kg</w:t>
                  </w:r>
                  <w:r>
                    <w:rPr>
                      <w:rFonts w:hint="default"/>
                      <w:bCs/>
                      <w:color w:val="auto"/>
                      <w:kern w:val="0"/>
                      <w:szCs w:val="21"/>
                      <w:highlight w:val="none"/>
                    </w:rPr>
                    <w:t>/桶</w:t>
                  </w:r>
                </w:p>
              </w:tc>
              <w:tc>
                <w:tcPr>
                  <w:tcW w:w="1478" w:type="pct"/>
                  <w:tcBorders>
                    <w:tl2br w:val="nil"/>
                    <w:tr2bl w:val="nil"/>
                  </w:tcBorders>
                  <w:noWrap/>
                  <w:vAlign w:val="center"/>
                </w:tcPr>
                <w:p w14:paraId="19CA3EC7">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val="en-US" w:eastAsia="zh-CN"/>
                    </w:rPr>
                  </w:pPr>
                  <w:r>
                    <w:rPr>
                      <w:rFonts w:hint="eastAsia"/>
                      <w:bCs/>
                      <w:color w:val="auto"/>
                      <w:szCs w:val="21"/>
                      <w:highlight w:val="none"/>
                      <w:lang w:val="en-US" w:eastAsia="zh-CN"/>
                    </w:rPr>
                    <w:t>1</w:t>
                  </w:r>
                </w:p>
              </w:tc>
            </w:tr>
            <w:tr w14:paraId="0CC55D2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shd w:val="clear" w:color="auto" w:fill="auto"/>
                  <w:noWrap/>
                  <w:vAlign w:val="center"/>
                </w:tcPr>
                <w:p w14:paraId="52E1E2EA">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7</w:t>
                  </w:r>
                </w:p>
              </w:tc>
              <w:tc>
                <w:tcPr>
                  <w:tcW w:w="763" w:type="pct"/>
                  <w:tcBorders>
                    <w:tl2br w:val="nil"/>
                    <w:tr2bl w:val="nil"/>
                  </w:tcBorders>
                  <w:noWrap/>
                  <w:vAlign w:val="center"/>
                </w:tcPr>
                <w:p w14:paraId="48311998">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szCs w:val="21"/>
                      <w:highlight w:val="none"/>
                    </w:rPr>
                    <w:t>味精</w:t>
                  </w:r>
                </w:p>
              </w:tc>
              <w:tc>
                <w:tcPr>
                  <w:tcW w:w="685" w:type="pct"/>
                  <w:tcBorders>
                    <w:tl2br w:val="nil"/>
                    <w:tr2bl w:val="nil"/>
                  </w:tcBorders>
                  <w:noWrap/>
                  <w:vAlign w:val="center"/>
                </w:tcPr>
                <w:p w14:paraId="6C6B0FAB">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2B700570">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eastAsia="zh-CN"/>
                    </w:rPr>
                  </w:pPr>
                  <w:r>
                    <w:rPr>
                      <w:rFonts w:hint="eastAsia"/>
                      <w:bCs/>
                      <w:color w:val="auto"/>
                      <w:kern w:val="0"/>
                      <w:szCs w:val="21"/>
                      <w:highlight w:val="none"/>
                      <w:lang w:val="en-US" w:eastAsia="zh-CN"/>
                    </w:rPr>
                    <w:t>5</w:t>
                  </w:r>
                </w:p>
              </w:tc>
              <w:tc>
                <w:tcPr>
                  <w:tcW w:w="795" w:type="pct"/>
                  <w:tcBorders>
                    <w:tl2br w:val="nil"/>
                    <w:tr2bl w:val="nil"/>
                  </w:tcBorders>
                  <w:noWrap/>
                  <w:vAlign w:val="center"/>
                </w:tcPr>
                <w:p w14:paraId="6123A337">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100kg</w:t>
                  </w:r>
                  <w:r>
                    <w:rPr>
                      <w:rFonts w:hint="default"/>
                      <w:bCs/>
                      <w:color w:val="auto"/>
                      <w:kern w:val="0"/>
                      <w:szCs w:val="21"/>
                      <w:highlight w:val="none"/>
                    </w:rPr>
                    <w:t>/件</w:t>
                  </w:r>
                </w:p>
              </w:tc>
              <w:tc>
                <w:tcPr>
                  <w:tcW w:w="1478" w:type="pct"/>
                  <w:tcBorders>
                    <w:tl2br w:val="nil"/>
                    <w:tr2bl w:val="nil"/>
                  </w:tcBorders>
                  <w:noWrap/>
                  <w:vAlign w:val="center"/>
                </w:tcPr>
                <w:p w14:paraId="193378AD">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val="en-US" w:eastAsia="zh-CN"/>
                    </w:rPr>
                  </w:pPr>
                  <w:r>
                    <w:rPr>
                      <w:rFonts w:hint="eastAsia"/>
                      <w:bCs/>
                      <w:color w:val="auto"/>
                      <w:szCs w:val="21"/>
                      <w:highlight w:val="none"/>
                      <w:lang w:val="en-US" w:eastAsia="zh-CN"/>
                    </w:rPr>
                    <w:t>1</w:t>
                  </w:r>
                </w:p>
              </w:tc>
            </w:tr>
            <w:tr w14:paraId="7D6EE49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shd w:val="clear" w:color="auto" w:fill="auto"/>
                  <w:noWrap/>
                  <w:vAlign w:val="center"/>
                </w:tcPr>
                <w:p w14:paraId="110C87DB">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8</w:t>
                  </w:r>
                </w:p>
              </w:tc>
              <w:tc>
                <w:tcPr>
                  <w:tcW w:w="763" w:type="pct"/>
                  <w:tcBorders>
                    <w:tl2br w:val="nil"/>
                    <w:tr2bl w:val="nil"/>
                  </w:tcBorders>
                  <w:noWrap/>
                  <w:vAlign w:val="center"/>
                </w:tcPr>
                <w:p w14:paraId="2F276A19">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szCs w:val="21"/>
                      <w:highlight w:val="none"/>
                    </w:rPr>
                    <w:t>孜然</w:t>
                  </w:r>
                </w:p>
              </w:tc>
              <w:tc>
                <w:tcPr>
                  <w:tcW w:w="685" w:type="pct"/>
                  <w:tcBorders>
                    <w:tl2br w:val="nil"/>
                    <w:tr2bl w:val="nil"/>
                  </w:tcBorders>
                  <w:noWrap/>
                  <w:vAlign w:val="center"/>
                </w:tcPr>
                <w:p w14:paraId="2FFEB8C4">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01B63B5F">
                  <w:pPr>
                    <w:keepNext w:val="0"/>
                    <w:keepLines w:val="0"/>
                    <w:widowControl/>
                    <w:suppressLineNumbers w:val="0"/>
                    <w:spacing w:before="0" w:beforeAutospacing="0" w:after="0" w:afterAutospacing="0"/>
                    <w:ind w:left="0" w:right="0"/>
                    <w:jc w:val="center"/>
                    <w:textAlignment w:val="center"/>
                    <w:rPr>
                      <w:rFonts w:hint="default" w:eastAsia="宋体"/>
                      <w:bCs/>
                      <w:color w:val="auto"/>
                      <w:szCs w:val="21"/>
                      <w:highlight w:val="none"/>
                      <w:lang w:val="en-US" w:eastAsia="zh-CN"/>
                    </w:rPr>
                  </w:pPr>
                  <w:r>
                    <w:rPr>
                      <w:rFonts w:hint="eastAsia"/>
                      <w:bCs/>
                      <w:color w:val="auto"/>
                      <w:kern w:val="0"/>
                      <w:szCs w:val="21"/>
                      <w:highlight w:val="none"/>
                      <w:lang w:val="en-US" w:eastAsia="zh-CN"/>
                    </w:rPr>
                    <w:t>10</w:t>
                  </w:r>
                </w:p>
              </w:tc>
              <w:tc>
                <w:tcPr>
                  <w:tcW w:w="795" w:type="pct"/>
                  <w:tcBorders>
                    <w:tl2br w:val="nil"/>
                    <w:tr2bl w:val="nil"/>
                  </w:tcBorders>
                  <w:noWrap/>
                  <w:vAlign w:val="center"/>
                </w:tcPr>
                <w:p w14:paraId="702F2F31">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100kg</w:t>
                  </w:r>
                  <w:r>
                    <w:rPr>
                      <w:rFonts w:hint="default"/>
                      <w:bCs/>
                      <w:color w:val="auto"/>
                      <w:kern w:val="0"/>
                      <w:szCs w:val="21"/>
                      <w:highlight w:val="none"/>
                    </w:rPr>
                    <w:t>/件</w:t>
                  </w:r>
                </w:p>
              </w:tc>
              <w:tc>
                <w:tcPr>
                  <w:tcW w:w="1478" w:type="pct"/>
                  <w:tcBorders>
                    <w:tl2br w:val="nil"/>
                    <w:tr2bl w:val="nil"/>
                  </w:tcBorders>
                  <w:noWrap/>
                  <w:vAlign w:val="center"/>
                </w:tcPr>
                <w:p w14:paraId="33D1DADE">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val="en-US" w:eastAsia="zh-CN"/>
                    </w:rPr>
                  </w:pPr>
                  <w:r>
                    <w:rPr>
                      <w:rFonts w:hint="eastAsia"/>
                      <w:bCs/>
                      <w:color w:val="auto"/>
                      <w:szCs w:val="21"/>
                      <w:highlight w:val="none"/>
                      <w:lang w:val="en-US" w:eastAsia="zh-CN"/>
                    </w:rPr>
                    <w:t>1</w:t>
                  </w:r>
                </w:p>
              </w:tc>
            </w:tr>
            <w:tr w14:paraId="62A2725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shd w:val="clear" w:color="auto" w:fill="auto"/>
                  <w:noWrap/>
                  <w:vAlign w:val="center"/>
                </w:tcPr>
                <w:p w14:paraId="066169B1">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9</w:t>
                  </w:r>
                </w:p>
              </w:tc>
              <w:tc>
                <w:tcPr>
                  <w:tcW w:w="763" w:type="pct"/>
                  <w:tcBorders>
                    <w:tl2br w:val="nil"/>
                    <w:tr2bl w:val="nil"/>
                  </w:tcBorders>
                  <w:noWrap/>
                  <w:vAlign w:val="center"/>
                </w:tcPr>
                <w:p w14:paraId="00B410F0">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szCs w:val="21"/>
                      <w:highlight w:val="none"/>
                    </w:rPr>
                    <w:t>芝麻</w:t>
                  </w:r>
                </w:p>
              </w:tc>
              <w:tc>
                <w:tcPr>
                  <w:tcW w:w="685" w:type="pct"/>
                  <w:tcBorders>
                    <w:tl2br w:val="nil"/>
                    <w:tr2bl w:val="nil"/>
                  </w:tcBorders>
                  <w:noWrap/>
                  <w:vAlign w:val="center"/>
                </w:tcPr>
                <w:p w14:paraId="3719BC6D">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0B23E56B">
                  <w:pPr>
                    <w:keepNext w:val="0"/>
                    <w:keepLines w:val="0"/>
                    <w:widowControl/>
                    <w:suppressLineNumbers w:val="0"/>
                    <w:spacing w:before="0" w:beforeAutospacing="0" w:after="0" w:afterAutospacing="0"/>
                    <w:ind w:left="0" w:right="0"/>
                    <w:jc w:val="center"/>
                    <w:textAlignment w:val="center"/>
                    <w:rPr>
                      <w:rFonts w:hint="default" w:eastAsia="宋体"/>
                      <w:bCs/>
                      <w:color w:val="auto"/>
                      <w:szCs w:val="21"/>
                      <w:highlight w:val="none"/>
                      <w:lang w:val="en-US" w:eastAsia="zh-CN"/>
                    </w:rPr>
                  </w:pPr>
                  <w:r>
                    <w:rPr>
                      <w:rFonts w:hint="eastAsia"/>
                      <w:bCs/>
                      <w:color w:val="auto"/>
                      <w:kern w:val="0"/>
                      <w:szCs w:val="21"/>
                      <w:highlight w:val="none"/>
                      <w:lang w:val="en-US" w:eastAsia="zh-CN"/>
                    </w:rPr>
                    <w:t>10</w:t>
                  </w:r>
                </w:p>
              </w:tc>
              <w:tc>
                <w:tcPr>
                  <w:tcW w:w="795" w:type="pct"/>
                  <w:tcBorders>
                    <w:tl2br w:val="nil"/>
                    <w:tr2bl w:val="nil"/>
                  </w:tcBorders>
                  <w:noWrap/>
                  <w:vAlign w:val="center"/>
                </w:tcPr>
                <w:p w14:paraId="6A0E89AE">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100kg</w:t>
                  </w:r>
                  <w:r>
                    <w:rPr>
                      <w:rFonts w:hint="default"/>
                      <w:bCs/>
                      <w:color w:val="auto"/>
                      <w:kern w:val="0"/>
                      <w:szCs w:val="21"/>
                      <w:highlight w:val="none"/>
                    </w:rPr>
                    <w:t>/件</w:t>
                  </w:r>
                </w:p>
              </w:tc>
              <w:tc>
                <w:tcPr>
                  <w:tcW w:w="1478" w:type="pct"/>
                  <w:tcBorders>
                    <w:tl2br w:val="nil"/>
                    <w:tr2bl w:val="nil"/>
                  </w:tcBorders>
                  <w:noWrap/>
                  <w:vAlign w:val="center"/>
                </w:tcPr>
                <w:p w14:paraId="73B76762">
                  <w:pPr>
                    <w:keepNext w:val="0"/>
                    <w:keepLines w:val="0"/>
                    <w:widowControl/>
                    <w:suppressLineNumbers w:val="0"/>
                    <w:spacing w:before="0" w:beforeAutospacing="0" w:after="0" w:afterAutospacing="0"/>
                    <w:ind w:left="0" w:right="0"/>
                    <w:jc w:val="center"/>
                    <w:textAlignment w:val="center"/>
                    <w:rPr>
                      <w:rFonts w:hint="default" w:eastAsia="宋体"/>
                      <w:bCs/>
                      <w:color w:val="auto"/>
                      <w:szCs w:val="21"/>
                      <w:highlight w:val="none"/>
                      <w:lang w:val="en-US" w:eastAsia="zh-CN"/>
                    </w:rPr>
                  </w:pPr>
                  <w:r>
                    <w:rPr>
                      <w:rFonts w:hint="eastAsia"/>
                      <w:bCs/>
                      <w:color w:val="auto"/>
                      <w:szCs w:val="21"/>
                      <w:highlight w:val="none"/>
                      <w:lang w:val="en-US" w:eastAsia="zh-CN"/>
                    </w:rPr>
                    <w:t>11</w:t>
                  </w:r>
                </w:p>
              </w:tc>
            </w:tr>
            <w:tr w14:paraId="2F81A21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shd w:val="clear" w:color="auto" w:fill="auto"/>
                  <w:noWrap/>
                  <w:vAlign w:val="top"/>
                </w:tcPr>
                <w:p w14:paraId="1282DE63">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10</w:t>
                  </w:r>
                </w:p>
              </w:tc>
              <w:tc>
                <w:tcPr>
                  <w:tcW w:w="763" w:type="pct"/>
                  <w:tcBorders>
                    <w:tl2br w:val="nil"/>
                    <w:tr2bl w:val="nil"/>
                  </w:tcBorders>
                  <w:noWrap/>
                  <w:vAlign w:val="center"/>
                </w:tcPr>
                <w:p w14:paraId="2F48FE20">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szCs w:val="21"/>
                      <w:highlight w:val="none"/>
                    </w:rPr>
                    <w:t>香辛料</w:t>
                  </w:r>
                </w:p>
              </w:tc>
              <w:tc>
                <w:tcPr>
                  <w:tcW w:w="685" w:type="pct"/>
                  <w:tcBorders>
                    <w:tl2br w:val="nil"/>
                    <w:tr2bl w:val="nil"/>
                  </w:tcBorders>
                  <w:noWrap/>
                  <w:vAlign w:val="center"/>
                </w:tcPr>
                <w:p w14:paraId="1A4B54E1">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4FCB13F7">
                  <w:pPr>
                    <w:keepNext w:val="0"/>
                    <w:keepLines w:val="0"/>
                    <w:widowControl/>
                    <w:suppressLineNumbers w:val="0"/>
                    <w:spacing w:before="0" w:beforeAutospacing="0" w:after="0" w:afterAutospacing="0"/>
                    <w:ind w:left="0" w:right="0"/>
                    <w:jc w:val="center"/>
                    <w:textAlignment w:val="center"/>
                    <w:rPr>
                      <w:rFonts w:hint="default" w:eastAsia="宋体"/>
                      <w:bCs/>
                      <w:color w:val="auto"/>
                      <w:szCs w:val="21"/>
                      <w:highlight w:val="none"/>
                      <w:lang w:val="en-US" w:eastAsia="zh-CN"/>
                    </w:rPr>
                  </w:pPr>
                  <w:r>
                    <w:rPr>
                      <w:rFonts w:hint="eastAsia"/>
                      <w:bCs/>
                      <w:color w:val="auto"/>
                      <w:szCs w:val="21"/>
                      <w:highlight w:val="none"/>
                      <w:lang w:val="en-US" w:eastAsia="zh-CN"/>
                    </w:rPr>
                    <w:t>20</w:t>
                  </w:r>
                </w:p>
              </w:tc>
              <w:tc>
                <w:tcPr>
                  <w:tcW w:w="795" w:type="pct"/>
                  <w:tcBorders>
                    <w:tl2br w:val="nil"/>
                    <w:tr2bl w:val="nil"/>
                  </w:tcBorders>
                  <w:noWrap/>
                  <w:vAlign w:val="center"/>
                </w:tcPr>
                <w:p w14:paraId="71C198BF">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100kg</w:t>
                  </w:r>
                  <w:r>
                    <w:rPr>
                      <w:rFonts w:hint="default"/>
                      <w:bCs/>
                      <w:color w:val="auto"/>
                      <w:kern w:val="0"/>
                      <w:szCs w:val="21"/>
                      <w:highlight w:val="none"/>
                    </w:rPr>
                    <w:t>/件</w:t>
                  </w:r>
                </w:p>
              </w:tc>
              <w:tc>
                <w:tcPr>
                  <w:tcW w:w="1478" w:type="pct"/>
                  <w:tcBorders>
                    <w:tl2br w:val="nil"/>
                    <w:tr2bl w:val="nil"/>
                  </w:tcBorders>
                  <w:noWrap/>
                  <w:vAlign w:val="center"/>
                </w:tcPr>
                <w:p w14:paraId="50D33C6C">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val="en-US" w:eastAsia="zh-CN"/>
                    </w:rPr>
                  </w:pPr>
                  <w:r>
                    <w:rPr>
                      <w:rFonts w:hint="eastAsia"/>
                      <w:bCs/>
                      <w:color w:val="auto"/>
                      <w:szCs w:val="21"/>
                      <w:highlight w:val="none"/>
                      <w:lang w:val="en-US" w:eastAsia="zh-CN"/>
                    </w:rPr>
                    <w:t>2</w:t>
                  </w:r>
                </w:p>
              </w:tc>
            </w:tr>
            <w:tr w14:paraId="5BEE494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shd w:val="clear" w:color="auto" w:fill="auto"/>
                  <w:noWrap/>
                  <w:vAlign w:val="center"/>
                </w:tcPr>
                <w:p w14:paraId="59DB9552">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11</w:t>
                  </w:r>
                </w:p>
              </w:tc>
              <w:tc>
                <w:tcPr>
                  <w:tcW w:w="763" w:type="pct"/>
                  <w:tcBorders>
                    <w:tl2br w:val="nil"/>
                    <w:tr2bl w:val="nil"/>
                  </w:tcBorders>
                  <w:noWrap/>
                  <w:vAlign w:val="center"/>
                </w:tcPr>
                <w:p w14:paraId="5AF625E4">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szCs w:val="21"/>
                      <w:highlight w:val="none"/>
                    </w:rPr>
                    <w:t>鸡粉调味料</w:t>
                  </w:r>
                </w:p>
              </w:tc>
              <w:tc>
                <w:tcPr>
                  <w:tcW w:w="685" w:type="pct"/>
                  <w:tcBorders>
                    <w:tl2br w:val="nil"/>
                    <w:tr2bl w:val="nil"/>
                  </w:tcBorders>
                  <w:noWrap/>
                  <w:vAlign w:val="center"/>
                </w:tcPr>
                <w:p w14:paraId="17E17153">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3F131F4E">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eastAsia="zh-CN"/>
                    </w:rPr>
                  </w:pPr>
                  <w:r>
                    <w:rPr>
                      <w:rFonts w:hint="eastAsia"/>
                      <w:bCs/>
                      <w:color w:val="auto"/>
                      <w:kern w:val="0"/>
                      <w:szCs w:val="21"/>
                      <w:highlight w:val="none"/>
                      <w:lang w:val="en-US" w:eastAsia="zh-CN"/>
                    </w:rPr>
                    <w:t>2</w:t>
                  </w:r>
                </w:p>
              </w:tc>
              <w:tc>
                <w:tcPr>
                  <w:tcW w:w="795" w:type="pct"/>
                  <w:tcBorders>
                    <w:tl2br w:val="nil"/>
                    <w:tr2bl w:val="nil"/>
                  </w:tcBorders>
                  <w:noWrap/>
                  <w:vAlign w:val="center"/>
                </w:tcPr>
                <w:p w14:paraId="2971CD39">
                  <w:pPr>
                    <w:keepNext w:val="0"/>
                    <w:keepLines w:val="0"/>
                    <w:widowControl/>
                    <w:suppressLineNumbers w:val="0"/>
                    <w:spacing w:before="0" w:beforeAutospacing="0" w:after="0" w:afterAutospacing="0"/>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100kg</w:t>
                  </w:r>
                  <w:r>
                    <w:rPr>
                      <w:rFonts w:hint="default"/>
                      <w:bCs/>
                      <w:color w:val="auto"/>
                      <w:kern w:val="0"/>
                      <w:szCs w:val="21"/>
                      <w:highlight w:val="none"/>
                    </w:rPr>
                    <w:t>/件</w:t>
                  </w:r>
                </w:p>
              </w:tc>
              <w:tc>
                <w:tcPr>
                  <w:tcW w:w="1478" w:type="pct"/>
                  <w:tcBorders>
                    <w:tl2br w:val="nil"/>
                    <w:tr2bl w:val="nil"/>
                  </w:tcBorders>
                  <w:noWrap/>
                  <w:vAlign w:val="center"/>
                </w:tcPr>
                <w:p w14:paraId="2EA4694E">
                  <w:pPr>
                    <w:keepNext w:val="0"/>
                    <w:keepLines w:val="0"/>
                    <w:widowControl/>
                    <w:suppressLineNumbers w:val="0"/>
                    <w:spacing w:before="0" w:beforeAutospacing="0" w:after="0" w:afterAutospacing="0"/>
                    <w:ind w:left="0" w:right="0"/>
                    <w:jc w:val="center"/>
                    <w:textAlignment w:val="center"/>
                    <w:rPr>
                      <w:rFonts w:hint="default" w:eastAsia="宋体"/>
                      <w:bCs/>
                      <w:color w:val="auto"/>
                      <w:szCs w:val="21"/>
                      <w:highlight w:val="none"/>
                      <w:lang w:val="en-US" w:eastAsia="zh-CN"/>
                    </w:rPr>
                  </w:pPr>
                  <w:r>
                    <w:rPr>
                      <w:rFonts w:hint="eastAsia"/>
                      <w:bCs/>
                      <w:color w:val="auto"/>
                      <w:szCs w:val="21"/>
                      <w:highlight w:val="none"/>
                      <w:lang w:val="en-US" w:eastAsia="zh-CN"/>
                    </w:rPr>
                    <w:t>0.5</w:t>
                  </w:r>
                </w:p>
              </w:tc>
            </w:tr>
            <w:tr w14:paraId="6836FE1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4F95E83A">
                  <w:pPr>
                    <w:keepNext w:val="0"/>
                    <w:keepLines w:val="0"/>
                    <w:suppressLineNumbers w:val="0"/>
                    <w:snapToGrid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12</w:t>
                  </w:r>
                </w:p>
              </w:tc>
              <w:tc>
                <w:tcPr>
                  <w:tcW w:w="763" w:type="pct"/>
                  <w:tcBorders>
                    <w:tl2br w:val="nil"/>
                    <w:tr2bl w:val="nil"/>
                  </w:tcBorders>
                  <w:noWrap/>
                  <w:vAlign w:val="center"/>
                </w:tcPr>
                <w:p w14:paraId="1E4898B2">
                  <w:pPr>
                    <w:keepNext w:val="0"/>
                    <w:keepLines w:val="0"/>
                    <w:widowControl/>
                    <w:suppressLineNumbers w:val="0"/>
                    <w:spacing w:before="0" w:beforeAutospacing="0" w:after="0" w:afterAutospacing="0"/>
                    <w:ind w:left="0" w:right="0"/>
                    <w:jc w:val="center"/>
                    <w:textAlignment w:val="center"/>
                    <w:rPr>
                      <w:rFonts w:hint="eastAsia" w:eastAsia="宋体"/>
                      <w:bCs/>
                      <w:color w:val="auto"/>
                      <w:szCs w:val="21"/>
                      <w:highlight w:val="none"/>
                      <w:lang w:eastAsia="zh-CN"/>
                    </w:rPr>
                  </w:pPr>
                  <w:r>
                    <w:rPr>
                      <w:rFonts w:hint="eastAsia"/>
                      <w:bCs/>
                      <w:color w:val="auto"/>
                      <w:szCs w:val="21"/>
                      <w:highlight w:val="none"/>
                      <w:lang w:eastAsia="zh-CN"/>
                    </w:rPr>
                    <w:t>辣椒</w:t>
                  </w:r>
                </w:p>
              </w:tc>
              <w:tc>
                <w:tcPr>
                  <w:tcW w:w="685" w:type="pct"/>
                  <w:tcBorders>
                    <w:tl2br w:val="nil"/>
                    <w:tr2bl w:val="nil"/>
                  </w:tcBorders>
                  <w:noWrap/>
                  <w:vAlign w:val="center"/>
                </w:tcPr>
                <w:p w14:paraId="37032E56">
                  <w:pPr>
                    <w:keepNext w:val="0"/>
                    <w:keepLines w:val="0"/>
                    <w:widowControl/>
                    <w:suppressLineNumbers w:val="0"/>
                    <w:spacing w:before="0" w:beforeAutospacing="0" w:after="0" w:afterAutospacing="0" w:line="240" w:lineRule="exact"/>
                    <w:ind w:left="0" w:right="0"/>
                    <w:jc w:val="center"/>
                    <w:textAlignment w:val="center"/>
                    <w:rPr>
                      <w:rFonts w:hint="default"/>
                      <w:bCs/>
                      <w:color w:val="auto"/>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449CA4A3">
                  <w:pPr>
                    <w:keepNext w:val="0"/>
                    <w:keepLines w:val="0"/>
                    <w:widowControl/>
                    <w:suppressLineNumbers w:val="0"/>
                    <w:spacing w:before="0" w:beforeAutospacing="0" w:after="0" w:afterAutospacing="0" w:line="240" w:lineRule="exact"/>
                    <w:ind w:left="0" w:right="0"/>
                    <w:jc w:val="center"/>
                    <w:textAlignment w:val="center"/>
                    <w:rPr>
                      <w:rFonts w:hint="eastAsia" w:eastAsia="宋体"/>
                      <w:bCs/>
                      <w:color w:val="auto"/>
                      <w:szCs w:val="21"/>
                      <w:highlight w:val="none"/>
                      <w:lang w:eastAsia="zh-CN"/>
                    </w:rPr>
                  </w:pPr>
                  <w:r>
                    <w:rPr>
                      <w:rFonts w:hint="eastAsia"/>
                      <w:bCs/>
                      <w:color w:val="auto"/>
                      <w:kern w:val="0"/>
                      <w:szCs w:val="21"/>
                      <w:highlight w:val="none"/>
                      <w:lang w:val="en-US" w:eastAsia="zh-CN"/>
                    </w:rPr>
                    <w:t>2</w:t>
                  </w:r>
                </w:p>
              </w:tc>
              <w:tc>
                <w:tcPr>
                  <w:tcW w:w="795" w:type="pct"/>
                  <w:tcBorders>
                    <w:tl2br w:val="nil"/>
                    <w:tr2bl w:val="nil"/>
                  </w:tcBorders>
                  <w:noWrap/>
                  <w:vAlign w:val="center"/>
                </w:tcPr>
                <w:p w14:paraId="535698DE">
                  <w:pPr>
                    <w:keepNext w:val="0"/>
                    <w:keepLines w:val="0"/>
                    <w:widowControl/>
                    <w:suppressLineNumbers w:val="0"/>
                    <w:spacing w:before="0" w:beforeAutospacing="0" w:after="0" w:afterAutospacing="0" w:line="240" w:lineRule="exact"/>
                    <w:ind w:left="0" w:right="0"/>
                    <w:jc w:val="center"/>
                    <w:textAlignment w:val="center"/>
                    <w:rPr>
                      <w:rFonts w:hint="default"/>
                      <w:bCs/>
                      <w:color w:val="auto"/>
                      <w:szCs w:val="21"/>
                      <w:highlight w:val="none"/>
                    </w:rPr>
                  </w:pPr>
                  <w:r>
                    <w:rPr>
                      <w:rFonts w:hint="eastAsia"/>
                      <w:bCs/>
                      <w:color w:val="auto"/>
                      <w:kern w:val="0"/>
                      <w:szCs w:val="21"/>
                      <w:highlight w:val="none"/>
                      <w:lang w:val="en-US" w:eastAsia="zh-CN"/>
                    </w:rPr>
                    <w:t>100kg</w:t>
                  </w:r>
                  <w:r>
                    <w:rPr>
                      <w:rFonts w:hint="default"/>
                      <w:bCs/>
                      <w:color w:val="auto"/>
                      <w:kern w:val="0"/>
                      <w:szCs w:val="21"/>
                      <w:highlight w:val="none"/>
                    </w:rPr>
                    <w:t>/件</w:t>
                  </w:r>
                </w:p>
              </w:tc>
              <w:tc>
                <w:tcPr>
                  <w:tcW w:w="1478" w:type="pct"/>
                  <w:tcBorders>
                    <w:tl2br w:val="nil"/>
                    <w:tr2bl w:val="nil"/>
                  </w:tcBorders>
                  <w:noWrap/>
                  <w:vAlign w:val="center"/>
                </w:tcPr>
                <w:p w14:paraId="0F0B9718">
                  <w:pPr>
                    <w:keepNext w:val="0"/>
                    <w:keepLines w:val="0"/>
                    <w:widowControl/>
                    <w:suppressLineNumbers w:val="0"/>
                    <w:spacing w:before="0" w:beforeAutospacing="0" w:after="0" w:afterAutospacing="0" w:line="240" w:lineRule="exact"/>
                    <w:ind w:left="0" w:right="0"/>
                    <w:jc w:val="center"/>
                    <w:textAlignment w:val="center"/>
                    <w:rPr>
                      <w:rFonts w:hint="default" w:eastAsia="宋体"/>
                      <w:bCs/>
                      <w:color w:val="auto"/>
                      <w:szCs w:val="21"/>
                      <w:highlight w:val="none"/>
                      <w:lang w:val="en-US" w:eastAsia="zh-CN"/>
                    </w:rPr>
                  </w:pPr>
                  <w:r>
                    <w:rPr>
                      <w:rFonts w:hint="eastAsia"/>
                      <w:bCs/>
                      <w:color w:val="auto"/>
                      <w:szCs w:val="21"/>
                      <w:highlight w:val="none"/>
                      <w:lang w:val="en-US" w:eastAsia="zh-CN"/>
                    </w:rPr>
                    <w:t>0.5</w:t>
                  </w:r>
                </w:p>
              </w:tc>
            </w:tr>
            <w:tr w14:paraId="34F86BC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47741C92">
                  <w:pPr>
                    <w:keepNext w:val="0"/>
                    <w:keepLines w:val="0"/>
                    <w:suppressLineNumbers w:val="0"/>
                    <w:snapToGrid w:val="0"/>
                    <w:spacing w:before="0" w:beforeAutospacing="0" w:after="0" w:afterAutospacing="0"/>
                    <w:ind w:left="0" w:right="0"/>
                    <w:jc w:val="center"/>
                    <w:rPr>
                      <w:rFonts w:hint="default"/>
                      <w:bCs/>
                      <w:color w:val="auto"/>
                      <w:szCs w:val="21"/>
                      <w:highlight w:val="none"/>
                      <w:lang w:val="en-US" w:eastAsia="zh-CN"/>
                    </w:rPr>
                  </w:pPr>
                  <w:r>
                    <w:rPr>
                      <w:rFonts w:hint="eastAsia"/>
                      <w:bCs/>
                      <w:color w:val="auto"/>
                      <w:szCs w:val="21"/>
                      <w:highlight w:val="none"/>
                      <w:lang w:val="en-US" w:eastAsia="zh-CN"/>
                    </w:rPr>
                    <w:t>13</w:t>
                  </w:r>
                </w:p>
              </w:tc>
              <w:tc>
                <w:tcPr>
                  <w:tcW w:w="763" w:type="pct"/>
                  <w:tcBorders>
                    <w:tl2br w:val="nil"/>
                    <w:tr2bl w:val="nil"/>
                  </w:tcBorders>
                  <w:noWrap/>
                  <w:vAlign w:val="center"/>
                </w:tcPr>
                <w:p w14:paraId="7FE7542F">
                  <w:pPr>
                    <w:keepNext w:val="0"/>
                    <w:keepLines w:val="0"/>
                    <w:widowControl/>
                    <w:suppressLineNumbers w:val="0"/>
                    <w:spacing w:before="0" w:beforeAutospacing="0" w:after="0" w:afterAutospacing="0"/>
                    <w:ind w:left="0" w:right="0"/>
                    <w:jc w:val="center"/>
                    <w:textAlignment w:val="center"/>
                    <w:rPr>
                      <w:rFonts w:hint="eastAsia"/>
                      <w:bCs/>
                      <w:color w:val="auto"/>
                      <w:szCs w:val="21"/>
                      <w:highlight w:val="none"/>
                      <w:lang w:eastAsia="zh-CN"/>
                    </w:rPr>
                  </w:pPr>
                  <w:r>
                    <w:rPr>
                      <w:rFonts w:hint="eastAsia"/>
                      <w:bCs/>
                      <w:color w:val="auto"/>
                      <w:szCs w:val="21"/>
                      <w:highlight w:val="none"/>
                      <w:lang w:eastAsia="zh-CN"/>
                    </w:rPr>
                    <w:t>包装袋</w:t>
                  </w:r>
                </w:p>
              </w:tc>
              <w:tc>
                <w:tcPr>
                  <w:tcW w:w="685" w:type="pct"/>
                  <w:tcBorders>
                    <w:tl2br w:val="nil"/>
                    <w:tr2bl w:val="nil"/>
                  </w:tcBorders>
                  <w:noWrap/>
                  <w:vAlign w:val="center"/>
                </w:tcPr>
                <w:p w14:paraId="29DF0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bCs/>
                      <w:color w:val="auto"/>
                      <w:kern w:val="0"/>
                      <w:szCs w:val="21"/>
                      <w:highlight w:val="none"/>
                      <w:lang w:val="en-US" w:eastAsia="zh-CN"/>
                    </w:rPr>
                  </w:pPr>
                  <w:r>
                    <w:rPr>
                      <w:rFonts w:hint="default" w:ascii="Times New Roman" w:hAnsi="Times New Roman" w:cs="Times New Roman"/>
                      <w:color w:val="auto"/>
                      <w:kern w:val="0"/>
                      <w:sz w:val="21"/>
                      <w:szCs w:val="21"/>
                      <w:highlight w:val="none"/>
                      <w:lang w:val="en-US" w:eastAsia="zh-CN"/>
                    </w:rPr>
                    <w:t>万个/a</w:t>
                  </w:r>
                </w:p>
              </w:tc>
              <w:tc>
                <w:tcPr>
                  <w:tcW w:w="641" w:type="pct"/>
                  <w:tcBorders>
                    <w:tl2br w:val="nil"/>
                    <w:tr2bl w:val="nil"/>
                  </w:tcBorders>
                  <w:noWrap/>
                  <w:vAlign w:val="center"/>
                </w:tcPr>
                <w:p w14:paraId="6050D1F3">
                  <w:pPr>
                    <w:keepNext w:val="0"/>
                    <w:keepLines w:val="0"/>
                    <w:widowControl/>
                    <w:suppressLineNumbers w:val="0"/>
                    <w:spacing w:before="0" w:beforeAutospacing="0" w:after="0" w:afterAutospacing="0" w:line="240" w:lineRule="auto"/>
                    <w:ind w:left="0" w:right="0"/>
                    <w:jc w:val="center"/>
                    <w:textAlignment w:val="center"/>
                    <w:rPr>
                      <w:rFonts w:hint="eastAsia"/>
                      <w:bCs/>
                      <w:color w:val="auto"/>
                      <w:kern w:val="0"/>
                      <w:szCs w:val="21"/>
                      <w:highlight w:val="none"/>
                      <w:lang w:val="en-US" w:eastAsia="zh-CN"/>
                    </w:rPr>
                  </w:pPr>
                  <w:r>
                    <w:rPr>
                      <w:rFonts w:hint="eastAsia" w:cs="Times New Roman"/>
                      <w:i w:val="0"/>
                      <w:color w:val="000000"/>
                      <w:kern w:val="0"/>
                      <w:sz w:val="21"/>
                      <w:szCs w:val="21"/>
                      <w:highlight w:val="none"/>
                      <w:u w:val="none"/>
                      <w:lang w:val="en-US" w:eastAsia="zh-CN" w:bidi="ar"/>
                    </w:rPr>
                    <w:t>2</w:t>
                  </w:r>
                </w:p>
              </w:tc>
              <w:tc>
                <w:tcPr>
                  <w:tcW w:w="795" w:type="pct"/>
                  <w:tcBorders>
                    <w:tl2br w:val="nil"/>
                    <w:tr2bl w:val="nil"/>
                  </w:tcBorders>
                  <w:noWrap/>
                  <w:vAlign w:val="center"/>
                </w:tcPr>
                <w:p w14:paraId="5DDF494B">
                  <w:pPr>
                    <w:keepNext w:val="0"/>
                    <w:keepLines w:val="0"/>
                    <w:widowControl/>
                    <w:suppressLineNumbers w:val="0"/>
                    <w:spacing w:before="0" w:beforeAutospacing="0" w:after="0" w:afterAutospacing="0" w:line="240" w:lineRule="exact"/>
                    <w:ind w:left="0" w:right="0"/>
                    <w:jc w:val="center"/>
                    <w:textAlignment w:val="center"/>
                    <w:rPr>
                      <w:rFonts w:hint="default"/>
                      <w:bCs/>
                      <w:color w:val="auto"/>
                      <w:kern w:val="0"/>
                      <w:szCs w:val="21"/>
                      <w:highlight w:val="none"/>
                      <w:lang w:val="en-US" w:eastAsia="zh-CN"/>
                    </w:rPr>
                  </w:pPr>
                  <w:r>
                    <w:rPr>
                      <w:rFonts w:hint="eastAsia"/>
                      <w:bCs/>
                      <w:color w:val="auto"/>
                      <w:kern w:val="0"/>
                      <w:szCs w:val="21"/>
                      <w:highlight w:val="none"/>
                      <w:lang w:val="en-US" w:eastAsia="zh-CN"/>
                    </w:rPr>
                    <w:t>1000个/箱</w:t>
                  </w:r>
                </w:p>
              </w:tc>
              <w:tc>
                <w:tcPr>
                  <w:tcW w:w="1478" w:type="pct"/>
                  <w:tcBorders>
                    <w:tl2br w:val="nil"/>
                    <w:tr2bl w:val="nil"/>
                  </w:tcBorders>
                  <w:noWrap/>
                  <w:vAlign w:val="center"/>
                </w:tcPr>
                <w:p w14:paraId="07DEB76A">
                  <w:pPr>
                    <w:keepNext w:val="0"/>
                    <w:keepLines w:val="0"/>
                    <w:widowControl/>
                    <w:suppressLineNumbers w:val="0"/>
                    <w:spacing w:before="0" w:beforeAutospacing="0" w:after="0" w:afterAutospacing="0" w:line="240" w:lineRule="exact"/>
                    <w:ind w:left="0" w:right="0"/>
                    <w:jc w:val="center"/>
                    <w:textAlignment w:val="center"/>
                    <w:rPr>
                      <w:rFonts w:hint="eastAsia"/>
                      <w:bCs/>
                      <w:color w:val="auto"/>
                      <w:szCs w:val="21"/>
                      <w:highlight w:val="none"/>
                      <w:lang w:val="en-US" w:eastAsia="zh-CN"/>
                    </w:rPr>
                  </w:pPr>
                  <w:r>
                    <w:rPr>
                      <w:rFonts w:hint="eastAsia"/>
                      <w:bCs/>
                      <w:color w:val="auto"/>
                      <w:kern w:val="0"/>
                      <w:szCs w:val="21"/>
                      <w:highlight w:val="none"/>
                      <w:lang w:val="en-US" w:eastAsia="zh-CN"/>
                    </w:rPr>
                    <w:t>5000个</w:t>
                  </w:r>
                </w:p>
              </w:tc>
            </w:tr>
            <w:tr w14:paraId="2556314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16693AE2">
                  <w:pPr>
                    <w:keepNext w:val="0"/>
                    <w:keepLines w:val="0"/>
                    <w:suppressLineNumbers w:val="0"/>
                    <w:snapToGrid w:val="0"/>
                    <w:spacing w:before="0" w:beforeAutospacing="0" w:after="0" w:afterAutospacing="0"/>
                    <w:ind w:left="0" w:right="0"/>
                    <w:jc w:val="center"/>
                    <w:rPr>
                      <w:rFonts w:hint="default"/>
                      <w:bCs/>
                      <w:color w:val="auto"/>
                      <w:szCs w:val="21"/>
                      <w:highlight w:val="none"/>
                      <w:lang w:val="en-US" w:eastAsia="zh-CN"/>
                    </w:rPr>
                  </w:pPr>
                  <w:r>
                    <w:rPr>
                      <w:rFonts w:hint="eastAsia"/>
                      <w:bCs/>
                      <w:color w:val="auto"/>
                      <w:szCs w:val="21"/>
                      <w:highlight w:val="none"/>
                      <w:lang w:val="en-US" w:eastAsia="zh-CN"/>
                    </w:rPr>
                    <w:t>14</w:t>
                  </w:r>
                </w:p>
              </w:tc>
              <w:tc>
                <w:tcPr>
                  <w:tcW w:w="763" w:type="pct"/>
                  <w:tcBorders>
                    <w:tl2br w:val="nil"/>
                    <w:tr2bl w:val="nil"/>
                  </w:tcBorders>
                  <w:noWrap/>
                  <w:vAlign w:val="center"/>
                </w:tcPr>
                <w:p w14:paraId="43357DD2">
                  <w:pPr>
                    <w:keepNext w:val="0"/>
                    <w:keepLines w:val="0"/>
                    <w:widowControl/>
                    <w:suppressLineNumbers w:val="0"/>
                    <w:spacing w:before="0" w:beforeAutospacing="0" w:after="0" w:afterAutospacing="0"/>
                    <w:ind w:left="0" w:leftChars="0" w:right="0" w:rightChars="0"/>
                    <w:jc w:val="center"/>
                    <w:textAlignment w:val="center"/>
                    <w:rPr>
                      <w:rFonts w:hint="default"/>
                      <w:bCs/>
                      <w:color w:val="auto"/>
                      <w:szCs w:val="21"/>
                      <w:highlight w:val="none"/>
                      <w:lang w:val="en-US" w:eastAsia="zh-CN"/>
                    </w:rPr>
                  </w:pPr>
                  <w:r>
                    <w:rPr>
                      <w:rFonts w:hint="eastAsia"/>
                      <w:bCs/>
                      <w:color w:val="auto"/>
                      <w:kern w:val="0"/>
                      <w:szCs w:val="21"/>
                      <w:highlight w:val="none"/>
                      <w:lang w:val="en-US" w:eastAsia="zh-CN"/>
                    </w:rPr>
                    <w:t>PAC</w:t>
                  </w:r>
                </w:p>
              </w:tc>
              <w:tc>
                <w:tcPr>
                  <w:tcW w:w="685" w:type="pct"/>
                  <w:tcBorders>
                    <w:tl2br w:val="nil"/>
                    <w:tr2bl w:val="nil"/>
                  </w:tcBorders>
                  <w:noWrap/>
                  <w:vAlign w:val="center"/>
                </w:tcPr>
                <w:p w14:paraId="3FC2F3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kern w:val="0"/>
                      <w:sz w:val="21"/>
                      <w:szCs w:val="21"/>
                      <w:highlight w:val="none"/>
                      <w:lang w:val="en-US" w:eastAsia="zh-CN"/>
                    </w:rPr>
                  </w:pPr>
                  <w:r>
                    <w:rPr>
                      <w:rFonts w:hint="default"/>
                      <w:bCs/>
                      <w:color w:val="auto"/>
                      <w:kern w:val="0"/>
                      <w:szCs w:val="21"/>
                      <w:highlight w:val="none"/>
                    </w:rPr>
                    <w:t>t/a</w:t>
                  </w:r>
                </w:p>
              </w:tc>
              <w:tc>
                <w:tcPr>
                  <w:tcW w:w="641" w:type="pct"/>
                  <w:tcBorders>
                    <w:tl2br w:val="nil"/>
                    <w:tr2bl w:val="nil"/>
                  </w:tcBorders>
                  <w:noWrap/>
                  <w:vAlign w:val="center"/>
                </w:tcPr>
                <w:p w14:paraId="40C7A0A3">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000000"/>
                      <w:kern w:val="0"/>
                      <w:sz w:val="21"/>
                      <w:szCs w:val="21"/>
                      <w:highlight w:val="none"/>
                      <w:u w:val="none"/>
                      <w:lang w:val="en-US" w:eastAsia="zh-CN" w:bidi="ar"/>
                    </w:rPr>
                  </w:pPr>
                  <w:r>
                    <w:rPr>
                      <w:rFonts w:hint="eastAsia"/>
                      <w:bCs/>
                      <w:color w:val="auto"/>
                      <w:szCs w:val="21"/>
                      <w:highlight w:val="none"/>
                      <w:lang w:val="en-US" w:eastAsia="zh-CN"/>
                    </w:rPr>
                    <w:t>1</w:t>
                  </w:r>
                </w:p>
              </w:tc>
              <w:tc>
                <w:tcPr>
                  <w:tcW w:w="795" w:type="pct"/>
                  <w:tcBorders>
                    <w:tl2br w:val="nil"/>
                    <w:tr2bl w:val="nil"/>
                  </w:tcBorders>
                  <w:noWrap/>
                  <w:vAlign w:val="center"/>
                </w:tcPr>
                <w:p w14:paraId="6AE7D692">
                  <w:pPr>
                    <w:keepNext w:val="0"/>
                    <w:keepLines w:val="0"/>
                    <w:widowControl/>
                    <w:suppressLineNumbers w:val="0"/>
                    <w:spacing w:before="0" w:beforeAutospacing="0" w:after="0" w:afterAutospacing="0"/>
                    <w:ind w:left="0" w:leftChars="0" w:right="0" w:rightChars="0"/>
                    <w:jc w:val="center"/>
                    <w:textAlignment w:val="center"/>
                    <w:rPr>
                      <w:rFonts w:hint="eastAsia"/>
                      <w:bCs/>
                      <w:color w:val="auto"/>
                      <w:kern w:val="0"/>
                      <w:szCs w:val="21"/>
                      <w:highlight w:val="none"/>
                      <w:lang w:val="en-US" w:eastAsia="zh-CN"/>
                    </w:rPr>
                  </w:pPr>
                  <w:r>
                    <w:rPr>
                      <w:rFonts w:hint="eastAsia"/>
                      <w:bCs/>
                      <w:color w:val="auto"/>
                      <w:kern w:val="0"/>
                      <w:szCs w:val="21"/>
                      <w:highlight w:val="none"/>
                      <w:lang w:val="en-US" w:eastAsia="zh-CN"/>
                    </w:rPr>
                    <w:t>50kg/袋</w:t>
                  </w:r>
                </w:p>
              </w:tc>
              <w:tc>
                <w:tcPr>
                  <w:tcW w:w="1478" w:type="pct"/>
                  <w:tcBorders>
                    <w:tl2br w:val="nil"/>
                    <w:tr2bl w:val="nil"/>
                  </w:tcBorders>
                  <w:noWrap/>
                  <w:vAlign w:val="center"/>
                </w:tcPr>
                <w:p w14:paraId="27366388">
                  <w:pPr>
                    <w:keepNext w:val="0"/>
                    <w:keepLines w:val="0"/>
                    <w:widowControl/>
                    <w:suppressLineNumbers w:val="0"/>
                    <w:spacing w:before="0" w:beforeAutospacing="0" w:after="0" w:afterAutospacing="0"/>
                    <w:ind w:left="0" w:leftChars="0" w:right="0" w:rightChars="0"/>
                    <w:jc w:val="center"/>
                    <w:textAlignment w:val="center"/>
                    <w:rPr>
                      <w:rFonts w:hint="eastAsia"/>
                      <w:bCs/>
                      <w:color w:val="auto"/>
                      <w:kern w:val="0"/>
                      <w:szCs w:val="21"/>
                      <w:highlight w:val="none"/>
                      <w:lang w:val="en-US" w:eastAsia="zh-CN"/>
                    </w:rPr>
                  </w:pPr>
                  <w:r>
                    <w:rPr>
                      <w:rFonts w:hint="eastAsia"/>
                      <w:bCs/>
                      <w:color w:val="auto"/>
                      <w:szCs w:val="21"/>
                      <w:highlight w:val="none"/>
                      <w:lang w:val="en-US" w:eastAsia="zh-CN"/>
                    </w:rPr>
                    <w:t>0.2</w:t>
                  </w:r>
                </w:p>
              </w:tc>
            </w:tr>
            <w:tr w14:paraId="14AD9E2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7EE986D9">
                  <w:pPr>
                    <w:keepNext w:val="0"/>
                    <w:keepLines w:val="0"/>
                    <w:suppressLineNumbers w:val="0"/>
                    <w:snapToGrid w:val="0"/>
                    <w:spacing w:before="0" w:beforeAutospacing="0" w:after="0" w:afterAutospacing="0"/>
                    <w:ind w:left="0" w:right="0"/>
                    <w:jc w:val="center"/>
                    <w:rPr>
                      <w:rFonts w:hint="default"/>
                      <w:bCs/>
                      <w:color w:val="auto"/>
                      <w:szCs w:val="21"/>
                      <w:highlight w:val="none"/>
                      <w:lang w:val="en-US" w:eastAsia="zh-CN"/>
                    </w:rPr>
                  </w:pPr>
                  <w:r>
                    <w:rPr>
                      <w:rFonts w:hint="eastAsia"/>
                      <w:bCs/>
                      <w:color w:val="auto"/>
                      <w:szCs w:val="21"/>
                      <w:highlight w:val="none"/>
                      <w:lang w:val="en-US" w:eastAsia="zh-CN"/>
                    </w:rPr>
                    <w:t>15</w:t>
                  </w:r>
                </w:p>
              </w:tc>
              <w:tc>
                <w:tcPr>
                  <w:tcW w:w="763" w:type="pct"/>
                  <w:tcBorders>
                    <w:tl2br w:val="nil"/>
                    <w:tr2bl w:val="nil"/>
                  </w:tcBorders>
                  <w:noWrap/>
                  <w:vAlign w:val="center"/>
                </w:tcPr>
                <w:p w14:paraId="1896A112">
                  <w:pPr>
                    <w:keepNext w:val="0"/>
                    <w:keepLines w:val="0"/>
                    <w:widowControl/>
                    <w:suppressLineNumbers w:val="0"/>
                    <w:spacing w:before="0" w:beforeAutospacing="0" w:after="0" w:afterAutospacing="0"/>
                    <w:ind w:left="0" w:leftChars="0" w:right="0" w:rightChars="0"/>
                    <w:jc w:val="center"/>
                    <w:textAlignment w:val="center"/>
                    <w:rPr>
                      <w:rFonts w:hint="eastAsia"/>
                      <w:bCs/>
                      <w:color w:val="auto"/>
                      <w:szCs w:val="21"/>
                      <w:highlight w:val="none"/>
                      <w:lang w:eastAsia="zh-CN"/>
                    </w:rPr>
                  </w:pPr>
                  <w:r>
                    <w:rPr>
                      <w:rFonts w:hint="eastAsia"/>
                      <w:bCs/>
                      <w:color w:val="auto"/>
                      <w:kern w:val="0"/>
                      <w:szCs w:val="21"/>
                      <w:highlight w:val="none"/>
                      <w:lang w:val="en-US" w:eastAsia="zh-CN"/>
                    </w:rPr>
                    <w:t>PAM</w:t>
                  </w:r>
                </w:p>
              </w:tc>
              <w:tc>
                <w:tcPr>
                  <w:tcW w:w="685" w:type="pct"/>
                  <w:tcBorders>
                    <w:tl2br w:val="nil"/>
                    <w:tr2bl w:val="nil"/>
                  </w:tcBorders>
                  <w:noWrap/>
                  <w:vAlign w:val="center"/>
                </w:tcPr>
                <w:p w14:paraId="51CD9F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kern w:val="0"/>
                      <w:sz w:val="21"/>
                      <w:szCs w:val="21"/>
                      <w:highlight w:val="none"/>
                      <w:lang w:val="en-US" w:eastAsia="zh-CN"/>
                    </w:rPr>
                  </w:pPr>
                  <w:r>
                    <w:rPr>
                      <w:rFonts w:hint="default"/>
                      <w:bCs/>
                      <w:color w:val="auto"/>
                      <w:kern w:val="0"/>
                      <w:szCs w:val="21"/>
                      <w:highlight w:val="none"/>
                    </w:rPr>
                    <w:t>t/a</w:t>
                  </w:r>
                </w:p>
              </w:tc>
              <w:tc>
                <w:tcPr>
                  <w:tcW w:w="641" w:type="pct"/>
                  <w:tcBorders>
                    <w:tl2br w:val="nil"/>
                    <w:tr2bl w:val="nil"/>
                  </w:tcBorders>
                  <w:noWrap/>
                  <w:vAlign w:val="center"/>
                </w:tcPr>
                <w:p w14:paraId="718A1AFC">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000000"/>
                      <w:kern w:val="0"/>
                      <w:sz w:val="21"/>
                      <w:szCs w:val="21"/>
                      <w:highlight w:val="none"/>
                      <w:u w:val="none"/>
                      <w:lang w:val="en-US" w:eastAsia="zh-CN" w:bidi="ar"/>
                    </w:rPr>
                  </w:pPr>
                  <w:r>
                    <w:rPr>
                      <w:rFonts w:hint="eastAsia"/>
                      <w:bCs/>
                      <w:color w:val="auto"/>
                      <w:szCs w:val="21"/>
                      <w:highlight w:val="none"/>
                      <w:lang w:val="en-US" w:eastAsia="zh-CN"/>
                    </w:rPr>
                    <w:t>0.025</w:t>
                  </w:r>
                </w:p>
              </w:tc>
              <w:tc>
                <w:tcPr>
                  <w:tcW w:w="795" w:type="pct"/>
                  <w:tcBorders>
                    <w:tl2br w:val="nil"/>
                    <w:tr2bl w:val="nil"/>
                  </w:tcBorders>
                  <w:noWrap/>
                  <w:vAlign w:val="center"/>
                </w:tcPr>
                <w:p w14:paraId="24F5306B">
                  <w:pPr>
                    <w:keepNext w:val="0"/>
                    <w:keepLines w:val="0"/>
                    <w:widowControl/>
                    <w:suppressLineNumbers w:val="0"/>
                    <w:spacing w:before="0" w:beforeAutospacing="0" w:after="0" w:afterAutospacing="0"/>
                    <w:ind w:left="0" w:leftChars="0" w:right="0" w:rightChars="0"/>
                    <w:jc w:val="center"/>
                    <w:textAlignment w:val="center"/>
                    <w:rPr>
                      <w:rFonts w:hint="eastAsia"/>
                      <w:bCs/>
                      <w:color w:val="auto"/>
                      <w:kern w:val="0"/>
                      <w:szCs w:val="21"/>
                      <w:highlight w:val="none"/>
                      <w:lang w:val="en-US" w:eastAsia="zh-CN"/>
                    </w:rPr>
                  </w:pPr>
                  <w:r>
                    <w:rPr>
                      <w:rFonts w:hint="eastAsia"/>
                      <w:bCs/>
                      <w:color w:val="auto"/>
                      <w:kern w:val="0"/>
                      <w:szCs w:val="21"/>
                      <w:highlight w:val="none"/>
                      <w:lang w:val="en-US" w:eastAsia="zh-CN"/>
                    </w:rPr>
                    <w:t>25kg/袋</w:t>
                  </w:r>
                </w:p>
              </w:tc>
              <w:tc>
                <w:tcPr>
                  <w:tcW w:w="1478" w:type="pct"/>
                  <w:tcBorders>
                    <w:tl2br w:val="nil"/>
                    <w:tr2bl w:val="nil"/>
                  </w:tcBorders>
                  <w:noWrap/>
                  <w:vAlign w:val="center"/>
                </w:tcPr>
                <w:p w14:paraId="023DE1B5">
                  <w:pPr>
                    <w:keepNext w:val="0"/>
                    <w:keepLines w:val="0"/>
                    <w:widowControl/>
                    <w:suppressLineNumbers w:val="0"/>
                    <w:spacing w:before="0" w:beforeAutospacing="0" w:after="0" w:afterAutospacing="0"/>
                    <w:ind w:left="0" w:leftChars="0" w:right="0" w:rightChars="0"/>
                    <w:jc w:val="center"/>
                    <w:textAlignment w:val="center"/>
                    <w:rPr>
                      <w:rFonts w:hint="eastAsia"/>
                      <w:bCs/>
                      <w:color w:val="auto"/>
                      <w:kern w:val="0"/>
                      <w:szCs w:val="21"/>
                      <w:highlight w:val="none"/>
                      <w:lang w:val="en-US" w:eastAsia="zh-CN"/>
                    </w:rPr>
                  </w:pPr>
                  <w:r>
                    <w:rPr>
                      <w:rFonts w:hint="eastAsia"/>
                      <w:bCs/>
                      <w:color w:val="auto"/>
                      <w:szCs w:val="21"/>
                      <w:highlight w:val="none"/>
                      <w:lang w:val="en-US" w:eastAsia="zh-CN"/>
                    </w:rPr>
                    <w:t>0.025</w:t>
                  </w:r>
                </w:p>
              </w:tc>
            </w:tr>
            <w:tr w14:paraId="60AFE95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6F40BAF5">
                  <w:pPr>
                    <w:keepNext w:val="0"/>
                    <w:keepLines w:val="0"/>
                    <w:suppressLineNumbers w:val="0"/>
                    <w:snapToGrid w:val="0"/>
                    <w:spacing w:before="0" w:beforeAutospacing="0" w:after="0" w:afterAutospacing="0"/>
                    <w:ind w:left="0" w:right="0"/>
                    <w:jc w:val="center"/>
                    <w:rPr>
                      <w:rFonts w:hint="default"/>
                      <w:bCs/>
                      <w:color w:val="auto"/>
                      <w:szCs w:val="21"/>
                      <w:highlight w:val="none"/>
                      <w:lang w:val="en-US" w:eastAsia="zh-CN"/>
                    </w:rPr>
                  </w:pPr>
                  <w:r>
                    <w:rPr>
                      <w:rFonts w:hint="eastAsia"/>
                      <w:bCs/>
                      <w:color w:val="auto"/>
                      <w:szCs w:val="21"/>
                      <w:highlight w:val="none"/>
                      <w:lang w:val="en-US" w:eastAsia="zh-CN"/>
                    </w:rPr>
                    <w:t>16</w:t>
                  </w:r>
                </w:p>
              </w:tc>
              <w:tc>
                <w:tcPr>
                  <w:tcW w:w="763" w:type="pct"/>
                  <w:tcBorders>
                    <w:tl2br w:val="nil"/>
                    <w:tr2bl w:val="nil"/>
                  </w:tcBorders>
                  <w:noWrap/>
                  <w:vAlign w:val="center"/>
                </w:tcPr>
                <w:p w14:paraId="1DB5E4C2">
                  <w:pPr>
                    <w:keepNext w:val="0"/>
                    <w:keepLines w:val="0"/>
                    <w:widowControl/>
                    <w:suppressLineNumbers w:val="0"/>
                    <w:spacing w:before="0" w:beforeAutospacing="0" w:after="0" w:afterAutospacing="0"/>
                    <w:ind w:left="0" w:leftChars="0" w:right="0" w:rightChars="0"/>
                    <w:jc w:val="center"/>
                    <w:textAlignment w:val="center"/>
                    <w:rPr>
                      <w:rFonts w:hint="eastAsia"/>
                      <w:bCs/>
                      <w:color w:val="auto"/>
                      <w:szCs w:val="21"/>
                      <w:highlight w:val="none"/>
                      <w:lang w:eastAsia="zh-CN"/>
                    </w:rPr>
                  </w:pPr>
                  <w:r>
                    <w:rPr>
                      <w:rFonts w:hint="eastAsia"/>
                      <w:bCs/>
                      <w:color w:val="auto"/>
                      <w:kern w:val="0"/>
                      <w:szCs w:val="21"/>
                      <w:highlight w:val="none"/>
                      <w:lang w:eastAsia="zh-CN"/>
                    </w:rPr>
                    <w:t>破乳剂</w:t>
                  </w:r>
                </w:p>
              </w:tc>
              <w:tc>
                <w:tcPr>
                  <w:tcW w:w="685" w:type="pct"/>
                  <w:tcBorders>
                    <w:tl2br w:val="nil"/>
                    <w:tr2bl w:val="nil"/>
                  </w:tcBorders>
                  <w:noWrap/>
                  <w:vAlign w:val="center"/>
                </w:tcPr>
                <w:p w14:paraId="0A3A48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kern w:val="0"/>
                      <w:sz w:val="21"/>
                      <w:szCs w:val="21"/>
                      <w:highlight w:val="none"/>
                      <w:lang w:val="en-US" w:eastAsia="zh-CN"/>
                    </w:rPr>
                  </w:pPr>
                  <w:r>
                    <w:rPr>
                      <w:rFonts w:hint="default"/>
                      <w:bCs/>
                      <w:color w:val="auto"/>
                      <w:kern w:val="0"/>
                      <w:szCs w:val="21"/>
                      <w:highlight w:val="none"/>
                    </w:rPr>
                    <w:t>t/a</w:t>
                  </w:r>
                </w:p>
              </w:tc>
              <w:tc>
                <w:tcPr>
                  <w:tcW w:w="641" w:type="pct"/>
                  <w:tcBorders>
                    <w:tl2br w:val="nil"/>
                    <w:tr2bl w:val="nil"/>
                  </w:tcBorders>
                  <w:noWrap/>
                  <w:vAlign w:val="center"/>
                </w:tcPr>
                <w:p w14:paraId="73CF435C">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000000"/>
                      <w:kern w:val="0"/>
                      <w:sz w:val="21"/>
                      <w:szCs w:val="21"/>
                      <w:highlight w:val="none"/>
                      <w:u w:val="none"/>
                      <w:lang w:val="en-US" w:eastAsia="zh-CN" w:bidi="ar"/>
                    </w:rPr>
                  </w:pPr>
                  <w:r>
                    <w:rPr>
                      <w:rFonts w:hint="eastAsia"/>
                      <w:bCs/>
                      <w:color w:val="auto"/>
                      <w:szCs w:val="21"/>
                      <w:highlight w:val="none"/>
                      <w:lang w:val="en-US" w:eastAsia="zh-CN"/>
                    </w:rPr>
                    <w:t>0.4</w:t>
                  </w:r>
                </w:p>
              </w:tc>
              <w:tc>
                <w:tcPr>
                  <w:tcW w:w="795" w:type="pct"/>
                  <w:tcBorders>
                    <w:tl2br w:val="nil"/>
                    <w:tr2bl w:val="nil"/>
                  </w:tcBorders>
                  <w:noWrap/>
                  <w:vAlign w:val="center"/>
                </w:tcPr>
                <w:p w14:paraId="77787500">
                  <w:pPr>
                    <w:keepNext w:val="0"/>
                    <w:keepLines w:val="0"/>
                    <w:widowControl/>
                    <w:suppressLineNumbers w:val="0"/>
                    <w:spacing w:before="0" w:beforeAutospacing="0" w:after="0" w:afterAutospacing="0"/>
                    <w:ind w:left="0" w:leftChars="0" w:right="0" w:rightChars="0"/>
                    <w:jc w:val="center"/>
                    <w:textAlignment w:val="center"/>
                    <w:rPr>
                      <w:rFonts w:hint="eastAsia"/>
                      <w:bCs/>
                      <w:color w:val="auto"/>
                      <w:kern w:val="0"/>
                      <w:szCs w:val="21"/>
                      <w:highlight w:val="none"/>
                      <w:lang w:val="en-US" w:eastAsia="zh-CN"/>
                    </w:rPr>
                  </w:pPr>
                  <w:r>
                    <w:rPr>
                      <w:rFonts w:hint="default"/>
                      <w:bCs/>
                      <w:color w:val="auto"/>
                      <w:kern w:val="0"/>
                      <w:szCs w:val="21"/>
                      <w:highlight w:val="none"/>
                    </w:rPr>
                    <w:t>2</w:t>
                  </w:r>
                  <w:r>
                    <w:rPr>
                      <w:rFonts w:hint="eastAsia"/>
                      <w:bCs/>
                      <w:color w:val="auto"/>
                      <w:kern w:val="0"/>
                      <w:szCs w:val="21"/>
                      <w:highlight w:val="none"/>
                    </w:rPr>
                    <w:t>00</w:t>
                  </w:r>
                  <w:r>
                    <w:rPr>
                      <w:rFonts w:hint="eastAsia"/>
                      <w:bCs/>
                      <w:color w:val="auto"/>
                      <w:kern w:val="0"/>
                      <w:szCs w:val="21"/>
                      <w:highlight w:val="none"/>
                      <w:lang w:eastAsia="zh-CN"/>
                    </w:rPr>
                    <w:t>kg</w:t>
                  </w:r>
                  <w:r>
                    <w:rPr>
                      <w:rFonts w:hint="default"/>
                      <w:bCs/>
                      <w:color w:val="auto"/>
                      <w:kern w:val="0"/>
                      <w:szCs w:val="21"/>
                      <w:highlight w:val="none"/>
                    </w:rPr>
                    <w:t>/桶</w:t>
                  </w:r>
                </w:p>
              </w:tc>
              <w:tc>
                <w:tcPr>
                  <w:tcW w:w="1478" w:type="pct"/>
                  <w:tcBorders>
                    <w:tl2br w:val="nil"/>
                    <w:tr2bl w:val="nil"/>
                  </w:tcBorders>
                  <w:noWrap/>
                  <w:vAlign w:val="center"/>
                </w:tcPr>
                <w:p w14:paraId="6F76795A">
                  <w:pPr>
                    <w:keepNext w:val="0"/>
                    <w:keepLines w:val="0"/>
                    <w:widowControl/>
                    <w:suppressLineNumbers w:val="0"/>
                    <w:spacing w:before="0" w:beforeAutospacing="0" w:after="0" w:afterAutospacing="0"/>
                    <w:ind w:left="0" w:leftChars="0" w:right="0" w:rightChars="0"/>
                    <w:jc w:val="center"/>
                    <w:textAlignment w:val="center"/>
                    <w:rPr>
                      <w:rFonts w:hint="eastAsia"/>
                      <w:bCs/>
                      <w:color w:val="auto"/>
                      <w:kern w:val="0"/>
                      <w:szCs w:val="21"/>
                      <w:highlight w:val="none"/>
                      <w:lang w:val="en-US" w:eastAsia="zh-CN"/>
                    </w:rPr>
                  </w:pPr>
                  <w:r>
                    <w:rPr>
                      <w:rFonts w:hint="eastAsia"/>
                      <w:bCs/>
                      <w:color w:val="auto"/>
                      <w:szCs w:val="21"/>
                      <w:highlight w:val="none"/>
                      <w:lang w:val="en-US" w:eastAsia="zh-CN"/>
                    </w:rPr>
                    <w:t>0.2</w:t>
                  </w:r>
                </w:p>
              </w:tc>
            </w:tr>
            <w:tr w14:paraId="53B398A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vAlign w:val="center"/>
                </w:tcPr>
                <w:p w14:paraId="53BB6BC3">
                  <w:pPr>
                    <w:keepNext w:val="0"/>
                    <w:keepLines w:val="0"/>
                    <w:suppressLineNumbers w:val="0"/>
                    <w:snapToGrid w:val="0"/>
                    <w:spacing w:before="0" w:beforeAutospacing="0" w:after="0" w:afterAutospacing="0"/>
                    <w:ind w:left="0" w:right="0"/>
                    <w:jc w:val="center"/>
                    <w:rPr>
                      <w:rFonts w:hint="default"/>
                      <w:bCs/>
                      <w:color w:val="auto"/>
                      <w:szCs w:val="21"/>
                      <w:highlight w:val="none"/>
                      <w:lang w:val="en-US" w:eastAsia="zh-CN"/>
                    </w:rPr>
                  </w:pPr>
                  <w:r>
                    <w:rPr>
                      <w:rFonts w:hint="eastAsia"/>
                      <w:bCs/>
                      <w:color w:val="auto"/>
                      <w:szCs w:val="21"/>
                      <w:highlight w:val="none"/>
                      <w:lang w:val="en-US" w:eastAsia="zh-CN"/>
                    </w:rPr>
                    <w:t>17</w:t>
                  </w:r>
                </w:p>
              </w:tc>
              <w:tc>
                <w:tcPr>
                  <w:tcW w:w="763" w:type="pct"/>
                  <w:tcBorders>
                    <w:tl2br w:val="nil"/>
                    <w:tr2bl w:val="nil"/>
                  </w:tcBorders>
                  <w:noWrap/>
                  <w:vAlign w:val="center"/>
                </w:tcPr>
                <w:p w14:paraId="0ADBA472">
                  <w:pPr>
                    <w:keepNext w:val="0"/>
                    <w:keepLines w:val="0"/>
                    <w:widowControl/>
                    <w:suppressLineNumbers w:val="0"/>
                    <w:spacing w:before="0" w:beforeAutospacing="0" w:after="0" w:afterAutospacing="0"/>
                    <w:ind w:left="0" w:leftChars="0" w:right="0" w:rightChars="0"/>
                    <w:jc w:val="center"/>
                    <w:textAlignment w:val="center"/>
                    <w:rPr>
                      <w:rFonts w:hint="default"/>
                      <w:bCs/>
                      <w:color w:val="auto"/>
                      <w:kern w:val="0"/>
                      <w:szCs w:val="21"/>
                      <w:highlight w:val="none"/>
                      <w:lang w:val="en-US" w:eastAsia="zh-CN"/>
                    </w:rPr>
                  </w:pPr>
                  <w:r>
                    <w:rPr>
                      <w:rFonts w:hint="eastAsia"/>
                      <w:bCs/>
                      <w:color w:val="auto"/>
                      <w:kern w:val="0"/>
                      <w:szCs w:val="21"/>
                      <w:highlight w:val="none"/>
                      <w:lang w:val="en-US" w:eastAsia="zh-CN"/>
                    </w:rPr>
                    <w:t>制冷剂R404a</w:t>
                  </w:r>
                </w:p>
              </w:tc>
              <w:tc>
                <w:tcPr>
                  <w:tcW w:w="685" w:type="pct"/>
                  <w:tcBorders>
                    <w:tl2br w:val="nil"/>
                    <w:tr2bl w:val="nil"/>
                  </w:tcBorders>
                  <w:noWrap/>
                  <w:vAlign w:val="center"/>
                </w:tcPr>
                <w:p w14:paraId="76156874">
                  <w:pPr>
                    <w:keepNext w:val="0"/>
                    <w:keepLines w:val="0"/>
                    <w:widowControl/>
                    <w:suppressLineNumbers w:val="0"/>
                    <w:spacing w:before="0" w:beforeAutospacing="0" w:after="0" w:afterAutospacing="0"/>
                    <w:ind w:left="0" w:leftChars="0" w:right="0" w:rightChars="0"/>
                    <w:jc w:val="center"/>
                    <w:textAlignment w:val="center"/>
                    <w:rPr>
                      <w:rFonts w:hint="default"/>
                      <w:bCs/>
                      <w:color w:val="auto"/>
                      <w:kern w:val="0"/>
                      <w:szCs w:val="21"/>
                      <w:highlight w:val="none"/>
                    </w:rPr>
                  </w:pPr>
                  <w:r>
                    <w:rPr>
                      <w:rFonts w:hint="default"/>
                      <w:bCs/>
                      <w:color w:val="auto"/>
                      <w:kern w:val="0"/>
                      <w:szCs w:val="21"/>
                      <w:highlight w:val="none"/>
                    </w:rPr>
                    <w:t>t/a</w:t>
                  </w:r>
                </w:p>
              </w:tc>
              <w:tc>
                <w:tcPr>
                  <w:tcW w:w="641" w:type="pct"/>
                  <w:tcBorders>
                    <w:tl2br w:val="nil"/>
                    <w:tr2bl w:val="nil"/>
                  </w:tcBorders>
                  <w:noWrap/>
                  <w:vAlign w:val="center"/>
                </w:tcPr>
                <w:p w14:paraId="15396D74">
                  <w:pPr>
                    <w:keepNext w:val="0"/>
                    <w:keepLines w:val="0"/>
                    <w:widowControl/>
                    <w:suppressLineNumbers w:val="0"/>
                    <w:spacing w:before="0" w:beforeAutospacing="0" w:after="0" w:afterAutospacing="0"/>
                    <w:ind w:left="0" w:leftChars="0" w:right="0" w:rightChars="0"/>
                    <w:jc w:val="center"/>
                    <w:textAlignment w:val="center"/>
                    <w:rPr>
                      <w:rFonts w:hint="default"/>
                      <w:bCs/>
                      <w:color w:val="auto"/>
                      <w:szCs w:val="21"/>
                      <w:highlight w:val="none"/>
                      <w:lang w:val="en-US" w:eastAsia="zh-CN"/>
                    </w:rPr>
                  </w:pPr>
                  <w:r>
                    <w:rPr>
                      <w:rFonts w:hint="eastAsia"/>
                      <w:bCs/>
                      <w:color w:val="auto"/>
                      <w:szCs w:val="21"/>
                      <w:highlight w:val="none"/>
                      <w:lang w:val="en-US" w:eastAsia="zh-CN"/>
                    </w:rPr>
                    <w:t>0.6</w:t>
                  </w:r>
                </w:p>
              </w:tc>
              <w:tc>
                <w:tcPr>
                  <w:tcW w:w="795" w:type="pct"/>
                  <w:tcBorders>
                    <w:tl2br w:val="nil"/>
                    <w:tr2bl w:val="nil"/>
                  </w:tcBorders>
                  <w:noWrap/>
                  <w:vAlign w:val="center"/>
                </w:tcPr>
                <w:p w14:paraId="748C619C">
                  <w:pPr>
                    <w:keepNext w:val="0"/>
                    <w:keepLines w:val="0"/>
                    <w:widowControl/>
                    <w:suppressLineNumbers w:val="0"/>
                    <w:spacing w:before="0" w:beforeAutospacing="0" w:after="0" w:afterAutospacing="0"/>
                    <w:ind w:left="0" w:leftChars="0" w:right="0" w:rightChars="0"/>
                    <w:jc w:val="center"/>
                    <w:textAlignment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w:t>
                  </w:r>
                </w:p>
              </w:tc>
              <w:tc>
                <w:tcPr>
                  <w:tcW w:w="1478" w:type="pct"/>
                  <w:tcBorders>
                    <w:tl2br w:val="nil"/>
                    <w:tr2bl w:val="nil"/>
                  </w:tcBorders>
                  <w:noWrap/>
                  <w:vAlign w:val="center"/>
                </w:tcPr>
                <w:p w14:paraId="5E2467FF">
                  <w:pPr>
                    <w:keepNext w:val="0"/>
                    <w:keepLines w:val="0"/>
                    <w:widowControl/>
                    <w:suppressLineNumbers w:val="0"/>
                    <w:spacing w:before="0" w:beforeAutospacing="0" w:after="0" w:afterAutospacing="0"/>
                    <w:ind w:left="0" w:leftChars="0" w:right="0" w:rightChars="0"/>
                    <w:jc w:val="center"/>
                    <w:textAlignment w:val="center"/>
                    <w:rPr>
                      <w:rFonts w:hint="eastAsia"/>
                      <w:bCs/>
                      <w:color w:val="auto"/>
                      <w:szCs w:val="21"/>
                      <w:highlight w:val="none"/>
                      <w:lang w:val="en-US" w:eastAsia="zh-CN"/>
                    </w:rPr>
                  </w:pPr>
                  <w:r>
                    <w:rPr>
                      <w:rFonts w:hint="eastAsia"/>
                      <w:bCs/>
                      <w:color w:val="auto"/>
                      <w:szCs w:val="21"/>
                      <w:highlight w:val="none"/>
                      <w:lang w:val="en-US" w:eastAsia="zh-CN"/>
                    </w:rPr>
                    <w:t>用于制冷，不在厂区内储存，需添加时由销售厂家运送至厂区并充料，即买即用</w:t>
                  </w:r>
                </w:p>
              </w:tc>
            </w:tr>
            <w:bookmarkEnd w:id="3"/>
            <w:tr w14:paraId="4100765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5000" w:type="pct"/>
                  <w:gridSpan w:val="6"/>
                  <w:tcBorders>
                    <w:tl2br w:val="nil"/>
                    <w:tr2bl w:val="nil"/>
                  </w:tcBorders>
                  <w:noWrap/>
                  <w:vAlign w:val="center"/>
                </w:tcPr>
                <w:p w14:paraId="42661F3E">
                  <w:pPr>
                    <w:keepNext w:val="0"/>
                    <w:keepLines w:val="0"/>
                    <w:widowControl/>
                    <w:suppressLineNumbers w:val="0"/>
                    <w:spacing w:before="0" w:beforeAutospacing="0" w:after="0" w:afterAutospacing="0" w:line="240" w:lineRule="exact"/>
                    <w:ind w:left="0" w:right="0"/>
                    <w:jc w:val="center"/>
                    <w:textAlignment w:val="center"/>
                    <w:rPr>
                      <w:rFonts w:hint="default"/>
                      <w:bCs/>
                      <w:color w:val="auto"/>
                      <w:szCs w:val="21"/>
                      <w:highlight w:val="none"/>
                    </w:rPr>
                  </w:pPr>
                  <w:r>
                    <w:rPr>
                      <w:rFonts w:hint="default"/>
                      <w:b/>
                      <w:bCs w:val="0"/>
                      <w:color w:val="auto"/>
                      <w:szCs w:val="21"/>
                      <w:highlight w:val="none"/>
                    </w:rPr>
                    <w:t>能源消耗</w:t>
                  </w:r>
                </w:p>
              </w:tc>
            </w:tr>
            <w:tr w14:paraId="1E4F432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tcPr>
                <w:p w14:paraId="544BA7ED">
                  <w:pPr>
                    <w:keepNext w:val="0"/>
                    <w:keepLines w:val="0"/>
                    <w:suppressLineNumbers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1</w:t>
                  </w:r>
                </w:p>
              </w:tc>
              <w:tc>
                <w:tcPr>
                  <w:tcW w:w="763" w:type="pct"/>
                  <w:tcBorders>
                    <w:tl2br w:val="nil"/>
                    <w:tr2bl w:val="nil"/>
                  </w:tcBorders>
                  <w:noWrap/>
                  <w:vAlign w:val="center"/>
                </w:tcPr>
                <w:p w14:paraId="53A6DF5D">
                  <w:pPr>
                    <w:keepNext w:val="0"/>
                    <w:keepLines w:val="0"/>
                    <w:widowControl/>
                    <w:suppressLineNumbers w:val="0"/>
                    <w:spacing w:before="0" w:beforeAutospacing="0" w:after="0" w:afterAutospacing="0"/>
                    <w:ind w:left="0" w:right="0"/>
                    <w:jc w:val="center"/>
                    <w:textAlignment w:val="center"/>
                    <w:rPr>
                      <w:rFonts w:hint="default"/>
                      <w:bCs/>
                      <w:color w:val="auto"/>
                      <w:kern w:val="0"/>
                      <w:szCs w:val="21"/>
                      <w:highlight w:val="none"/>
                    </w:rPr>
                  </w:pPr>
                  <w:r>
                    <w:rPr>
                      <w:rFonts w:hint="default"/>
                      <w:bCs/>
                      <w:color w:val="auto"/>
                      <w:kern w:val="0"/>
                      <w:szCs w:val="21"/>
                      <w:highlight w:val="none"/>
                    </w:rPr>
                    <w:t>水</w:t>
                  </w:r>
                </w:p>
              </w:tc>
              <w:tc>
                <w:tcPr>
                  <w:tcW w:w="685" w:type="pct"/>
                  <w:tcBorders>
                    <w:tl2br w:val="nil"/>
                    <w:tr2bl w:val="nil"/>
                  </w:tcBorders>
                  <w:shd w:val="clear" w:color="auto" w:fill="auto"/>
                  <w:noWrap/>
                  <w:vAlign w:val="center"/>
                </w:tcPr>
                <w:p w14:paraId="547333AC">
                  <w:pPr>
                    <w:keepNext w:val="0"/>
                    <w:keepLines w:val="0"/>
                    <w:widowControl/>
                    <w:suppressLineNumbers w:val="0"/>
                    <w:spacing w:before="0" w:beforeAutospacing="0" w:after="0" w:afterAutospacing="0" w:line="240" w:lineRule="exact"/>
                    <w:ind w:left="0" w:right="0"/>
                    <w:jc w:val="center"/>
                    <w:textAlignment w:val="center"/>
                    <w:rPr>
                      <w:rFonts w:hint="default"/>
                      <w:bCs/>
                      <w:color w:val="auto"/>
                      <w:szCs w:val="21"/>
                      <w:highlight w:val="none"/>
                    </w:rPr>
                  </w:pPr>
                  <w:r>
                    <w:rPr>
                      <w:rFonts w:hint="default"/>
                      <w:bCs/>
                      <w:color w:val="auto"/>
                      <w:kern w:val="0"/>
                      <w:szCs w:val="21"/>
                      <w:highlight w:val="none"/>
                    </w:rPr>
                    <w:t>m</w:t>
                  </w:r>
                  <w:r>
                    <w:rPr>
                      <w:rFonts w:hint="default"/>
                      <w:bCs/>
                      <w:color w:val="auto"/>
                      <w:kern w:val="0"/>
                      <w:szCs w:val="21"/>
                      <w:highlight w:val="none"/>
                      <w:vertAlign w:val="superscript"/>
                    </w:rPr>
                    <w:t>3</w:t>
                  </w:r>
                  <w:r>
                    <w:rPr>
                      <w:rFonts w:hint="default"/>
                      <w:bCs/>
                      <w:color w:val="auto"/>
                      <w:kern w:val="0"/>
                      <w:szCs w:val="21"/>
                      <w:highlight w:val="none"/>
                    </w:rPr>
                    <w:t>/a</w:t>
                  </w:r>
                </w:p>
              </w:tc>
              <w:tc>
                <w:tcPr>
                  <w:tcW w:w="641" w:type="pct"/>
                  <w:tcBorders>
                    <w:tl2br w:val="nil"/>
                    <w:tr2bl w:val="nil"/>
                  </w:tcBorders>
                  <w:shd w:val="clear" w:color="auto" w:fill="auto"/>
                  <w:noWrap/>
                  <w:vAlign w:val="center"/>
                </w:tcPr>
                <w:p w14:paraId="1E49CCF7">
                  <w:pPr>
                    <w:keepNext w:val="0"/>
                    <w:keepLines w:val="0"/>
                    <w:widowControl/>
                    <w:suppressLineNumbers w:val="0"/>
                    <w:spacing w:before="0" w:beforeAutospacing="0" w:after="0" w:afterAutospacing="0" w:line="240" w:lineRule="exact"/>
                    <w:ind w:left="0" w:right="0"/>
                    <w:jc w:val="center"/>
                    <w:textAlignment w:val="center"/>
                    <w:rPr>
                      <w:rFonts w:hint="default" w:eastAsia="宋体"/>
                      <w:bCs/>
                      <w:color w:val="auto"/>
                      <w:szCs w:val="21"/>
                      <w:highlight w:val="none"/>
                      <w:lang w:val="en-US" w:eastAsia="zh-CN"/>
                    </w:rPr>
                  </w:pPr>
                  <w:r>
                    <w:rPr>
                      <w:rFonts w:hint="eastAsia"/>
                      <w:bCs/>
                      <w:color w:val="auto"/>
                      <w:szCs w:val="21"/>
                      <w:highlight w:val="none"/>
                      <w:lang w:val="en-US" w:eastAsia="zh-CN"/>
                    </w:rPr>
                    <w:t>17481</w:t>
                  </w:r>
                </w:p>
              </w:tc>
              <w:tc>
                <w:tcPr>
                  <w:tcW w:w="795" w:type="pct"/>
                  <w:tcBorders>
                    <w:tl2br w:val="nil"/>
                    <w:tr2bl w:val="nil"/>
                  </w:tcBorders>
                  <w:shd w:val="clear" w:color="auto" w:fill="auto"/>
                  <w:noWrap/>
                  <w:vAlign w:val="center"/>
                </w:tcPr>
                <w:p w14:paraId="35954CB4">
                  <w:pPr>
                    <w:keepNext w:val="0"/>
                    <w:keepLines w:val="0"/>
                    <w:widowControl/>
                    <w:suppressLineNumbers w:val="0"/>
                    <w:spacing w:before="0" w:beforeAutospacing="0" w:after="0" w:afterAutospacing="0" w:line="240" w:lineRule="exact"/>
                    <w:ind w:left="0" w:right="0"/>
                    <w:jc w:val="center"/>
                    <w:textAlignment w:val="center"/>
                    <w:rPr>
                      <w:rFonts w:hint="eastAsia" w:eastAsia="宋体"/>
                      <w:bCs/>
                      <w:color w:val="auto"/>
                      <w:szCs w:val="21"/>
                      <w:highlight w:val="none"/>
                      <w:lang w:eastAsia="zh-CN"/>
                    </w:rPr>
                  </w:pPr>
                  <w:r>
                    <w:rPr>
                      <w:rFonts w:hint="eastAsia"/>
                      <w:color w:val="auto"/>
                      <w:highlight w:val="none"/>
                      <w:lang w:eastAsia="zh-CN"/>
                    </w:rPr>
                    <w:t>园区供水</w:t>
                  </w:r>
                </w:p>
              </w:tc>
              <w:tc>
                <w:tcPr>
                  <w:tcW w:w="1478" w:type="pct"/>
                  <w:tcBorders>
                    <w:tl2br w:val="nil"/>
                    <w:tr2bl w:val="nil"/>
                  </w:tcBorders>
                  <w:shd w:val="clear" w:color="auto" w:fill="auto"/>
                  <w:noWrap/>
                  <w:vAlign w:val="center"/>
                </w:tcPr>
                <w:p w14:paraId="29DF7655">
                  <w:pPr>
                    <w:keepNext w:val="0"/>
                    <w:keepLines w:val="0"/>
                    <w:widowControl/>
                    <w:suppressLineNumbers w:val="0"/>
                    <w:spacing w:before="0" w:beforeAutospacing="0" w:after="0" w:afterAutospacing="0" w:line="240" w:lineRule="exact"/>
                    <w:ind w:left="0" w:right="0"/>
                    <w:jc w:val="center"/>
                    <w:textAlignment w:val="center"/>
                    <w:rPr>
                      <w:rFonts w:hint="eastAsia" w:eastAsia="宋体"/>
                      <w:bCs/>
                      <w:color w:val="auto"/>
                      <w:szCs w:val="21"/>
                      <w:highlight w:val="none"/>
                      <w:lang w:val="en-US" w:eastAsia="zh-CN"/>
                    </w:rPr>
                  </w:pPr>
                  <w:r>
                    <w:rPr>
                      <w:rFonts w:hint="eastAsia"/>
                      <w:color w:val="auto"/>
                      <w:highlight w:val="none"/>
                      <w:lang w:val="en-US" w:eastAsia="zh-CN"/>
                    </w:rPr>
                    <w:t>/</w:t>
                  </w:r>
                </w:p>
              </w:tc>
            </w:tr>
            <w:tr w14:paraId="35D1324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tcPr>
                <w:p w14:paraId="0037438E">
                  <w:pPr>
                    <w:keepNext w:val="0"/>
                    <w:keepLines w:val="0"/>
                    <w:suppressLineNumbers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2</w:t>
                  </w:r>
                </w:p>
              </w:tc>
              <w:tc>
                <w:tcPr>
                  <w:tcW w:w="763" w:type="pct"/>
                  <w:tcBorders>
                    <w:tl2br w:val="nil"/>
                    <w:tr2bl w:val="nil"/>
                  </w:tcBorders>
                  <w:noWrap/>
                  <w:vAlign w:val="center"/>
                </w:tcPr>
                <w:p w14:paraId="3DE8C610">
                  <w:pPr>
                    <w:keepNext w:val="0"/>
                    <w:keepLines w:val="0"/>
                    <w:widowControl/>
                    <w:suppressLineNumbers w:val="0"/>
                    <w:spacing w:before="0" w:beforeAutospacing="0" w:after="0" w:afterAutospacing="0"/>
                    <w:ind w:left="0" w:right="0"/>
                    <w:jc w:val="center"/>
                    <w:textAlignment w:val="center"/>
                    <w:rPr>
                      <w:rFonts w:hint="default"/>
                      <w:bCs/>
                      <w:color w:val="auto"/>
                      <w:kern w:val="0"/>
                      <w:szCs w:val="21"/>
                      <w:highlight w:val="none"/>
                    </w:rPr>
                  </w:pPr>
                  <w:r>
                    <w:rPr>
                      <w:rFonts w:hint="default"/>
                      <w:bCs/>
                      <w:color w:val="auto"/>
                      <w:kern w:val="0"/>
                      <w:szCs w:val="21"/>
                      <w:highlight w:val="none"/>
                    </w:rPr>
                    <w:t>电</w:t>
                  </w:r>
                </w:p>
              </w:tc>
              <w:tc>
                <w:tcPr>
                  <w:tcW w:w="685" w:type="pct"/>
                  <w:tcBorders>
                    <w:tl2br w:val="nil"/>
                    <w:tr2bl w:val="nil"/>
                  </w:tcBorders>
                  <w:shd w:val="clear" w:color="auto" w:fill="auto"/>
                  <w:noWrap/>
                  <w:vAlign w:val="center"/>
                </w:tcPr>
                <w:p w14:paraId="6F254CFB">
                  <w:pPr>
                    <w:keepNext w:val="0"/>
                    <w:keepLines w:val="0"/>
                    <w:widowControl/>
                    <w:suppressLineNumbers w:val="0"/>
                    <w:spacing w:before="0" w:beforeAutospacing="0" w:after="0" w:afterAutospacing="0" w:line="240" w:lineRule="exact"/>
                    <w:ind w:left="0" w:right="0"/>
                    <w:jc w:val="center"/>
                    <w:textAlignment w:val="center"/>
                    <w:rPr>
                      <w:rFonts w:hint="default"/>
                      <w:bCs/>
                      <w:color w:val="auto"/>
                      <w:szCs w:val="21"/>
                      <w:highlight w:val="none"/>
                    </w:rPr>
                  </w:pPr>
                  <w:r>
                    <w:rPr>
                      <w:rFonts w:hint="default"/>
                      <w:bCs/>
                      <w:color w:val="auto"/>
                      <w:szCs w:val="21"/>
                      <w:highlight w:val="none"/>
                    </w:rPr>
                    <w:t>万kwh</w:t>
                  </w:r>
                </w:p>
              </w:tc>
              <w:tc>
                <w:tcPr>
                  <w:tcW w:w="641" w:type="pct"/>
                  <w:tcBorders>
                    <w:tl2br w:val="nil"/>
                    <w:tr2bl w:val="nil"/>
                  </w:tcBorders>
                  <w:shd w:val="clear" w:color="auto" w:fill="auto"/>
                  <w:noWrap/>
                  <w:vAlign w:val="center"/>
                </w:tcPr>
                <w:p w14:paraId="2BF433BF">
                  <w:pPr>
                    <w:keepNext w:val="0"/>
                    <w:keepLines w:val="0"/>
                    <w:widowControl/>
                    <w:suppressLineNumbers w:val="0"/>
                    <w:spacing w:before="0" w:beforeAutospacing="0" w:after="0" w:afterAutospacing="0" w:line="240" w:lineRule="exact"/>
                    <w:ind w:left="0" w:right="0"/>
                    <w:jc w:val="center"/>
                    <w:textAlignment w:val="center"/>
                    <w:rPr>
                      <w:rFonts w:hint="default"/>
                      <w:bCs/>
                      <w:color w:val="auto"/>
                      <w:szCs w:val="21"/>
                      <w:highlight w:val="none"/>
                    </w:rPr>
                  </w:pPr>
                  <w:r>
                    <w:rPr>
                      <w:rFonts w:hint="eastAsia"/>
                      <w:bCs/>
                      <w:color w:val="auto"/>
                      <w:szCs w:val="21"/>
                      <w:highlight w:val="none"/>
                      <w:lang w:val="en-US" w:eastAsia="zh-CN"/>
                    </w:rPr>
                    <w:t>1</w:t>
                  </w:r>
                  <w:r>
                    <w:rPr>
                      <w:rFonts w:hint="default"/>
                      <w:bCs/>
                      <w:color w:val="auto"/>
                      <w:szCs w:val="21"/>
                      <w:highlight w:val="none"/>
                    </w:rPr>
                    <w:t>00</w:t>
                  </w:r>
                </w:p>
              </w:tc>
              <w:tc>
                <w:tcPr>
                  <w:tcW w:w="795" w:type="pct"/>
                  <w:tcBorders>
                    <w:tl2br w:val="nil"/>
                    <w:tr2bl w:val="nil"/>
                  </w:tcBorders>
                  <w:shd w:val="clear" w:color="auto" w:fill="auto"/>
                  <w:noWrap/>
                  <w:vAlign w:val="center"/>
                </w:tcPr>
                <w:p w14:paraId="0250C876">
                  <w:pPr>
                    <w:keepNext w:val="0"/>
                    <w:keepLines w:val="0"/>
                    <w:widowControl/>
                    <w:suppressLineNumbers w:val="0"/>
                    <w:spacing w:before="0" w:beforeAutospacing="0" w:after="0" w:afterAutospacing="0" w:line="240" w:lineRule="exact"/>
                    <w:ind w:left="0" w:right="0"/>
                    <w:jc w:val="center"/>
                    <w:textAlignment w:val="center"/>
                    <w:rPr>
                      <w:rFonts w:hint="eastAsia" w:eastAsia="宋体"/>
                      <w:bCs/>
                      <w:color w:val="auto"/>
                      <w:szCs w:val="21"/>
                      <w:highlight w:val="none"/>
                      <w:lang w:eastAsia="zh-CN"/>
                    </w:rPr>
                  </w:pPr>
                  <w:r>
                    <w:rPr>
                      <w:rFonts w:hint="eastAsia"/>
                      <w:color w:val="auto"/>
                      <w:highlight w:val="none"/>
                      <w:lang w:eastAsia="zh-CN"/>
                    </w:rPr>
                    <w:t>园区供电</w:t>
                  </w:r>
                </w:p>
              </w:tc>
              <w:tc>
                <w:tcPr>
                  <w:tcW w:w="1478" w:type="pct"/>
                  <w:tcBorders>
                    <w:tl2br w:val="nil"/>
                    <w:tr2bl w:val="nil"/>
                  </w:tcBorders>
                  <w:shd w:val="clear" w:color="auto" w:fill="auto"/>
                  <w:noWrap/>
                  <w:vAlign w:val="center"/>
                </w:tcPr>
                <w:p w14:paraId="5B144F6D">
                  <w:pPr>
                    <w:keepNext w:val="0"/>
                    <w:keepLines w:val="0"/>
                    <w:widowControl/>
                    <w:suppressLineNumbers w:val="0"/>
                    <w:spacing w:before="0" w:beforeAutospacing="0" w:after="0" w:afterAutospacing="0" w:line="240" w:lineRule="exact"/>
                    <w:ind w:left="0" w:right="0"/>
                    <w:jc w:val="center"/>
                    <w:textAlignment w:val="center"/>
                    <w:rPr>
                      <w:rFonts w:hint="eastAsia" w:eastAsia="宋体"/>
                      <w:bCs/>
                      <w:color w:val="auto"/>
                      <w:szCs w:val="21"/>
                      <w:highlight w:val="none"/>
                      <w:lang w:val="en-US" w:eastAsia="zh-CN"/>
                    </w:rPr>
                  </w:pPr>
                  <w:r>
                    <w:rPr>
                      <w:rFonts w:hint="eastAsia"/>
                      <w:color w:val="auto"/>
                      <w:highlight w:val="none"/>
                      <w:lang w:val="en-US" w:eastAsia="zh-CN"/>
                    </w:rPr>
                    <w:t>/</w:t>
                  </w:r>
                </w:p>
              </w:tc>
            </w:tr>
            <w:tr w14:paraId="4B94F64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635" w:type="pct"/>
                  <w:tcBorders>
                    <w:tl2br w:val="nil"/>
                    <w:tr2bl w:val="nil"/>
                  </w:tcBorders>
                  <w:noWrap/>
                </w:tcPr>
                <w:p w14:paraId="5D3FD416">
                  <w:pPr>
                    <w:keepNext w:val="0"/>
                    <w:keepLines w:val="0"/>
                    <w:suppressLineNumbers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3</w:t>
                  </w:r>
                </w:p>
              </w:tc>
              <w:tc>
                <w:tcPr>
                  <w:tcW w:w="763" w:type="pct"/>
                  <w:tcBorders>
                    <w:tl2br w:val="nil"/>
                    <w:tr2bl w:val="nil"/>
                  </w:tcBorders>
                  <w:noWrap/>
                  <w:vAlign w:val="center"/>
                </w:tcPr>
                <w:p w14:paraId="0644F250">
                  <w:pPr>
                    <w:keepNext w:val="0"/>
                    <w:keepLines w:val="0"/>
                    <w:widowControl/>
                    <w:suppressLineNumbers w:val="0"/>
                    <w:spacing w:before="0" w:beforeAutospacing="0" w:after="0" w:afterAutospacing="0"/>
                    <w:ind w:left="0" w:right="0"/>
                    <w:jc w:val="center"/>
                    <w:textAlignment w:val="center"/>
                    <w:rPr>
                      <w:rFonts w:hint="default"/>
                      <w:bCs/>
                      <w:color w:val="auto"/>
                      <w:kern w:val="0"/>
                      <w:szCs w:val="21"/>
                      <w:highlight w:val="none"/>
                    </w:rPr>
                  </w:pPr>
                  <w:r>
                    <w:rPr>
                      <w:rFonts w:hint="default"/>
                      <w:bCs/>
                      <w:color w:val="auto"/>
                      <w:kern w:val="0"/>
                      <w:szCs w:val="21"/>
                      <w:highlight w:val="none"/>
                    </w:rPr>
                    <w:t>天然气</w:t>
                  </w:r>
                </w:p>
              </w:tc>
              <w:tc>
                <w:tcPr>
                  <w:tcW w:w="685" w:type="pct"/>
                  <w:tcBorders>
                    <w:tl2br w:val="nil"/>
                    <w:tr2bl w:val="nil"/>
                  </w:tcBorders>
                  <w:shd w:val="clear" w:color="auto" w:fill="auto"/>
                  <w:noWrap/>
                  <w:vAlign w:val="center"/>
                </w:tcPr>
                <w:p w14:paraId="0B7BE214">
                  <w:pPr>
                    <w:keepNext w:val="0"/>
                    <w:keepLines w:val="0"/>
                    <w:widowControl/>
                    <w:suppressLineNumbers w:val="0"/>
                    <w:spacing w:before="0" w:beforeAutospacing="0" w:after="0" w:afterAutospacing="0" w:line="240" w:lineRule="exact"/>
                    <w:ind w:left="0" w:right="0"/>
                    <w:jc w:val="center"/>
                    <w:textAlignment w:val="center"/>
                    <w:rPr>
                      <w:rFonts w:hint="default"/>
                      <w:bCs/>
                      <w:color w:val="auto"/>
                      <w:szCs w:val="21"/>
                      <w:highlight w:val="none"/>
                    </w:rPr>
                  </w:pPr>
                  <w:r>
                    <w:rPr>
                      <w:rFonts w:hint="default"/>
                      <w:bCs/>
                      <w:color w:val="auto"/>
                      <w:szCs w:val="21"/>
                      <w:highlight w:val="none"/>
                    </w:rPr>
                    <w:t>万</w:t>
                  </w:r>
                  <w:r>
                    <w:rPr>
                      <w:rFonts w:hint="default"/>
                      <w:bCs/>
                      <w:color w:val="auto"/>
                      <w:kern w:val="0"/>
                      <w:szCs w:val="21"/>
                      <w:highlight w:val="none"/>
                    </w:rPr>
                    <w:t>m</w:t>
                  </w:r>
                  <w:r>
                    <w:rPr>
                      <w:rFonts w:hint="default"/>
                      <w:bCs/>
                      <w:color w:val="auto"/>
                      <w:kern w:val="0"/>
                      <w:szCs w:val="21"/>
                      <w:highlight w:val="none"/>
                      <w:vertAlign w:val="superscript"/>
                    </w:rPr>
                    <w:t>3</w:t>
                  </w:r>
                  <w:r>
                    <w:rPr>
                      <w:rFonts w:hint="default"/>
                      <w:bCs/>
                      <w:color w:val="auto"/>
                      <w:kern w:val="0"/>
                      <w:szCs w:val="21"/>
                      <w:highlight w:val="none"/>
                    </w:rPr>
                    <w:t>/a</w:t>
                  </w:r>
                </w:p>
              </w:tc>
              <w:tc>
                <w:tcPr>
                  <w:tcW w:w="641" w:type="pct"/>
                  <w:tcBorders>
                    <w:tl2br w:val="nil"/>
                    <w:tr2bl w:val="nil"/>
                  </w:tcBorders>
                  <w:shd w:val="clear" w:color="auto" w:fill="auto"/>
                  <w:noWrap/>
                  <w:vAlign w:val="center"/>
                </w:tcPr>
                <w:p w14:paraId="79BEE91A">
                  <w:pPr>
                    <w:keepNext w:val="0"/>
                    <w:keepLines w:val="0"/>
                    <w:widowControl/>
                    <w:suppressLineNumbers w:val="0"/>
                    <w:spacing w:before="0" w:beforeAutospacing="0" w:after="0" w:afterAutospacing="0" w:line="240" w:lineRule="exact"/>
                    <w:ind w:left="0" w:right="0"/>
                    <w:jc w:val="center"/>
                    <w:textAlignment w:val="center"/>
                    <w:rPr>
                      <w:rFonts w:hint="default" w:eastAsia="宋体"/>
                      <w:bCs/>
                      <w:color w:val="auto"/>
                      <w:szCs w:val="21"/>
                      <w:highlight w:val="none"/>
                      <w:lang w:val="en-US" w:eastAsia="zh-CN"/>
                    </w:rPr>
                  </w:pPr>
                  <w:r>
                    <w:rPr>
                      <w:rFonts w:hint="eastAsia"/>
                      <w:bCs/>
                      <w:color w:val="auto"/>
                      <w:kern w:val="0"/>
                      <w:szCs w:val="21"/>
                      <w:highlight w:val="none"/>
                      <w:lang w:val="en-US" w:eastAsia="zh-CN"/>
                    </w:rPr>
                    <w:t>25.4</w:t>
                  </w:r>
                </w:p>
              </w:tc>
              <w:tc>
                <w:tcPr>
                  <w:tcW w:w="795" w:type="pct"/>
                  <w:tcBorders>
                    <w:tl2br w:val="nil"/>
                    <w:tr2bl w:val="nil"/>
                  </w:tcBorders>
                  <w:shd w:val="clear" w:color="auto" w:fill="auto"/>
                  <w:noWrap/>
                  <w:vAlign w:val="center"/>
                </w:tcPr>
                <w:p w14:paraId="0CCBDC63">
                  <w:pPr>
                    <w:keepNext w:val="0"/>
                    <w:keepLines w:val="0"/>
                    <w:widowControl/>
                    <w:suppressLineNumbers w:val="0"/>
                    <w:spacing w:before="0" w:beforeAutospacing="0" w:after="0" w:afterAutospacing="0" w:line="240" w:lineRule="exact"/>
                    <w:ind w:left="0" w:right="0"/>
                    <w:jc w:val="center"/>
                    <w:textAlignment w:val="center"/>
                    <w:rPr>
                      <w:rFonts w:hint="eastAsia" w:eastAsia="宋体"/>
                      <w:bCs/>
                      <w:color w:val="auto"/>
                      <w:szCs w:val="21"/>
                      <w:highlight w:val="none"/>
                      <w:lang w:eastAsia="zh-CN"/>
                    </w:rPr>
                  </w:pPr>
                  <w:r>
                    <w:rPr>
                      <w:rFonts w:hint="eastAsia"/>
                      <w:color w:val="auto"/>
                      <w:highlight w:val="none"/>
                      <w:lang w:eastAsia="zh-CN"/>
                    </w:rPr>
                    <w:t>园区管网供给</w:t>
                  </w:r>
                </w:p>
              </w:tc>
              <w:tc>
                <w:tcPr>
                  <w:tcW w:w="1478" w:type="pct"/>
                  <w:tcBorders>
                    <w:tl2br w:val="nil"/>
                    <w:tr2bl w:val="nil"/>
                  </w:tcBorders>
                  <w:shd w:val="clear" w:color="auto" w:fill="auto"/>
                  <w:noWrap/>
                  <w:vAlign w:val="center"/>
                </w:tcPr>
                <w:p w14:paraId="4E070259">
                  <w:pPr>
                    <w:keepNext w:val="0"/>
                    <w:keepLines w:val="0"/>
                    <w:widowControl/>
                    <w:suppressLineNumbers w:val="0"/>
                    <w:spacing w:before="0" w:beforeAutospacing="0" w:after="0" w:afterAutospacing="0" w:line="240" w:lineRule="exact"/>
                    <w:ind w:left="0" w:right="0"/>
                    <w:jc w:val="center"/>
                    <w:textAlignment w:val="center"/>
                    <w:rPr>
                      <w:rFonts w:hint="default" w:eastAsia="宋体"/>
                      <w:bCs/>
                      <w:color w:val="auto"/>
                      <w:szCs w:val="21"/>
                      <w:highlight w:val="none"/>
                      <w:lang w:val="en-US" w:eastAsia="zh-CN"/>
                    </w:rPr>
                  </w:pPr>
                  <w:r>
                    <w:rPr>
                      <w:rFonts w:hint="eastAsia"/>
                      <w:color w:val="auto"/>
                      <w:highlight w:val="none"/>
                      <w:lang w:val="en-US" w:eastAsia="zh-CN"/>
                    </w:rPr>
                    <w:t>0.01</w:t>
                  </w:r>
                </w:p>
              </w:tc>
            </w:tr>
          </w:tbl>
          <w:p w14:paraId="434C25B5">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制冷剂R404a</w:t>
            </w:r>
            <w:r>
              <w:rPr>
                <w:rFonts w:hint="eastAsia" w:cs="Times New Roman"/>
                <w:b/>
                <w:bCs/>
                <w:color w:val="auto"/>
                <w:sz w:val="24"/>
                <w:szCs w:val="24"/>
                <w:highlight w:val="none"/>
                <w:lang w:val="en-US" w:eastAsia="zh-CN"/>
              </w:rPr>
              <w:t>：</w:t>
            </w:r>
            <w:r>
              <w:rPr>
                <w:rFonts w:hint="eastAsia" w:cs="Times New Roman"/>
                <w:b w:val="0"/>
                <w:bCs w:val="0"/>
                <w:color w:val="auto"/>
                <w:sz w:val="24"/>
                <w:szCs w:val="24"/>
                <w:highlight w:val="none"/>
                <w:lang w:val="en-US" w:eastAsia="zh-CN"/>
              </w:rPr>
              <w:t>由HFC125、HFC-134a和HFC-143混合而成，比例为R404A=44%R125+4%R134A+52%143A。在常温常压下为无色气体，贮存在钢瓶内是被压缩的液化气体，R-404A适用于中低温的新型商用制冷设备、交通运输制冷设备或更新设备。由于R404a属于HFC型非共沸环保制冷剂（完全不含破坏臭氧层的CFC、HCFC），得到世界绝大多数国家的认可并推荐的主流低温环保制冷剂，广泛用于新冷冻设备上的初装和维修过程中的再添加。符合美国环保组织EPA、SNAP和UL的标准，符合美国采暖、制冷空调工程师协会（ASHRAE）的A1安全等级类别。经查《中国受控消耗臭氧层物质清单》，制冷剂R404a不在清单内。</w:t>
            </w:r>
          </w:p>
          <w:p w14:paraId="5677EA0C">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7、公用工程</w:t>
            </w:r>
          </w:p>
          <w:p w14:paraId="081A8E70">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7.1</w:t>
            </w:r>
            <w:r>
              <w:rPr>
                <w:rFonts w:hint="default" w:ascii="Times New Roman" w:hAnsi="Times New Roman" w:eastAsia="宋体" w:cs="Times New Roman"/>
                <w:b/>
                <w:bCs/>
                <w:color w:val="auto"/>
                <w:sz w:val="24"/>
                <w:szCs w:val="24"/>
                <w:highlight w:val="none"/>
                <w:lang w:val="en-US" w:eastAsia="zh-CN"/>
              </w:rPr>
              <w:t>给排水</w:t>
            </w:r>
          </w:p>
          <w:p w14:paraId="7B332150">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480" w:firstLineChars="200"/>
              <w:textAlignment w:val="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给水水源为园区供水厂（南水北调水源），用水主要为职工生活用水和生产用水，生产用水</w:t>
            </w:r>
            <w:r>
              <w:rPr>
                <w:rFonts w:hint="default" w:ascii="Times New Roman" w:hAnsi="Times New Roman" w:cs="Times New Roman"/>
                <w:color w:val="auto"/>
                <w:sz w:val="24"/>
                <w:szCs w:val="24"/>
                <w:highlight w:val="none"/>
              </w:rPr>
              <w:t>主要为</w:t>
            </w:r>
            <w:r>
              <w:rPr>
                <w:rFonts w:hint="eastAsia" w:cs="Times New Roman"/>
                <w:color w:val="auto"/>
                <w:sz w:val="24"/>
                <w:szCs w:val="24"/>
                <w:highlight w:val="none"/>
                <w:lang w:eastAsia="zh-CN"/>
              </w:rPr>
              <w:t>蒸汽发生器软化用水、蒸汽发生器补水、浸泡清洗用水、卤制用水、设备清洗水、地面清洗水、检验用水以及杀菌用水</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eastAsia="zh-CN"/>
              </w:rPr>
              <w:t>项目</w:t>
            </w:r>
            <w:r>
              <w:rPr>
                <w:rFonts w:hint="default" w:ascii="Times New Roman" w:hAnsi="Times New Roman" w:cs="Times New Roman"/>
                <w:color w:val="auto"/>
                <w:sz w:val="24"/>
                <w:szCs w:val="24"/>
                <w:highlight w:val="none"/>
              </w:rPr>
              <w:t>总用水量为</w:t>
            </w:r>
            <w:r>
              <w:rPr>
                <w:rFonts w:hint="eastAsia" w:cs="Times New Roman"/>
                <w:color w:val="auto"/>
                <w:sz w:val="24"/>
                <w:szCs w:val="24"/>
                <w:highlight w:val="none"/>
                <w:lang w:val="en-US" w:eastAsia="zh-CN"/>
              </w:rPr>
              <w:t>486.03</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/d，其中新鲜水总用量为</w:t>
            </w:r>
            <w:r>
              <w:rPr>
                <w:rFonts w:hint="eastAsia" w:cs="Times New Roman"/>
                <w:color w:val="auto"/>
                <w:sz w:val="24"/>
                <w:szCs w:val="24"/>
                <w:highlight w:val="none"/>
                <w:lang w:val="en-US" w:eastAsia="zh-CN"/>
              </w:rPr>
              <w:t>58.27</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w:t>
            </w:r>
          </w:p>
          <w:p w14:paraId="144A1034">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给水</w:t>
            </w:r>
          </w:p>
          <w:p w14:paraId="682253ED">
            <w:pPr>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eastAsia" w:ascii="Times New Roman" w:hAnsi="Times New Roman" w:cs="Times New Roman"/>
                <w:color w:val="auto"/>
                <w:sz w:val="24"/>
                <w:highlight w:val="none"/>
                <w:lang w:eastAsia="zh-CN"/>
              </w:rPr>
            </w:pPr>
            <w:r>
              <w:rPr>
                <w:rFonts w:hint="eastAsia" w:cs="Times New Roman"/>
                <w:bCs/>
                <w:color w:val="auto"/>
                <w:sz w:val="24"/>
                <w:szCs w:val="24"/>
                <w:highlight w:val="none"/>
                <w:lang w:val="en-US" w:eastAsia="zh-CN"/>
              </w:rPr>
              <w:t>①</w:t>
            </w:r>
            <w:r>
              <w:rPr>
                <w:rFonts w:hint="default" w:ascii="Times New Roman" w:hAnsi="Times New Roman" w:eastAsia="宋体" w:cs="Times New Roman"/>
                <w:bCs/>
                <w:color w:val="auto"/>
                <w:sz w:val="24"/>
                <w:szCs w:val="24"/>
                <w:highlight w:val="none"/>
                <w:lang w:val="en-US" w:eastAsia="zh-CN"/>
              </w:rPr>
              <w:t>生活用水：</w:t>
            </w:r>
            <w:r>
              <w:rPr>
                <w:rFonts w:hint="default" w:ascii="Times New Roman" w:hAnsi="Times New Roman" w:eastAsia="宋体" w:cs="Times New Roman"/>
                <w:color w:val="auto"/>
                <w:sz w:val="24"/>
                <w:szCs w:val="24"/>
                <w:highlight w:val="none"/>
              </w:rPr>
              <w:t>劳动定员</w:t>
            </w:r>
            <w:r>
              <w:rPr>
                <w:rFonts w:hint="eastAsia"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lang w:val="en-US" w:eastAsia="zh-CN"/>
              </w:rPr>
              <w:t>人</w:t>
            </w:r>
            <w:r>
              <w:rPr>
                <w:rFonts w:hint="default" w:ascii="Times New Roman" w:hAnsi="Times New Roman" w:eastAsia="宋体" w:cs="Times New Roman"/>
                <w:color w:val="auto"/>
                <w:sz w:val="24"/>
                <w:szCs w:val="24"/>
                <w:highlight w:val="none"/>
              </w:rPr>
              <w:t>，</w:t>
            </w:r>
            <w:r>
              <w:rPr>
                <w:rFonts w:hint="default"/>
                <w:color w:val="auto"/>
                <w:sz w:val="24"/>
                <w:highlight w:val="none"/>
              </w:rPr>
              <w:t>根据《河北省用水定额—生活与服务业用水定额</w:t>
            </w:r>
            <w:r>
              <w:rPr>
                <w:rFonts w:hint="eastAsia"/>
                <w:color w:val="auto"/>
                <w:sz w:val="24"/>
                <w:highlight w:val="none"/>
              </w:rPr>
              <w:t xml:space="preserve"> 第</w:t>
            </w:r>
            <w:r>
              <w:rPr>
                <w:rFonts w:hint="eastAsia"/>
                <w:color w:val="auto"/>
                <w:sz w:val="24"/>
                <w:highlight w:val="none"/>
                <w:lang w:val="en-US" w:eastAsia="zh-CN"/>
              </w:rPr>
              <w:t>2</w:t>
            </w:r>
            <w:r>
              <w:rPr>
                <w:rFonts w:hint="eastAsia"/>
                <w:color w:val="auto"/>
                <w:sz w:val="24"/>
                <w:highlight w:val="none"/>
              </w:rPr>
              <w:t>部分：</w:t>
            </w:r>
            <w:r>
              <w:rPr>
                <w:rFonts w:hint="eastAsia"/>
                <w:color w:val="auto"/>
                <w:sz w:val="24"/>
                <w:highlight w:val="none"/>
                <w:lang w:eastAsia="zh-CN"/>
              </w:rPr>
              <w:t>服务业</w:t>
            </w:r>
            <w:r>
              <w:rPr>
                <w:rFonts w:hint="default"/>
                <w:color w:val="auto"/>
                <w:sz w:val="24"/>
                <w:highlight w:val="none"/>
              </w:rPr>
              <w:t>》（</w:t>
            </w:r>
            <w:r>
              <w:rPr>
                <w:rFonts w:hint="eastAsia"/>
                <w:color w:val="auto"/>
                <w:sz w:val="24"/>
                <w:highlight w:val="none"/>
              </w:rPr>
              <w:t>DB13/T5450.</w:t>
            </w:r>
            <w:r>
              <w:rPr>
                <w:rFonts w:hint="eastAsia"/>
                <w:color w:val="auto"/>
                <w:sz w:val="24"/>
                <w:highlight w:val="none"/>
                <w:lang w:val="en-US" w:eastAsia="zh-CN"/>
              </w:rPr>
              <w:t>2</w:t>
            </w:r>
            <w:r>
              <w:rPr>
                <w:rFonts w:hint="eastAsia"/>
                <w:color w:val="auto"/>
                <w:sz w:val="24"/>
                <w:highlight w:val="none"/>
              </w:rPr>
              <w:t>-2021</w:t>
            </w:r>
            <w:r>
              <w:rPr>
                <w:rFonts w:hint="default"/>
                <w:color w:val="auto"/>
                <w:sz w:val="24"/>
                <w:highlight w:val="none"/>
              </w:rPr>
              <w:t>）</w:t>
            </w:r>
            <w:r>
              <w:rPr>
                <w:rFonts w:hint="eastAsia"/>
                <w:color w:val="auto"/>
                <w:sz w:val="24"/>
                <w:highlight w:val="none"/>
                <w:lang w:eastAsia="zh-CN"/>
              </w:rPr>
              <w:t>，</w:t>
            </w:r>
            <w:r>
              <w:rPr>
                <w:rFonts w:hint="default" w:ascii="Times New Roman" w:hAnsi="Times New Roman" w:cs="Times New Roman"/>
                <w:color w:val="auto"/>
                <w:kern w:val="0"/>
                <w:sz w:val="24"/>
                <w:szCs w:val="24"/>
                <w:highlight w:val="none"/>
              </w:rPr>
              <w:t>生活用水</w:t>
            </w:r>
            <w:r>
              <w:rPr>
                <w:rFonts w:hint="eastAsia" w:ascii="Times New Roman" w:hAnsi="Times New Roman" w:cs="Times New Roman"/>
                <w:color w:val="auto"/>
                <w:kern w:val="0"/>
                <w:sz w:val="24"/>
                <w:szCs w:val="24"/>
                <w:highlight w:val="none"/>
                <w:lang w:eastAsia="zh-CN"/>
              </w:rPr>
              <w:t>参照机关单位</w:t>
            </w:r>
            <w:r>
              <w:rPr>
                <w:rFonts w:hint="eastAsia" w:ascii="Times New Roman" w:hAnsi="Times New Roman" w:cs="Times New Roman"/>
                <w:color w:val="auto"/>
                <w:kern w:val="0"/>
                <w:sz w:val="24"/>
                <w:szCs w:val="24"/>
                <w:highlight w:val="none"/>
                <w:lang w:val="en-US" w:eastAsia="zh-CN"/>
              </w:rPr>
              <w:t>12m</w:t>
            </w:r>
            <w:r>
              <w:rPr>
                <w:rFonts w:hint="eastAsia"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rPr>
              <w:t>/人·</w:t>
            </w:r>
            <w:r>
              <w:rPr>
                <w:rFonts w:hint="eastAsia" w:ascii="Times New Roman" w:hAnsi="Times New Roman" w:cs="Times New Roman"/>
                <w:color w:val="auto"/>
                <w:kern w:val="0"/>
                <w:sz w:val="24"/>
                <w:szCs w:val="24"/>
                <w:highlight w:val="none"/>
                <w:lang w:val="en-US" w:eastAsia="zh-CN"/>
              </w:rPr>
              <w:t>a</w:t>
            </w:r>
            <w:r>
              <w:rPr>
                <w:rFonts w:hint="default" w:ascii="Times New Roman" w:hAnsi="Times New Roman" w:cs="Times New Roman"/>
                <w:color w:val="auto"/>
                <w:kern w:val="0"/>
                <w:sz w:val="24"/>
                <w:szCs w:val="24"/>
                <w:highlight w:val="none"/>
              </w:rPr>
              <w:t>计算，生活用水量为</w:t>
            </w:r>
            <w:r>
              <w:rPr>
                <w:rFonts w:hint="eastAsia" w:cs="Times New Roman"/>
                <w:color w:val="auto"/>
                <w:kern w:val="0"/>
                <w:sz w:val="24"/>
                <w:szCs w:val="24"/>
                <w:highlight w:val="none"/>
                <w:lang w:val="en-US" w:eastAsia="zh-CN"/>
              </w:rPr>
              <w:t>360</w:t>
            </w:r>
            <w:r>
              <w:rPr>
                <w:rFonts w:hint="default" w:ascii="Times New Roman" w:hAnsi="Times New Roman" w:cs="Times New Roman"/>
                <w:color w:val="auto"/>
                <w:kern w:val="0"/>
                <w:sz w:val="24"/>
                <w:szCs w:val="24"/>
                <w:highlight w:val="none"/>
              </w:rPr>
              <w:t>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a，平均</w:t>
            </w:r>
            <w:r>
              <w:rPr>
                <w:rFonts w:hint="eastAsia" w:cs="Times New Roman"/>
                <w:color w:val="auto"/>
                <w:kern w:val="0"/>
                <w:sz w:val="24"/>
                <w:szCs w:val="24"/>
                <w:highlight w:val="none"/>
                <w:lang w:val="en-US" w:eastAsia="zh-CN"/>
              </w:rPr>
              <w:t>1.2</w:t>
            </w:r>
            <w:r>
              <w:rPr>
                <w:rFonts w:hint="default" w:ascii="Times New Roman" w:hAnsi="Times New Roman" w:cs="Times New Roman"/>
                <w:color w:val="auto"/>
                <w:sz w:val="24"/>
                <w:highlight w:val="none"/>
                <w:lang w:eastAsia="zh-CN"/>
              </w:rPr>
              <w:t>m</w:t>
            </w:r>
            <w:r>
              <w:rPr>
                <w:rFonts w:hint="default" w:ascii="Times New Roman" w:hAnsi="Times New Roman" w:cs="Times New Roman"/>
                <w:color w:val="auto"/>
                <w:sz w:val="24"/>
                <w:highlight w:val="none"/>
                <w:vertAlign w:val="superscript"/>
                <w:lang w:eastAsia="zh-CN"/>
              </w:rPr>
              <w:t>3</w:t>
            </w:r>
            <w:r>
              <w:rPr>
                <w:rFonts w:hint="default" w:ascii="Times New Roman" w:hAnsi="Times New Roman" w:cs="Times New Roman"/>
                <w:color w:val="auto"/>
                <w:sz w:val="24"/>
                <w:highlight w:val="none"/>
                <w:lang w:eastAsia="zh-CN"/>
              </w:rPr>
              <w:t>/d</w:t>
            </w:r>
            <w:r>
              <w:rPr>
                <w:rFonts w:hint="eastAsia" w:ascii="Times New Roman" w:hAnsi="Times New Roman" w:cs="Times New Roman"/>
                <w:color w:val="auto"/>
                <w:sz w:val="24"/>
                <w:highlight w:val="none"/>
                <w:lang w:eastAsia="zh-CN"/>
              </w:rPr>
              <w:t>。</w:t>
            </w:r>
          </w:p>
          <w:p w14:paraId="2E995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auto"/>
                <w:sz w:val="24"/>
                <w:highlight w:val="none"/>
                <w:lang w:eastAsia="zh-CN"/>
              </w:rPr>
            </w:pPr>
            <w:r>
              <w:rPr>
                <w:rFonts w:hint="eastAsia" w:cs="Times New Roman"/>
                <w:color w:val="auto"/>
                <w:sz w:val="24"/>
                <w:highlight w:val="none"/>
                <w:lang w:eastAsia="zh-CN"/>
              </w:rPr>
              <w:t>②</w:t>
            </w:r>
            <w:r>
              <w:rPr>
                <w:rFonts w:hint="eastAsia" w:ascii="Times New Roman" w:hAnsi="Times New Roman" w:cs="Times New Roman"/>
                <w:color w:val="auto"/>
                <w:sz w:val="24"/>
                <w:highlight w:val="none"/>
                <w:lang w:eastAsia="zh-CN"/>
              </w:rPr>
              <w:t>软水制备系统</w:t>
            </w:r>
            <w:r>
              <w:rPr>
                <w:rFonts w:hint="default" w:ascii="Times New Roman" w:hAnsi="Times New Roman" w:cs="Times New Roman"/>
                <w:color w:val="auto"/>
                <w:sz w:val="24"/>
                <w:szCs w:val="24"/>
                <w:highlight w:val="none"/>
                <w:lang w:eastAsia="zh-CN"/>
              </w:rPr>
              <w:t>用水</w:t>
            </w:r>
            <w:r>
              <w:rPr>
                <w:rFonts w:hint="eastAsia" w:ascii="Times New Roman" w:hAnsi="Times New Roman" w:cs="Times New Roman"/>
                <w:color w:val="auto"/>
                <w:sz w:val="24"/>
                <w:szCs w:val="24"/>
                <w:highlight w:val="none"/>
                <w:lang w:eastAsia="zh-CN"/>
              </w:rPr>
              <w:t>及</w:t>
            </w:r>
            <w:r>
              <w:rPr>
                <w:rFonts w:hint="eastAsia" w:cs="Times New Roman"/>
                <w:color w:val="auto"/>
                <w:sz w:val="24"/>
                <w:szCs w:val="24"/>
                <w:highlight w:val="none"/>
                <w:lang w:eastAsia="zh-CN"/>
              </w:rPr>
              <w:t>蒸汽发生器</w:t>
            </w:r>
            <w:r>
              <w:rPr>
                <w:rFonts w:hint="eastAsia" w:ascii="Times New Roman" w:hAnsi="Times New Roman" w:cs="Times New Roman"/>
                <w:color w:val="auto"/>
                <w:sz w:val="24"/>
                <w:szCs w:val="24"/>
                <w:highlight w:val="none"/>
                <w:lang w:eastAsia="zh-CN"/>
              </w:rPr>
              <w:t>用水</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
              </w:rPr>
              <w:t>根据建设单位提供资料，</w:t>
            </w:r>
            <w:r>
              <w:rPr>
                <w:rFonts w:hint="eastAsia" w:ascii="Times New Roman" w:hAnsi="Times New Roman" w:eastAsia="宋体" w:cs="Times New Roman"/>
                <w:color w:val="auto"/>
                <w:kern w:val="0"/>
                <w:sz w:val="24"/>
                <w:szCs w:val="24"/>
                <w:highlight w:val="none"/>
                <w:lang w:val="en-US" w:eastAsia="zh-CN" w:bidi="ar"/>
              </w:rPr>
              <w:t>项目</w:t>
            </w:r>
            <w:r>
              <w:rPr>
                <w:rFonts w:hint="eastAsia" w:cs="Times New Roman"/>
                <w:color w:val="auto"/>
                <w:sz w:val="24"/>
                <w:szCs w:val="24"/>
                <w:highlight w:val="none"/>
                <w:lang w:eastAsia="zh-CN"/>
              </w:rPr>
              <w:t>蒸汽发生器</w:t>
            </w:r>
            <w:r>
              <w:rPr>
                <w:rFonts w:hint="eastAsia" w:ascii="Times New Roman" w:hAnsi="Times New Roman" w:eastAsia="宋体" w:cs="Times New Roman"/>
                <w:color w:val="auto"/>
                <w:kern w:val="0"/>
                <w:sz w:val="24"/>
                <w:szCs w:val="24"/>
                <w:highlight w:val="none"/>
                <w:lang w:val="en-US" w:eastAsia="zh-CN" w:bidi="ar"/>
              </w:rPr>
              <w:t>用软水由软水制备系统提供。本项目</w:t>
            </w:r>
            <w:r>
              <w:rPr>
                <w:rFonts w:hint="eastAsia" w:cs="Times New Roman"/>
                <w:color w:val="auto"/>
                <w:sz w:val="24"/>
                <w:szCs w:val="24"/>
                <w:highlight w:val="none"/>
                <w:lang w:eastAsia="zh-CN"/>
              </w:rPr>
              <w:t>蒸汽发生器</w:t>
            </w:r>
            <w:r>
              <w:rPr>
                <w:rFonts w:hint="eastAsia" w:eastAsia="宋体" w:cs="Times New Roman"/>
                <w:color w:val="auto"/>
                <w:sz w:val="24"/>
                <w:szCs w:val="24"/>
                <w:highlight w:val="none"/>
                <w:lang w:eastAsia="zh-CN"/>
              </w:rPr>
              <w:t>软水用量为</w:t>
            </w:r>
            <w:r>
              <w:rPr>
                <w:rFonts w:hint="eastAsia"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d</w:t>
            </w:r>
            <w:r>
              <w:rPr>
                <w:rFonts w:hint="eastAsia" w:eastAsia="宋体" w:cs="Times New Roman"/>
                <w:color w:val="auto"/>
                <w:sz w:val="24"/>
                <w:szCs w:val="24"/>
                <w:highlight w:val="none"/>
                <w:lang w:eastAsia="zh-CN"/>
              </w:rPr>
              <w:t>，重复用水量为</w:t>
            </w:r>
            <w:r>
              <w:rPr>
                <w:rFonts w:hint="eastAsia" w:cs="Times New Roman"/>
                <w:color w:val="auto"/>
                <w:sz w:val="24"/>
                <w:szCs w:val="24"/>
                <w:highlight w:val="none"/>
                <w:lang w:val="en-US" w:eastAsia="zh-CN"/>
              </w:rPr>
              <w:t>11.4</w:t>
            </w:r>
            <w:r>
              <w:rPr>
                <w:rFonts w:hint="default" w:ascii="Times New Roman" w:hAnsi="Times New Roman" w:eastAsia="Times New Roman"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Times New Roman" w:cs="Times New Roman"/>
                <w:color w:val="auto"/>
                <w:sz w:val="24"/>
                <w:szCs w:val="24"/>
                <w:highlight w:val="none"/>
              </w:rPr>
              <w:t>/d</w:t>
            </w:r>
            <w:r>
              <w:rPr>
                <w:rFonts w:hint="eastAsia" w:ascii="Times New Roman" w:hAnsi="Times New Roman" w:cs="Times New Roman"/>
                <w:color w:val="auto"/>
                <w:sz w:val="24"/>
                <w:highlight w:val="none"/>
                <w:lang w:eastAsia="zh-CN"/>
              </w:rPr>
              <w:t>，</w:t>
            </w:r>
            <w:r>
              <w:rPr>
                <w:rFonts w:hint="eastAsia" w:eastAsia="宋体" w:cs="Times New Roman"/>
                <w:color w:val="auto"/>
                <w:sz w:val="24"/>
                <w:szCs w:val="24"/>
                <w:highlight w:val="none"/>
                <w:lang w:eastAsia="zh-CN"/>
              </w:rPr>
              <w:t>补水量为</w:t>
            </w:r>
            <w:r>
              <w:rPr>
                <w:rFonts w:hint="eastAsia" w:cs="Times New Roman"/>
                <w:color w:val="auto"/>
                <w:sz w:val="24"/>
                <w:szCs w:val="24"/>
                <w:highlight w:val="none"/>
                <w:lang w:val="en-US" w:eastAsia="zh-CN"/>
              </w:rPr>
              <w:t>0.6</w:t>
            </w:r>
            <w:r>
              <w:rPr>
                <w:rFonts w:hint="default" w:ascii="Times New Roman" w:hAnsi="Times New Roman" w:eastAsia="Times New Roman"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Times New Roman" w:cs="Times New Roman"/>
                <w:color w:val="auto"/>
                <w:sz w:val="24"/>
                <w:szCs w:val="24"/>
                <w:highlight w:val="none"/>
              </w:rPr>
              <w:t>/d</w:t>
            </w:r>
            <w:r>
              <w:rPr>
                <w:rFonts w:hint="eastAsia" w:eastAsia="宋体" w:cs="Times New Roman"/>
                <w:color w:val="auto"/>
                <w:sz w:val="24"/>
                <w:szCs w:val="24"/>
                <w:highlight w:val="none"/>
                <w:lang w:eastAsia="zh-CN"/>
              </w:rPr>
              <w:t>。</w:t>
            </w:r>
            <w:r>
              <w:rPr>
                <w:rFonts w:hint="eastAsia" w:cs="Times New Roman"/>
                <w:color w:val="auto"/>
                <w:sz w:val="24"/>
                <w:szCs w:val="24"/>
                <w:highlight w:val="none"/>
                <w:lang w:eastAsia="zh-CN"/>
              </w:rPr>
              <w:t>软水制备系统制备效率约</w:t>
            </w:r>
            <w:r>
              <w:rPr>
                <w:rFonts w:hint="eastAsia" w:cs="Times New Roman"/>
                <w:color w:val="auto"/>
                <w:sz w:val="24"/>
                <w:szCs w:val="24"/>
                <w:highlight w:val="none"/>
                <w:lang w:val="en-US" w:eastAsia="zh-CN"/>
              </w:rPr>
              <w:t>90%，</w:t>
            </w:r>
            <w:r>
              <w:rPr>
                <w:rFonts w:hint="eastAsia" w:ascii="Times New Roman" w:hAnsi="Times New Roman" w:eastAsia="宋体" w:cs="Times New Roman"/>
                <w:color w:val="auto"/>
                <w:kern w:val="0"/>
                <w:sz w:val="24"/>
                <w:szCs w:val="24"/>
                <w:highlight w:val="none"/>
                <w:lang w:val="en-US" w:eastAsia="zh-CN" w:bidi="ar"/>
              </w:rPr>
              <w:t>则软水制备系统新鲜水用量为</w:t>
            </w:r>
            <w:r>
              <w:rPr>
                <w:rFonts w:hint="eastAsia" w:cs="Times New Roman"/>
                <w:color w:val="auto"/>
                <w:kern w:val="0"/>
                <w:sz w:val="24"/>
                <w:szCs w:val="24"/>
                <w:highlight w:val="none"/>
                <w:lang w:val="en-US" w:eastAsia="zh-CN" w:bidi="ar"/>
              </w:rPr>
              <w:t>0.67</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w:t>
            </w:r>
          </w:p>
          <w:p w14:paraId="4F6AA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color w:val="000000"/>
                <w:sz w:val="24"/>
                <w:szCs w:val="32"/>
                <w:highlight w:val="none"/>
              </w:rPr>
            </w:pPr>
            <w:r>
              <w:rPr>
                <w:rFonts w:hint="eastAsia"/>
                <w:color w:val="000000"/>
                <w:sz w:val="24"/>
                <w:szCs w:val="32"/>
                <w:highlight w:val="none"/>
                <w:lang w:eastAsia="zh-CN"/>
              </w:rPr>
              <w:t>③浸泡清洗</w:t>
            </w:r>
            <w:r>
              <w:rPr>
                <w:rFonts w:hint="eastAsia"/>
                <w:color w:val="000000"/>
                <w:sz w:val="24"/>
                <w:szCs w:val="32"/>
                <w:highlight w:val="none"/>
              </w:rPr>
              <w:t>用水</w:t>
            </w:r>
          </w:p>
          <w:p w14:paraId="7F3D8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auto"/>
                <w:sz w:val="24"/>
                <w:highlight w:val="none"/>
              </w:rPr>
            </w:pPr>
            <w:r>
              <w:rPr>
                <w:rFonts w:hint="eastAsia"/>
                <w:color w:val="000000"/>
                <w:sz w:val="24"/>
                <w:szCs w:val="32"/>
                <w:highlight w:val="none"/>
                <w:lang w:eastAsia="zh-CN"/>
              </w:rPr>
              <w:t>即食面筋</w:t>
            </w:r>
            <w:r>
              <w:rPr>
                <w:rFonts w:hint="eastAsia"/>
                <w:color w:val="000000"/>
                <w:sz w:val="24"/>
                <w:szCs w:val="32"/>
                <w:highlight w:val="none"/>
              </w:rPr>
              <w:t>需</w:t>
            </w:r>
            <w:r>
              <w:rPr>
                <w:rFonts w:hint="default"/>
                <w:color w:val="000000"/>
                <w:sz w:val="24"/>
                <w:szCs w:val="32"/>
                <w:highlight w:val="none"/>
              </w:rPr>
              <w:t>要进行</w:t>
            </w:r>
            <w:r>
              <w:rPr>
                <w:rFonts w:hint="eastAsia"/>
                <w:color w:val="000000"/>
                <w:sz w:val="24"/>
                <w:szCs w:val="32"/>
                <w:highlight w:val="none"/>
                <w:lang w:eastAsia="zh-CN"/>
              </w:rPr>
              <w:t>浸泡清洗</w:t>
            </w:r>
            <w:r>
              <w:rPr>
                <w:rFonts w:hint="default"/>
                <w:color w:val="000000"/>
                <w:sz w:val="24"/>
                <w:szCs w:val="32"/>
                <w:highlight w:val="none"/>
              </w:rPr>
              <w:t>处理，</w:t>
            </w:r>
            <w:r>
              <w:rPr>
                <w:rFonts w:hint="eastAsia"/>
                <w:color w:val="000000"/>
                <w:sz w:val="24"/>
                <w:szCs w:val="32"/>
                <w:highlight w:val="none"/>
              </w:rPr>
              <w:t>根据企业</w:t>
            </w:r>
            <w:r>
              <w:rPr>
                <w:rFonts w:hint="default"/>
                <w:color w:val="000000"/>
                <w:sz w:val="24"/>
                <w:szCs w:val="32"/>
                <w:highlight w:val="none"/>
              </w:rPr>
              <w:t>提供资料可知，</w:t>
            </w:r>
            <w:r>
              <w:rPr>
                <w:rFonts w:hint="eastAsia"/>
                <w:color w:val="000000"/>
                <w:sz w:val="24"/>
                <w:szCs w:val="32"/>
                <w:highlight w:val="none"/>
                <w:lang w:eastAsia="zh-CN"/>
              </w:rPr>
              <w:t>浸泡清洗</w:t>
            </w:r>
            <w:r>
              <w:rPr>
                <w:rFonts w:hint="default"/>
                <w:color w:val="000000"/>
                <w:sz w:val="24"/>
                <w:szCs w:val="32"/>
                <w:highlight w:val="none"/>
              </w:rPr>
              <w:t>用水量为</w:t>
            </w:r>
            <w:r>
              <w:rPr>
                <w:rFonts w:hint="eastAsia"/>
                <w:color w:val="000000"/>
                <w:sz w:val="24"/>
                <w:szCs w:val="32"/>
                <w:highlight w:val="none"/>
                <w:lang w:val="en-US" w:eastAsia="zh-CN"/>
              </w:rPr>
              <w:t>3</w:t>
            </w:r>
            <w:r>
              <w:rPr>
                <w:rFonts w:hint="default"/>
                <w:color w:val="000000"/>
                <w:sz w:val="24"/>
                <w:szCs w:val="32"/>
                <w:highlight w:val="none"/>
              </w:rPr>
              <w:t>m</w:t>
            </w:r>
            <w:r>
              <w:rPr>
                <w:rFonts w:hint="default"/>
                <w:color w:val="000000"/>
                <w:sz w:val="24"/>
                <w:szCs w:val="32"/>
                <w:highlight w:val="none"/>
                <w:vertAlign w:val="superscript"/>
              </w:rPr>
              <w:t>3</w:t>
            </w:r>
            <w:r>
              <w:rPr>
                <w:rFonts w:hint="default"/>
                <w:color w:val="000000"/>
                <w:sz w:val="24"/>
                <w:szCs w:val="32"/>
                <w:highlight w:val="none"/>
              </w:rPr>
              <w:t>/t</w:t>
            </w:r>
            <w:r>
              <w:rPr>
                <w:rFonts w:hint="eastAsia"/>
                <w:color w:val="000000"/>
                <w:sz w:val="24"/>
                <w:szCs w:val="32"/>
                <w:highlight w:val="none"/>
                <w:lang w:eastAsia="zh-CN"/>
              </w:rPr>
              <w:t>产品</w:t>
            </w:r>
            <w:r>
              <w:rPr>
                <w:rFonts w:hint="default"/>
                <w:color w:val="000000"/>
                <w:sz w:val="24"/>
                <w:szCs w:val="32"/>
                <w:highlight w:val="none"/>
              </w:rPr>
              <w:t>，项目</w:t>
            </w:r>
            <w:r>
              <w:rPr>
                <w:rFonts w:hint="eastAsia"/>
                <w:color w:val="000000"/>
                <w:sz w:val="24"/>
                <w:szCs w:val="32"/>
                <w:highlight w:val="none"/>
                <w:lang w:eastAsia="zh-CN"/>
              </w:rPr>
              <w:t>即食面筋产量约</w:t>
            </w:r>
            <w:r>
              <w:rPr>
                <w:rFonts w:hint="eastAsia"/>
                <w:color w:val="000000"/>
                <w:sz w:val="24"/>
                <w:szCs w:val="32"/>
                <w:highlight w:val="none"/>
                <w:lang w:val="en-US" w:eastAsia="zh-CN"/>
              </w:rPr>
              <w:t>2000</w:t>
            </w:r>
            <w:r>
              <w:rPr>
                <w:rFonts w:hint="eastAsia"/>
                <w:color w:val="000000"/>
                <w:sz w:val="24"/>
                <w:szCs w:val="32"/>
                <w:highlight w:val="none"/>
              </w:rPr>
              <w:t>t/a</w:t>
            </w:r>
            <w:r>
              <w:rPr>
                <w:rFonts w:hint="default"/>
                <w:color w:val="000000"/>
                <w:sz w:val="24"/>
                <w:szCs w:val="32"/>
                <w:highlight w:val="none"/>
              </w:rPr>
              <w:t>，则</w:t>
            </w:r>
            <w:r>
              <w:rPr>
                <w:rFonts w:hint="eastAsia"/>
                <w:color w:val="000000"/>
                <w:sz w:val="24"/>
                <w:szCs w:val="32"/>
                <w:highlight w:val="none"/>
                <w:lang w:eastAsia="zh-CN"/>
              </w:rPr>
              <w:t>浸泡清洗</w:t>
            </w:r>
            <w:r>
              <w:rPr>
                <w:rFonts w:hint="default"/>
                <w:color w:val="000000"/>
                <w:sz w:val="24"/>
                <w:szCs w:val="32"/>
                <w:highlight w:val="none"/>
              </w:rPr>
              <w:t>用水量为</w:t>
            </w:r>
            <w:r>
              <w:rPr>
                <w:rFonts w:hint="eastAsia"/>
                <w:color w:val="000000"/>
                <w:sz w:val="24"/>
                <w:szCs w:val="32"/>
                <w:highlight w:val="none"/>
                <w:lang w:val="en-US" w:eastAsia="zh-CN"/>
              </w:rPr>
              <w:t>6000</w:t>
            </w:r>
            <w:r>
              <w:rPr>
                <w:rFonts w:hint="default"/>
                <w:color w:val="000000"/>
                <w:sz w:val="24"/>
                <w:szCs w:val="32"/>
                <w:highlight w:val="none"/>
              </w:rPr>
              <w:t>m</w:t>
            </w:r>
            <w:r>
              <w:rPr>
                <w:rFonts w:hint="default"/>
                <w:color w:val="000000"/>
                <w:sz w:val="24"/>
                <w:szCs w:val="32"/>
                <w:highlight w:val="none"/>
                <w:vertAlign w:val="superscript"/>
              </w:rPr>
              <w:t>3</w:t>
            </w:r>
            <w:r>
              <w:rPr>
                <w:rFonts w:hint="default"/>
                <w:color w:val="000000"/>
                <w:sz w:val="24"/>
                <w:szCs w:val="32"/>
                <w:highlight w:val="none"/>
              </w:rPr>
              <w:t>/a</w:t>
            </w:r>
            <w:r>
              <w:rPr>
                <w:rFonts w:hint="eastAsia"/>
                <w:color w:val="000000"/>
                <w:sz w:val="24"/>
                <w:szCs w:val="32"/>
                <w:highlight w:val="none"/>
                <w:lang w:eastAsia="zh-CN"/>
              </w:rPr>
              <w:t>（</w:t>
            </w:r>
            <w:r>
              <w:rPr>
                <w:rFonts w:hint="eastAsia"/>
                <w:color w:val="000000"/>
                <w:sz w:val="24"/>
                <w:szCs w:val="32"/>
                <w:highlight w:val="none"/>
                <w:lang w:val="en-US" w:eastAsia="zh-CN"/>
              </w:rPr>
              <w:t>20m</w:t>
            </w:r>
            <w:r>
              <w:rPr>
                <w:rFonts w:hint="eastAsia"/>
                <w:color w:val="000000"/>
                <w:sz w:val="24"/>
                <w:szCs w:val="32"/>
                <w:highlight w:val="none"/>
                <w:vertAlign w:val="superscript"/>
                <w:lang w:val="en-US" w:eastAsia="zh-CN"/>
              </w:rPr>
              <w:t>3</w:t>
            </w:r>
            <w:r>
              <w:rPr>
                <w:rFonts w:hint="eastAsia"/>
                <w:color w:val="000000"/>
                <w:sz w:val="24"/>
                <w:szCs w:val="32"/>
                <w:highlight w:val="none"/>
                <w:lang w:val="en-US" w:eastAsia="zh-CN"/>
              </w:rPr>
              <w:t>/d</w:t>
            </w:r>
            <w:r>
              <w:rPr>
                <w:rFonts w:hint="eastAsia"/>
                <w:color w:val="000000"/>
                <w:sz w:val="24"/>
                <w:szCs w:val="32"/>
                <w:highlight w:val="none"/>
                <w:lang w:eastAsia="zh-CN"/>
              </w:rPr>
              <w:t>）</w:t>
            </w:r>
            <w:r>
              <w:rPr>
                <w:rFonts w:hint="eastAsia"/>
                <w:color w:val="auto"/>
                <w:sz w:val="24"/>
                <w:highlight w:val="none"/>
              </w:rPr>
              <w:t>。</w:t>
            </w:r>
          </w:p>
          <w:p w14:paraId="72C3C885">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32"/>
                <w:highlight w:val="none"/>
                <w14:textFill>
                  <w14:solidFill>
                    <w14:schemeClr w14:val="tx1"/>
                  </w14:solidFill>
                </w14:textFill>
              </w:rPr>
            </w:pPr>
            <w:r>
              <w:rPr>
                <w:rFonts w:hint="eastAsia" w:cs="Times New Roman"/>
                <w:b w:val="0"/>
                <w:bCs w:val="0"/>
                <w:color w:val="000000" w:themeColor="text1"/>
                <w:sz w:val="24"/>
                <w:szCs w:val="24"/>
                <w:highlight w:val="none"/>
                <w:lang w:val="en-US" w:eastAsia="zh-CN"/>
                <w14:textFill>
                  <w14:solidFill>
                    <w14:schemeClr w14:val="tx1"/>
                  </w14:solidFill>
                </w14:textFill>
              </w:rPr>
              <w:t>④</w:t>
            </w:r>
            <w:r>
              <w:rPr>
                <w:rFonts w:hint="eastAsia"/>
                <w:color w:val="000000" w:themeColor="text1"/>
                <w:sz w:val="24"/>
                <w:szCs w:val="32"/>
                <w:highlight w:val="none"/>
                <w14:textFill>
                  <w14:solidFill>
                    <w14:schemeClr w14:val="tx1"/>
                  </w14:solidFill>
                </w14:textFill>
              </w:rPr>
              <w:t>卤制用水</w:t>
            </w:r>
          </w:p>
          <w:p w14:paraId="0FED4A25">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color w:val="000000" w:themeColor="text1"/>
                <w:sz w:val="24"/>
                <w:szCs w:val="32"/>
                <w:highlight w:val="none"/>
                <w14:textFill>
                  <w14:solidFill>
                    <w14:schemeClr w14:val="tx1"/>
                  </w14:solidFill>
                </w14:textFill>
              </w:rPr>
              <w:t>项目</w:t>
            </w:r>
            <w:r>
              <w:rPr>
                <w:rFonts w:hint="eastAsia" w:ascii="Times New Roman" w:hAnsi="Times New Roman" w:eastAsia="宋体" w:cs="Times New Roman"/>
                <w:color w:val="000000" w:themeColor="text1"/>
                <w:sz w:val="24"/>
                <w:szCs w:val="32"/>
                <w:highlight w:val="none"/>
                <w14:textFill>
                  <w14:solidFill>
                    <w14:schemeClr w14:val="tx1"/>
                  </w14:solidFill>
                </w14:textFill>
              </w:rPr>
              <w:t>共设置</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highlight w:val="none"/>
                <w14:textFill>
                  <w14:solidFill>
                    <w14:schemeClr w14:val="tx1"/>
                  </w14:solidFill>
                </w14:textFill>
              </w:rPr>
              <w:t>台</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卤制锅</w:t>
            </w:r>
            <w:r>
              <w:rPr>
                <w:rFonts w:hint="eastAsia" w:ascii="Times New Roman" w:hAnsi="Times New Roman" w:eastAsia="宋体" w:cs="Times New Roman"/>
                <w:color w:val="000000" w:themeColor="text1"/>
                <w:sz w:val="24"/>
                <w:szCs w:val="32"/>
                <w:highlight w:val="none"/>
                <w14:textFill>
                  <w14:solidFill>
                    <w14:schemeClr w14:val="tx1"/>
                  </w14:solidFill>
                </w14:textFill>
              </w:rPr>
              <w:t>进</w:t>
            </w:r>
            <w:r>
              <w:rPr>
                <w:rFonts w:hint="eastAsia"/>
                <w:color w:val="000000" w:themeColor="text1"/>
                <w:sz w:val="24"/>
                <w:szCs w:val="32"/>
                <w:highlight w:val="none"/>
                <w14:textFill>
                  <w14:solidFill>
                    <w14:schemeClr w14:val="tx1"/>
                  </w14:solidFill>
                </w14:textFill>
              </w:rPr>
              <w:t>行卤制，单个锅体容积为</w:t>
            </w:r>
            <w:r>
              <w:rPr>
                <w:rFonts w:hint="eastAsia"/>
                <w:color w:val="000000" w:themeColor="text1"/>
                <w:sz w:val="24"/>
                <w:szCs w:val="32"/>
                <w:highlight w:val="none"/>
                <w:lang w:val="en-US" w:eastAsia="zh-CN"/>
                <w14:textFill>
                  <w14:solidFill>
                    <w14:schemeClr w14:val="tx1"/>
                  </w14:solidFill>
                </w14:textFill>
              </w:rPr>
              <w:t>3</w:t>
            </w:r>
            <w:r>
              <w:rPr>
                <w:rFonts w:hint="eastAsia"/>
                <w:color w:val="000000" w:themeColor="text1"/>
                <w:sz w:val="24"/>
                <w:szCs w:val="32"/>
                <w:highlight w:val="none"/>
                <w14:textFill>
                  <w14:solidFill>
                    <w14:schemeClr w14:val="tx1"/>
                  </w14:solidFill>
                </w14:textFill>
              </w:rPr>
              <w:t>m</w:t>
            </w:r>
            <w:r>
              <w:rPr>
                <w:rFonts w:hint="eastAsia"/>
                <w:color w:val="000000" w:themeColor="text1"/>
                <w:sz w:val="24"/>
                <w:szCs w:val="32"/>
                <w:highlight w:val="none"/>
                <w:vertAlign w:val="superscript"/>
                <w14:textFill>
                  <w14:solidFill>
                    <w14:schemeClr w14:val="tx1"/>
                  </w14:solidFill>
                </w14:textFill>
              </w:rPr>
              <w:t>3</w:t>
            </w:r>
            <w:r>
              <w:rPr>
                <w:rFonts w:hint="eastAsia"/>
                <w:color w:val="000000" w:themeColor="text1"/>
                <w:sz w:val="24"/>
                <w:szCs w:val="32"/>
                <w:highlight w:val="none"/>
                <w14:textFill>
                  <w14:solidFill>
                    <w14:schemeClr w14:val="tx1"/>
                  </w14:solidFill>
                </w14:textFill>
              </w:rPr>
              <w:t>，有效容积系数为0.8，项目每天更换1次卤制水，则卤制用水量为</w:t>
            </w:r>
            <w:r>
              <w:rPr>
                <w:rFonts w:hint="eastAsia"/>
                <w:color w:val="000000" w:themeColor="text1"/>
                <w:sz w:val="24"/>
                <w:szCs w:val="32"/>
                <w:highlight w:val="none"/>
                <w:lang w:val="en-US" w:eastAsia="zh-CN"/>
                <w14:textFill>
                  <w14:solidFill>
                    <w14:schemeClr w14:val="tx1"/>
                  </w14:solidFill>
                </w14:textFill>
              </w:rPr>
              <w:t>4.8</w:t>
            </w:r>
            <w:r>
              <w:rPr>
                <w:rFonts w:hint="eastAsia"/>
                <w:color w:val="000000" w:themeColor="text1"/>
                <w:sz w:val="24"/>
                <w:szCs w:val="32"/>
                <w:highlight w:val="none"/>
                <w14:textFill>
                  <w14:solidFill>
                    <w14:schemeClr w14:val="tx1"/>
                  </w14:solidFill>
                </w14:textFill>
              </w:rPr>
              <w:t>m</w:t>
            </w:r>
            <w:r>
              <w:rPr>
                <w:rFonts w:hint="eastAsia"/>
                <w:color w:val="000000" w:themeColor="text1"/>
                <w:sz w:val="24"/>
                <w:szCs w:val="32"/>
                <w:highlight w:val="none"/>
                <w:vertAlign w:val="superscript"/>
                <w14:textFill>
                  <w14:solidFill>
                    <w14:schemeClr w14:val="tx1"/>
                  </w14:solidFill>
                </w14:textFill>
              </w:rPr>
              <w:t>3</w:t>
            </w:r>
            <w:r>
              <w:rPr>
                <w:rFonts w:hint="eastAsia"/>
                <w:color w:val="000000" w:themeColor="text1"/>
                <w:sz w:val="24"/>
                <w:szCs w:val="32"/>
                <w:highlight w:val="none"/>
                <w14:textFill>
                  <w14:solidFill>
                    <w14:schemeClr w14:val="tx1"/>
                  </w14:solidFill>
                </w14:textFill>
              </w:rPr>
              <w:t>/d</w:t>
            </w:r>
            <w:r>
              <w:rPr>
                <w:rFonts w:hint="eastAsia"/>
                <w:color w:val="000000" w:themeColor="text1"/>
                <w:sz w:val="24"/>
                <w:szCs w:val="32"/>
                <w:highlight w:val="none"/>
                <w:lang w:eastAsia="zh-CN"/>
                <w14:textFill>
                  <w14:solidFill>
                    <w14:schemeClr w14:val="tx1"/>
                  </w14:solidFill>
                </w14:textFill>
              </w:rPr>
              <w:t>。</w:t>
            </w:r>
          </w:p>
          <w:p w14:paraId="0ED428EB">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32"/>
                <w:highlight w:val="none"/>
                <w14:textFill>
                  <w14:solidFill>
                    <w14:schemeClr w14:val="tx1"/>
                  </w14:solidFill>
                </w14:textFill>
              </w:rPr>
            </w:pPr>
            <w:r>
              <w:rPr>
                <w:rFonts w:hint="eastAsia" w:cs="Times New Roman"/>
                <w:b w:val="0"/>
                <w:bCs w:val="0"/>
                <w:color w:val="000000" w:themeColor="text1"/>
                <w:sz w:val="24"/>
                <w:szCs w:val="24"/>
                <w:highlight w:val="none"/>
                <w:lang w:val="en-US" w:eastAsia="zh-CN"/>
                <w14:textFill>
                  <w14:solidFill>
                    <w14:schemeClr w14:val="tx1"/>
                  </w14:solidFill>
                </w14:textFill>
              </w:rPr>
              <w:t>⑤</w:t>
            </w:r>
            <w:r>
              <w:rPr>
                <w:rFonts w:hint="eastAsia"/>
                <w:color w:val="000000" w:themeColor="text1"/>
                <w:sz w:val="24"/>
                <w:szCs w:val="32"/>
                <w:highlight w:val="none"/>
                <w14:textFill>
                  <w14:solidFill>
                    <w14:schemeClr w14:val="tx1"/>
                  </w14:solidFill>
                </w14:textFill>
              </w:rPr>
              <w:t>检验用水</w:t>
            </w:r>
          </w:p>
          <w:p w14:paraId="1309B803">
            <w:pPr>
              <w:keepNext w:val="0"/>
              <w:keepLines w:val="0"/>
              <w:suppressLineNumbers w:val="0"/>
              <w:spacing w:before="0" w:beforeAutospacing="0" w:after="0" w:afterAutospacing="0" w:line="360" w:lineRule="auto"/>
              <w:ind w:left="0" w:right="0" w:firstLine="480" w:firstLineChars="200"/>
              <w:rPr>
                <w:rFonts w:hint="eastAsia"/>
                <w:color w:val="auto"/>
                <w:sz w:val="24"/>
                <w:szCs w:val="32"/>
                <w:highlight w:val="none"/>
              </w:rPr>
            </w:pPr>
            <w:r>
              <w:rPr>
                <w:rFonts w:hint="eastAsia"/>
                <w:color w:val="000000" w:themeColor="text1"/>
                <w:sz w:val="24"/>
                <w:szCs w:val="32"/>
                <w:highlight w:val="none"/>
                <w14:textFill>
                  <w14:solidFill>
                    <w14:schemeClr w14:val="tx1"/>
                  </w14:solidFill>
                </w14:textFill>
              </w:rPr>
              <w:t>项目成品高温杀菌后，需使用水检验包装袋气密性，检验水循环使用，每5天更换一次，循环过程中不再补充水。共设置2个检验水槽，单个水槽盛水量1m</w:t>
            </w:r>
            <w:r>
              <w:rPr>
                <w:rFonts w:hint="eastAsia"/>
                <w:color w:val="000000" w:themeColor="text1"/>
                <w:sz w:val="24"/>
                <w:szCs w:val="32"/>
                <w:highlight w:val="none"/>
                <w:vertAlign w:val="superscript"/>
                <w14:textFill>
                  <w14:solidFill>
                    <w14:schemeClr w14:val="tx1"/>
                  </w14:solidFill>
                </w14:textFill>
              </w:rPr>
              <w:t>3</w:t>
            </w:r>
            <w:r>
              <w:rPr>
                <w:rFonts w:hint="eastAsia"/>
                <w:color w:val="000000" w:themeColor="text1"/>
                <w:sz w:val="24"/>
                <w:szCs w:val="32"/>
                <w:highlight w:val="none"/>
                <w14:textFill>
                  <w14:solidFill>
                    <w14:schemeClr w14:val="tx1"/>
                  </w14:solidFill>
                </w14:textFill>
              </w:rPr>
              <w:t>，则检验用水量1</w:t>
            </w:r>
            <w:r>
              <w:rPr>
                <w:rFonts w:hint="eastAsia"/>
                <w:color w:val="auto"/>
                <w:sz w:val="24"/>
                <w:szCs w:val="32"/>
                <w:highlight w:val="none"/>
              </w:rPr>
              <w:t>20m</w:t>
            </w:r>
            <w:r>
              <w:rPr>
                <w:rFonts w:hint="eastAsia"/>
                <w:color w:val="auto"/>
                <w:sz w:val="24"/>
                <w:szCs w:val="32"/>
                <w:highlight w:val="none"/>
                <w:vertAlign w:val="superscript"/>
              </w:rPr>
              <w:t>3</w:t>
            </w:r>
            <w:r>
              <w:rPr>
                <w:rFonts w:hint="eastAsia"/>
                <w:color w:val="auto"/>
                <w:sz w:val="24"/>
                <w:szCs w:val="32"/>
                <w:highlight w:val="none"/>
              </w:rPr>
              <w:t>/a</w:t>
            </w:r>
            <w:r>
              <w:rPr>
                <w:rFonts w:hint="eastAsia"/>
                <w:color w:val="auto"/>
                <w:sz w:val="24"/>
                <w:szCs w:val="32"/>
                <w:highlight w:val="none"/>
                <w:lang w:eastAsia="zh-CN"/>
              </w:rPr>
              <w:t>（</w:t>
            </w:r>
            <w:r>
              <w:rPr>
                <w:rFonts w:hint="eastAsia"/>
                <w:color w:val="auto"/>
                <w:sz w:val="24"/>
                <w:szCs w:val="32"/>
                <w:highlight w:val="none"/>
                <w:lang w:val="en-US" w:eastAsia="zh-CN"/>
              </w:rPr>
              <w:t>0.4m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/d</w:t>
            </w:r>
            <w:r>
              <w:rPr>
                <w:rFonts w:hint="eastAsia"/>
                <w:color w:val="auto"/>
                <w:sz w:val="24"/>
                <w:szCs w:val="32"/>
                <w:highlight w:val="none"/>
                <w:lang w:eastAsia="zh-CN"/>
              </w:rPr>
              <w:t>）</w:t>
            </w:r>
            <w:r>
              <w:rPr>
                <w:rFonts w:hint="eastAsia"/>
                <w:color w:val="auto"/>
                <w:sz w:val="24"/>
                <w:szCs w:val="32"/>
                <w:highlight w:val="none"/>
              </w:rPr>
              <w:t>。</w:t>
            </w:r>
          </w:p>
          <w:p w14:paraId="491D36F4">
            <w:pPr>
              <w:keepNext w:val="0"/>
              <w:keepLines w:val="0"/>
              <w:suppressLineNumbers w:val="0"/>
              <w:spacing w:before="0" w:beforeAutospacing="0" w:after="0" w:afterAutospacing="0" w:line="360" w:lineRule="auto"/>
              <w:ind w:left="0" w:right="0" w:firstLine="480" w:firstLineChars="200"/>
              <w:rPr>
                <w:rFonts w:hint="default"/>
                <w:color w:val="auto"/>
                <w:sz w:val="24"/>
                <w:szCs w:val="32"/>
                <w:highlight w:val="none"/>
              </w:rPr>
            </w:pPr>
            <w:r>
              <w:rPr>
                <w:rFonts w:hint="eastAsia" w:ascii="Times New Roman" w:hAnsi="Times New Roman" w:cs="Times New Roman"/>
                <w:color w:val="auto"/>
                <w:sz w:val="24"/>
                <w:szCs w:val="32"/>
                <w:highlight w:val="none"/>
                <w:lang w:eastAsia="zh-CN"/>
              </w:rPr>
              <w:t>⑥</w:t>
            </w:r>
            <w:r>
              <w:rPr>
                <w:rFonts w:hint="eastAsia"/>
                <w:color w:val="auto"/>
                <w:sz w:val="24"/>
                <w:szCs w:val="32"/>
                <w:highlight w:val="none"/>
              </w:rPr>
              <w:t>地面冲洗用水</w:t>
            </w:r>
          </w:p>
          <w:p w14:paraId="0CD6A6BC">
            <w:pPr>
              <w:keepNext w:val="0"/>
              <w:keepLines w:val="0"/>
              <w:suppressLineNumbers w:val="0"/>
              <w:spacing w:before="0" w:beforeAutospacing="0" w:after="0" w:afterAutospacing="0" w:line="360" w:lineRule="auto"/>
              <w:ind w:left="0" w:right="0" w:firstLine="480" w:firstLineChars="200"/>
              <w:rPr>
                <w:rFonts w:hint="default" w:eastAsia="宋体"/>
                <w:color w:val="auto"/>
                <w:sz w:val="24"/>
                <w:szCs w:val="32"/>
                <w:highlight w:val="none"/>
                <w:lang w:val="en-US" w:eastAsia="zh-CN"/>
              </w:rPr>
            </w:pPr>
            <w:r>
              <w:rPr>
                <w:rFonts w:hint="eastAsia"/>
                <w:color w:val="auto"/>
                <w:sz w:val="24"/>
                <w:szCs w:val="32"/>
                <w:highlight w:val="none"/>
              </w:rPr>
              <w:t>项目为食品加工业，车间有严格的食品卫生要求，建设单位需要安排每天清水冲洗一次车间地面，冲洗总</w:t>
            </w:r>
            <w:r>
              <w:rPr>
                <w:rFonts w:hint="eastAsia" w:ascii="Times New Roman" w:hAnsi="Times New Roman" w:eastAsia="宋体" w:cs="Times New Roman"/>
                <w:color w:val="auto"/>
                <w:sz w:val="24"/>
                <w:szCs w:val="32"/>
                <w:highlight w:val="none"/>
              </w:rPr>
              <w:t>面积约6000m</w:t>
            </w:r>
            <w:r>
              <w:rPr>
                <w:rFonts w:hint="eastAsia" w:ascii="Times New Roman" w:hAnsi="Times New Roman" w:eastAsia="宋体" w:cs="Times New Roman"/>
                <w:color w:val="auto"/>
                <w:sz w:val="24"/>
                <w:szCs w:val="32"/>
                <w:highlight w:val="none"/>
                <w:vertAlign w:val="superscript"/>
              </w:rPr>
              <w:t>2</w:t>
            </w:r>
            <w:r>
              <w:rPr>
                <w:rFonts w:hint="eastAsia" w:ascii="Times New Roman" w:hAnsi="Times New Roman" w:eastAsia="宋体" w:cs="Times New Roman"/>
                <w:color w:val="auto"/>
                <w:sz w:val="24"/>
                <w:szCs w:val="32"/>
                <w:highlight w:val="none"/>
                <w:lang w:eastAsia="zh-CN"/>
              </w:rPr>
              <w:t>。</w:t>
            </w:r>
            <w:r>
              <w:rPr>
                <w:rFonts w:hint="eastAsia" w:ascii="Times New Roman" w:hAnsi="Times New Roman" w:eastAsia="宋体" w:cs="Times New Roman"/>
                <w:color w:val="auto"/>
                <w:sz w:val="24"/>
                <w:szCs w:val="32"/>
                <w:highlight w:val="none"/>
              </w:rPr>
              <w:t>根</w:t>
            </w:r>
            <w:r>
              <w:rPr>
                <w:rFonts w:hint="eastAsia"/>
                <w:color w:val="auto"/>
                <w:sz w:val="24"/>
                <w:szCs w:val="32"/>
                <w:highlight w:val="none"/>
              </w:rPr>
              <w:t>据《建筑给排水设计规范》（GB50015-20</w:t>
            </w:r>
            <w:r>
              <w:rPr>
                <w:rFonts w:hint="eastAsia"/>
                <w:color w:val="auto"/>
                <w:sz w:val="24"/>
                <w:szCs w:val="32"/>
                <w:highlight w:val="none"/>
                <w:lang w:val="en-US" w:eastAsia="zh-CN"/>
              </w:rPr>
              <w:t>19</w:t>
            </w:r>
            <w:r>
              <w:rPr>
                <w:rFonts w:hint="eastAsia"/>
                <w:color w:val="auto"/>
                <w:sz w:val="24"/>
                <w:szCs w:val="32"/>
                <w:highlight w:val="none"/>
              </w:rPr>
              <w:t>）中，地面冲洗用水按每平方2-3L每次计算，本项目取3L/m</w:t>
            </w:r>
            <w:r>
              <w:rPr>
                <w:rFonts w:hint="eastAsia"/>
                <w:color w:val="auto"/>
                <w:sz w:val="24"/>
                <w:szCs w:val="32"/>
                <w:highlight w:val="none"/>
                <w:vertAlign w:val="superscript"/>
              </w:rPr>
              <w:t>2</w:t>
            </w:r>
            <w:r>
              <w:rPr>
                <w:rFonts w:hint="eastAsia"/>
                <w:color w:val="auto"/>
                <w:sz w:val="24"/>
                <w:szCs w:val="32"/>
                <w:highlight w:val="none"/>
              </w:rPr>
              <w:t>计，则地面冲洗需用水量约为5400m</w:t>
            </w:r>
            <w:r>
              <w:rPr>
                <w:rFonts w:hint="eastAsia"/>
                <w:color w:val="auto"/>
                <w:sz w:val="24"/>
                <w:szCs w:val="32"/>
                <w:highlight w:val="none"/>
                <w:vertAlign w:val="superscript"/>
              </w:rPr>
              <w:t>3</w:t>
            </w:r>
            <w:r>
              <w:rPr>
                <w:rFonts w:hint="eastAsia"/>
                <w:color w:val="auto"/>
                <w:sz w:val="24"/>
                <w:szCs w:val="32"/>
                <w:highlight w:val="none"/>
              </w:rPr>
              <w:t>/a。</w:t>
            </w:r>
          </w:p>
          <w:p w14:paraId="0A3C8D26">
            <w:pPr>
              <w:keepNext w:val="0"/>
              <w:keepLines w:val="0"/>
              <w:suppressLineNumbers w:val="0"/>
              <w:spacing w:before="0" w:beforeAutospacing="0" w:after="0" w:afterAutospacing="0" w:line="360" w:lineRule="auto"/>
              <w:ind w:left="0" w:right="0" w:firstLine="480" w:firstLineChars="200"/>
              <w:rPr>
                <w:rFonts w:hint="eastAsia"/>
                <w:color w:val="auto"/>
                <w:sz w:val="24"/>
                <w:szCs w:val="32"/>
                <w:highlight w:val="none"/>
              </w:rPr>
            </w:pPr>
            <w:r>
              <w:rPr>
                <w:rFonts w:hint="eastAsia" w:ascii="Times New Roman" w:hAnsi="Times New Roman" w:cs="Times New Roman"/>
                <w:color w:val="auto"/>
                <w:sz w:val="24"/>
                <w:szCs w:val="32"/>
                <w:highlight w:val="none"/>
                <w:lang w:eastAsia="zh-CN"/>
              </w:rPr>
              <w:t>⑦</w:t>
            </w:r>
            <w:r>
              <w:rPr>
                <w:rFonts w:hint="eastAsia"/>
                <w:color w:val="auto"/>
                <w:sz w:val="24"/>
                <w:szCs w:val="32"/>
                <w:highlight w:val="none"/>
              </w:rPr>
              <w:t>设备清洗水</w:t>
            </w:r>
          </w:p>
          <w:p w14:paraId="111FAC4A">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color w:val="auto"/>
                <w:sz w:val="24"/>
                <w:szCs w:val="32"/>
                <w:highlight w:val="none"/>
              </w:rPr>
              <w:t>项目生产设备、盛装原材料的容器</w:t>
            </w:r>
            <w:r>
              <w:rPr>
                <w:rFonts w:hint="eastAsia"/>
                <w:color w:val="auto"/>
                <w:sz w:val="24"/>
                <w:szCs w:val="32"/>
                <w:highlight w:val="none"/>
                <w:lang w:eastAsia="zh-CN"/>
              </w:rPr>
              <w:t>、锅具</w:t>
            </w:r>
            <w:r>
              <w:rPr>
                <w:rFonts w:hint="default"/>
                <w:color w:val="auto"/>
                <w:sz w:val="24"/>
                <w:szCs w:val="32"/>
                <w:highlight w:val="none"/>
              </w:rPr>
              <w:t>在使用后需要进行清洗，根据建设单位估算，用水量约为</w:t>
            </w:r>
            <w:r>
              <w:rPr>
                <w:rFonts w:hint="eastAsia"/>
                <w:color w:val="auto"/>
                <w:sz w:val="24"/>
                <w:szCs w:val="32"/>
                <w:highlight w:val="none"/>
                <w:lang w:val="en-US" w:eastAsia="zh-CN"/>
              </w:rPr>
              <w:t>3</w:t>
            </w:r>
            <w:r>
              <w:rPr>
                <w:rFonts w:hint="eastAsia"/>
                <w:color w:val="auto"/>
                <w:sz w:val="24"/>
                <w:szCs w:val="32"/>
                <w:highlight w:val="none"/>
              </w:rPr>
              <w:t>m</w:t>
            </w:r>
            <w:r>
              <w:rPr>
                <w:rFonts w:hint="eastAsia"/>
                <w:color w:val="auto"/>
                <w:sz w:val="24"/>
                <w:szCs w:val="32"/>
                <w:highlight w:val="none"/>
                <w:vertAlign w:val="superscript"/>
              </w:rPr>
              <w:t>3</w:t>
            </w:r>
            <w:r>
              <w:rPr>
                <w:rFonts w:hint="eastAsia"/>
                <w:color w:val="auto"/>
                <w:sz w:val="24"/>
                <w:szCs w:val="32"/>
                <w:highlight w:val="none"/>
              </w:rPr>
              <w:t>/d</w:t>
            </w:r>
            <w:r>
              <w:rPr>
                <w:rFonts w:hint="default"/>
                <w:color w:val="auto"/>
                <w:sz w:val="24"/>
                <w:szCs w:val="32"/>
                <w:highlight w:val="none"/>
              </w:rPr>
              <w:t>（</w:t>
            </w:r>
            <w:r>
              <w:rPr>
                <w:rFonts w:hint="eastAsia"/>
                <w:color w:val="auto"/>
                <w:sz w:val="24"/>
                <w:szCs w:val="32"/>
                <w:highlight w:val="none"/>
                <w:lang w:val="en-US" w:eastAsia="zh-CN"/>
              </w:rPr>
              <w:t>900</w:t>
            </w:r>
            <w:r>
              <w:rPr>
                <w:rFonts w:hint="eastAsia"/>
                <w:color w:val="auto"/>
                <w:sz w:val="24"/>
                <w:szCs w:val="32"/>
                <w:highlight w:val="none"/>
              </w:rPr>
              <w:t>m</w:t>
            </w:r>
            <w:r>
              <w:rPr>
                <w:rFonts w:hint="eastAsia"/>
                <w:color w:val="auto"/>
                <w:sz w:val="24"/>
                <w:szCs w:val="32"/>
                <w:highlight w:val="none"/>
                <w:vertAlign w:val="superscript"/>
              </w:rPr>
              <w:t>3</w:t>
            </w:r>
            <w:r>
              <w:rPr>
                <w:rFonts w:hint="eastAsia"/>
                <w:color w:val="auto"/>
                <w:sz w:val="24"/>
                <w:szCs w:val="32"/>
                <w:highlight w:val="none"/>
              </w:rPr>
              <w:t>/a</w:t>
            </w:r>
            <w:r>
              <w:rPr>
                <w:rFonts w:hint="default"/>
                <w:color w:val="auto"/>
                <w:sz w:val="24"/>
                <w:szCs w:val="32"/>
                <w:highlight w:val="none"/>
              </w:rPr>
              <w:t>）</w:t>
            </w:r>
            <w:r>
              <w:rPr>
                <w:rFonts w:hint="eastAsia"/>
                <w:color w:val="auto"/>
                <w:sz w:val="24"/>
                <w:szCs w:val="32"/>
                <w:highlight w:val="none"/>
                <w:lang w:eastAsia="zh-CN"/>
              </w:rPr>
              <w:t>。</w:t>
            </w:r>
          </w:p>
          <w:p w14:paraId="1F111278">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⑧杀菌用水</w:t>
            </w:r>
          </w:p>
          <w:p w14:paraId="52927F20">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bidi="ar-SA"/>
              </w:rPr>
            </w:pPr>
            <w:r>
              <w:rPr>
                <w:rFonts w:hint="eastAsia" w:cs="Times New Roman"/>
                <w:b w:val="0"/>
                <w:bCs w:val="0"/>
                <w:color w:val="auto"/>
                <w:sz w:val="24"/>
                <w:szCs w:val="24"/>
                <w:highlight w:val="none"/>
                <w:lang w:val="en-US" w:eastAsia="zh-CN"/>
              </w:rPr>
              <w:t>本项目杀菌采用高温杀菌，共设置2台高温杀菌机；根据企业提供资料，单个高温杀菌机水槽有效容积约2m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val="en-US" w:eastAsia="zh-CN"/>
              </w:rPr>
              <w:t>，每6天更换一次，则本项目杀菌用水量为200m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val="en-US" w:eastAsia="zh-CN"/>
              </w:rPr>
              <w:t>/a（0.67</w:t>
            </w:r>
            <w:r>
              <w:rPr>
                <w:rFonts w:hint="default" w:eastAsia="Times New Roman"/>
                <w:color w:val="auto"/>
                <w:sz w:val="24"/>
                <w:szCs w:val="24"/>
                <w:highlight w:val="none"/>
              </w:rPr>
              <w:t>m</w:t>
            </w:r>
            <w:r>
              <w:rPr>
                <w:rFonts w:hint="default" w:eastAsia="Times New Roman"/>
                <w:color w:val="auto"/>
                <w:position w:val="8"/>
                <w:sz w:val="15"/>
                <w:szCs w:val="24"/>
                <w:highlight w:val="none"/>
              </w:rPr>
              <w:t>3</w:t>
            </w:r>
            <w:r>
              <w:rPr>
                <w:rFonts w:hint="default" w:eastAsia="Times New Roman"/>
                <w:color w:val="auto"/>
                <w:sz w:val="24"/>
                <w:szCs w:val="24"/>
                <w:highlight w:val="none"/>
              </w:rPr>
              <w:t>/d</w:t>
            </w:r>
            <w:r>
              <w:rPr>
                <w:rFonts w:hint="eastAsia" w:cs="Times New Roman"/>
                <w:b w:val="0"/>
                <w:bCs w:val="0"/>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bidi="ar-SA"/>
              </w:rPr>
              <w:t>。</w:t>
            </w:r>
          </w:p>
          <w:p w14:paraId="1E812CD9">
            <w:pPr>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eastAsia"/>
                <w:color w:val="auto"/>
                <w:sz w:val="24"/>
                <w:highlight w:val="none"/>
                <w:lang w:eastAsia="zh-CN"/>
              </w:rPr>
            </w:pPr>
            <w:r>
              <w:rPr>
                <w:rFonts w:hint="eastAsia"/>
                <w:color w:val="auto"/>
                <w:sz w:val="24"/>
                <w:highlight w:val="none"/>
                <w:lang w:eastAsia="zh-CN"/>
              </w:rPr>
              <w:t>⑨和面用水</w:t>
            </w:r>
          </w:p>
          <w:p w14:paraId="286F351B">
            <w:pPr>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根据建设单位提供资料，</w:t>
            </w:r>
            <w:r>
              <w:rPr>
                <w:rFonts w:hint="eastAsia" w:ascii="Times New Roman" w:hAnsi="Times New Roman" w:eastAsia="宋体" w:cs="Times New Roman"/>
                <w:color w:val="auto"/>
                <w:kern w:val="0"/>
                <w:sz w:val="24"/>
                <w:szCs w:val="24"/>
                <w:highlight w:val="none"/>
                <w:lang w:val="en-US" w:eastAsia="zh-CN" w:bidi="ar"/>
              </w:rPr>
              <w:t>面筋混合和面</w:t>
            </w:r>
            <w:r>
              <w:rPr>
                <w:rFonts w:hint="default" w:ascii="Times New Roman" w:hAnsi="Times New Roman" w:eastAsia="宋体" w:cs="Times New Roman"/>
                <w:color w:val="auto"/>
                <w:kern w:val="0"/>
                <w:sz w:val="24"/>
                <w:szCs w:val="24"/>
                <w:highlight w:val="none"/>
                <w:lang w:val="en-US" w:eastAsia="zh-CN" w:bidi="ar"/>
              </w:rPr>
              <w:t>生产过程中，谷朊粉</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面粉</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水</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碱</w:t>
            </w:r>
            <w:r>
              <w:rPr>
                <w:rFonts w:hint="eastAsia" w:ascii="Times New Roman" w:hAnsi="Times New Roman" w:eastAsia="宋体" w:cs="Times New Roman"/>
                <w:color w:val="auto"/>
                <w:kern w:val="0"/>
                <w:sz w:val="24"/>
                <w:szCs w:val="24"/>
                <w:highlight w:val="none"/>
                <w:lang w:val="en-US" w:eastAsia="zh-CN" w:bidi="ar"/>
              </w:rPr>
              <w:t>比例为1:0.1:0.4:0.007</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项目谷朊粉使用量约7142t/a，则和面用水约2856.8</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eastAsia="宋体" w:cs="Times New Roman"/>
                <w:color w:val="auto"/>
                <w:kern w:val="0"/>
                <w:sz w:val="24"/>
                <w:szCs w:val="24"/>
                <w:highlight w:val="none"/>
                <w:lang w:val="en-US" w:eastAsia="zh-CN" w:bidi="ar"/>
              </w:rPr>
              <w:t>/a</w:t>
            </w:r>
            <w:r>
              <w:rPr>
                <w:rFonts w:hint="eastAsia" w:ascii="Times New Roman" w:hAnsi="Times New Roman" w:eastAsia="宋体" w:cs="Times New Roman"/>
                <w:color w:val="auto"/>
                <w:kern w:val="0"/>
                <w:sz w:val="24"/>
                <w:szCs w:val="24"/>
                <w:highlight w:val="none"/>
                <w:lang w:val="en-US" w:eastAsia="zh-CN" w:bidi="ar"/>
              </w:rPr>
              <w:t>（9.52</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d</w:t>
            </w:r>
            <w:r>
              <w:rPr>
                <w:rFonts w:hint="eastAsia" w:ascii="Times New Roman" w:hAnsi="Times New Roman" w:eastAsia="宋体" w:cs="Times New Roman"/>
                <w:color w:val="auto"/>
                <w:kern w:val="0"/>
                <w:sz w:val="24"/>
                <w:szCs w:val="24"/>
                <w:highlight w:val="none"/>
                <w:lang w:val="en-US" w:eastAsia="zh-CN" w:bidi="ar"/>
              </w:rPr>
              <w:t>）。</w:t>
            </w:r>
          </w:p>
          <w:p w14:paraId="7E31735F">
            <w:pPr>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default"/>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default"/>
                <w:color w:val="auto"/>
                <w:sz w:val="24"/>
                <w:highlight w:val="none"/>
              </w:rPr>
              <w:t>排水</w:t>
            </w:r>
          </w:p>
          <w:p w14:paraId="433A41DF">
            <w:pPr>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eastAsia" w:ascii="Times New Roman" w:hAnsi="Times New Roman" w:cs="Times New Roman"/>
                <w:color w:val="auto"/>
                <w:sz w:val="24"/>
                <w:highlight w:val="none"/>
                <w:lang w:eastAsia="zh-CN"/>
              </w:rPr>
            </w:pPr>
            <w:r>
              <w:rPr>
                <w:rFonts w:hint="eastAsia" w:cs="Times New Roman"/>
                <w:bCs/>
                <w:color w:val="auto"/>
                <w:sz w:val="24"/>
                <w:szCs w:val="24"/>
                <w:highlight w:val="none"/>
                <w:lang w:val="en-US" w:eastAsia="zh-CN"/>
              </w:rPr>
              <w:t>①</w:t>
            </w:r>
            <w:r>
              <w:rPr>
                <w:rFonts w:hint="default" w:ascii="Times New Roman" w:hAnsi="Times New Roman" w:eastAsia="宋体" w:cs="Times New Roman"/>
                <w:bCs/>
                <w:color w:val="auto"/>
                <w:sz w:val="24"/>
                <w:szCs w:val="24"/>
                <w:highlight w:val="none"/>
                <w:lang w:val="en-US" w:eastAsia="zh-CN"/>
              </w:rPr>
              <w:t>生活</w:t>
            </w:r>
            <w:r>
              <w:rPr>
                <w:rFonts w:hint="eastAsia" w:ascii="Times New Roman" w:hAnsi="Times New Roman" w:cs="Times New Roman"/>
                <w:bCs/>
                <w:color w:val="auto"/>
                <w:sz w:val="24"/>
                <w:szCs w:val="24"/>
                <w:highlight w:val="none"/>
                <w:lang w:val="en-US" w:eastAsia="zh-CN"/>
              </w:rPr>
              <w:t>废水</w:t>
            </w:r>
            <w:r>
              <w:rPr>
                <w:rFonts w:hint="default" w:ascii="Times New Roman" w:hAnsi="Times New Roman" w:eastAsia="宋体" w:cs="Times New Roman"/>
                <w:bCs/>
                <w:color w:val="auto"/>
                <w:sz w:val="24"/>
                <w:szCs w:val="24"/>
                <w:highlight w:val="none"/>
                <w:lang w:val="en-US" w:eastAsia="zh-CN"/>
              </w:rPr>
              <w:t>：</w:t>
            </w:r>
            <w:r>
              <w:rPr>
                <w:rFonts w:hint="eastAsia"/>
                <w:bCs/>
                <w:color w:val="auto"/>
                <w:sz w:val="24"/>
                <w:highlight w:val="none"/>
              </w:rPr>
              <w:t>生活废水产生量按照用水量的</w:t>
            </w:r>
            <w:r>
              <w:rPr>
                <w:rFonts w:hint="default"/>
                <w:bCs/>
                <w:color w:val="auto"/>
                <w:sz w:val="24"/>
                <w:highlight w:val="none"/>
              </w:rPr>
              <w:t>80%</w:t>
            </w:r>
            <w:r>
              <w:rPr>
                <w:rFonts w:hint="eastAsia"/>
                <w:bCs/>
                <w:color w:val="auto"/>
                <w:sz w:val="24"/>
                <w:highlight w:val="none"/>
              </w:rPr>
              <w:t>计，则</w:t>
            </w:r>
            <w:r>
              <w:rPr>
                <w:rFonts w:hint="eastAsia"/>
                <w:bCs/>
                <w:color w:val="auto"/>
                <w:sz w:val="24"/>
                <w:highlight w:val="none"/>
                <w:lang w:eastAsia="zh-CN"/>
              </w:rPr>
              <w:t>生活废水</w:t>
            </w:r>
            <w:r>
              <w:rPr>
                <w:rFonts w:hint="eastAsia"/>
                <w:bCs/>
                <w:color w:val="auto"/>
                <w:sz w:val="24"/>
                <w:highlight w:val="none"/>
              </w:rPr>
              <w:t>产生量为</w:t>
            </w:r>
            <w:r>
              <w:rPr>
                <w:rFonts w:hint="eastAsia"/>
                <w:bCs/>
                <w:color w:val="auto"/>
                <w:sz w:val="24"/>
                <w:highlight w:val="none"/>
                <w:lang w:val="en-US" w:eastAsia="zh-CN"/>
              </w:rPr>
              <w:t>0.96</w:t>
            </w:r>
            <w:r>
              <w:rPr>
                <w:rFonts w:hint="default"/>
                <w:bCs/>
                <w:color w:val="auto"/>
                <w:sz w:val="24"/>
                <w:highlight w:val="none"/>
              </w:rPr>
              <w:t>m</w:t>
            </w:r>
            <w:r>
              <w:rPr>
                <w:rFonts w:hint="default"/>
                <w:bCs/>
                <w:color w:val="auto"/>
                <w:sz w:val="24"/>
                <w:highlight w:val="none"/>
                <w:vertAlign w:val="superscript"/>
              </w:rPr>
              <w:t>3</w:t>
            </w:r>
            <w:r>
              <w:rPr>
                <w:rFonts w:hint="default"/>
                <w:bCs/>
                <w:color w:val="auto"/>
                <w:sz w:val="24"/>
                <w:highlight w:val="none"/>
              </w:rPr>
              <w:t>/d，</w:t>
            </w:r>
            <w:r>
              <w:rPr>
                <w:rFonts w:hint="eastAsia" w:ascii="Times New Roman" w:hAnsi="Times New Roman" w:eastAsia="宋体" w:cs="Times New Roman"/>
                <w:color w:val="auto"/>
                <w:kern w:val="0"/>
                <w:sz w:val="24"/>
                <w:szCs w:val="24"/>
                <w:highlight w:val="none"/>
                <w:lang w:eastAsia="zh-CN" w:bidi="ar-SA"/>
              </w:rPr>
              <w:t>经化粪池处理后</w:t>
            </w:r>
            <w:r>
              <w:rPr>
                <w:rFonts w:hint="eastAsia" w:cs="Times New Roman"/>
                <w:color w:val="auto"/>
                <w:kern w:val="0"/>
                <w:sz w:val="24"/>
                <w:szCs w:val="24"/>
                <w:highlight w:val="none"/>
                <w:lang w:eastAsia="zh-CN" w:bidi="ar-SA"/>
              </w:rPr>
              <w:t>排入园区</w:t>
            </w:r>
            <w:r>
              <w:rPr>
                <w:rFonts w:hint="eastAsia" w:ascii="Times New Roman" w:hAnsi="Times New Roman" w:eastAsia="宋体" w:cs="Times New Roman"/>
                <w:color w:val="auto"/>
                <w:kern w:val="0"/>
                <w:sz w:val="24"/>
                <w:szCs w:val="24"/>
                <w:highlight w:val="none"/>
                <w:lang w:val="en-US" w:eastAsia="zh-CN" w:bidi="ar-SA"/>
              </w:rPr>
              <w:t>管网，最后排入</w:t>
            </w:r>
            <w:r>
              <w:rPr>
                <w:rFonts w:hint="eastAsia"/>
                <w:color w:val="auto"/>
                <w:sz w:val="24"/>
                <w:highlight w:val="none"/>
                <w:lang w:eastAsia="zh-CN"/>
              </w:rPr>
              <w:t>魏县经济开发区污水处理有限公司</w:t>
            </w:r>
            <w:r>
              <w:rPr>
                <w:rFonts w:hint="eastAsia" w:ascii="Times New Roman" w:hAnsi="Times New Roman" w:eastAsia="宋体" w:cs="Times New Roman"/>
                <w:color w:val="auto"/>
                <w:kern w:val="0"/>
                <w:sz w:val="24"/>
                <w:szCs w:val="24"/>
                <w:highlight w:val="none"/>
                <w:lang w:val="en-US" w:eastAsia="zh-CN" w:bidi="ar-SA"/>
              </w:rPr>
              <w:t>处理</w:t>
            </w:r>
            <w:r>
              <w:rPr>
                <w:rFonts w:hint="eastAsia" w:ascii="Times New Roman" w:hAnsi="Times New Roman" w:cs="Times New Roman"/>
                <w:color w:val="auto"/>
                <w:sz w:val="24"/>
                <w:highlight w:val="none"/>
                <w:lang w:eastAsia="zh-CN"/>
              </w:rPr>
              <w:t>。</w:t>
            </w:r>
          </w:p>
          <w:p w14:paraId="500DF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sz w:val="24"/>
                <w:highlight w:val="none"/>
                <w:lang w:eastAsia="zh-CN"/>
              </w:rPr>
              <w:t>②</w:t>
            </w:r>
            <w:r>
              <w:rPr>
                <w:rFonts w:hint="eastAsia" w:ascii="Times New Roman" w:hAnsi="Times New Roman" w:cs="Times New Roman"/>
                <w:color w:val="auto"/>
                <w:sz w:val="24"/>
                <w:highlight w:val="none"/>
                <w:lang w:eastAsia="zh-CN"/>
              </w:rPr>
              <w:t>软水制备系统</w:t>
            </w:r>
            <w:r>
              <w:rPr>
                <w:rFonts w:hint="eastAsia" w:ascii="Times New Roman" w:hAnsi="Times New Roman" w:cs="Times New Roman"/>
                <w:bCs/>
                <w:color w:val="auto"/>
                <w:sz w:val="24"/>
                <w:szCs w:val="24"/>
                <w:highlight w:val="none"/>
                <w:lang w:val="en-US" w:eastAsia="zh-CN"/>
              </w:rPr>
              <w:t>废水</w:t>
            </w:r>
            <w:r>
              <w:rPr>
                <w:rFonts w:hint="eastAsia" w:ascii="Times New Roman" w:hAnsi="Times New Roman" w:cs="Times New Roman"/>
                <w:color w:val="auto"/>
                <w:sz w:val="24"/>
                <w:szCs w:val="24"/>
                <w:highlight w:val="none"/>
                <w:lang w:eastAsia="zh-CN"/>
              </w:rPr>
              <w:t>及</w:t>
            </w:r>
            <w:r>
              <w:rPr>
                <w:rFonts w:hint="eastAsia" w:cs="Times New Roman"/>
                <w:color w:val="auto"/>
                <w:sz w:val="24"/>
                <w:szCs w:val="24"/>
                <w:highlight w:val="none"/>
                <w:lang w:eastAsia="zh-CN"/>
              </w:rPr>
              <w:t>蒸汽发生器</w:t>
            </w:r>
            <w:r>
              <w:rPr>
                <w:rFonts w:hint="eastAsia" w:ascii="Times New Roman" w:hAnsi="Times New Roman" w:cs="Times New Roman"/>
                <w:bCs/>
                <w:color w:val="auto"/>
                <w:sz w:val="24"/>
                <w:szCs w:val="24"/>
                <w:highlight w:val="none"/>
                <w:lang w:val="en-US" w:eastAsia="zh-CN"/>
              </w:rPr>
              <w:t>废水</w:t>
            </w:r>
            <w:r>
              <w:rPr>
                <w:rFonts w:hint="default" w:ascii="Times New Roman" w:hAnsi="Times New Roman" w:cs="Times New Roman"/>
                <w:color w:val="auto"/>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bidi="ar"/>
              </w:rPr>
              <w:t>项目</w:t>
            </w:r>
            <w:r>
              <w:rPr>
                <w:rFonts w:hint="eastAsia" w:cs="Times New Roman"/>
                <w:color w:val="auto"/>
                <w:sz w:val="24"/>
                <w:szCs w:val="24"/>
                <w:highlight w:val="none"/>
                <w:lang w:eastAsia="zh-CN"/>
              </w:rPr>
              <w:t>蒸汽发生器</w:t>
            </w:r>
            <w:r>
              <w:rPr>
                <w:rFonts w:hint="eastAsia" w:ascii="Times New Roman" w:hAnsi="Times New Roman" w:eastAsia="宋体" w:cs="Times New Roman"/>
                <w:color w:val="auto"/>
                <w:kern w:val="0"/>
                <w:sz w:val="24"/>
                <w:szCs w:val="24"/>
                <w:highlight w:val="none"/>
                <w:lang w:val="en-US" w:eastAsia="zh-CN" w:bidi="ar"/>
              </w:rPr>
              <w:t>用软水由软水制备系统提供。</w:t>
            </w:r>
            <w:r>
              <w:rPr>
                <w:rFonts w:hint="eastAsia" w:ascii="Times New Roman" w:hAnsi="Times New Roman" w:cs="Times New Roman"/>
                <w:color w:val="auto"/>
                <w:kern w:val="0"/>
                <w:sz w:val="24"/>
                <w:szCs w:val="24"/>
                <w:highlight w:val="none"/>
                <w:lang w:val="en-US" w:eastAsia="zh-CN" w:bidi="ar"/>
              </w:rPr>
              <w:t>项目蒸汽发生器排水量约0.6m</w:t>
            </w:r>
            <w:r>
              <w:rPr>
                <w:rFonts w:hint="eastAsia" w:ascii="Times New Roman" w:hAnsi="Times New Roman" w:cs="Times New Roman"/>
                <w:color w:val="auto"/>
                <w:kern w:val="0"/>
                <w:sz w:val="24"/>
                <w:szCs w:val="24"/>
                <w:highlight w:val="none"/>
                <w:vertAlign w:val="superscript"/>
                <w:lang w:val="en-US" w:eastAsia="zh-CN" w:bidi="ar"/>
              </w:rPr>
              <w:t>3</w:t>
            </w:r>
            <w:r>
              <w:rPr>
                <w:rFonts w:hint="eastAsia" w:ascii="Times New Roman" w:hAnsi="Times New Roman" w:cs="Times New Roman"/>
                <w:color w:val="auto"/>
                <w:kern w:val="0"/>
                <w:sz w:val="24"/>
                <w:szCs w:val="24"/>
                <w:highlight w:val="none"/>
                <w:lang w:val="en-US" w:eastAsia="zh-CN" w:bidi="ar"/>
              </w:rPr>
              <w:t>/d，软水制备系统废水量约0.06m</w:t>
            </w:r>
            <w:r>
              <w:rPr>
                <w:rFonts w:hint="eastAsia" w:ascii="Times New Roman" w:hAnsi="Times New Roman" w:cs="Times New Roman"/>
                <w:color w:val="auto"/>
                <w:kern w:val="0"/>
                <w:sz w:val="24"/>
                <w:szCs w:val="24"/>
                <w:highlight w:val="none"/>
                <w:vertAlign w:val="superscript"/>
                <w:lang w:val="en-US" w:eastAsia="zh-CN" w:bidi="ar"/>
              </w:rPr>
              <w:t>3</w:t>
            </w:r>
            <w:r>
              <w:rPr>
                <w:rFonts w:hint="eastAsia" w:ascii="Times New Roman" w:hAnsi="Times New Roman" w:cs="Times New Roman"/>
                <w:color w:val="auto"/>
                <w:kern w:val="0"/>
                <w:sz w:val="24"/>
                <w:szCs w:val="24"/>
                <w:highlight w:val="none"/>
                <w:lang w:val="en-US" w:eastAsia="zh-CN" w:bidi="ar"/>
              </w:rPr>
              <w:t>/d。</w:t>
            </w:r>
          </w:p>
          <w:p w14:paraId="26D2D3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color w:val="000000"/>
                <w:sz w:val="24"/>
                <w:szCs w:val="32"/>
                <w:highlight w:val="none"/>
              </w:rPr>
            </w:pPr>
            <w:r>
              <w:rPr>
                <w:rFonts w:hint="eastAsia"/>
                <w:color w:val="000000"/>
                <w:sz w:val="24"/>
                <w:szCs w:val="32"/>
                <w:highlight w:val="none"/>
                <w:lang w:eastAsia="zh-CN"/>
              </w:rPr>
              <w:t>③浸泡清洗</w:t>
            </w:r>
            <w:r>
              <w:rPr>
                <w:rFonts w:hint="eastAsia" w:ascii="Times New Roman" w:hAnsi="Times New Roman" w:cs="Times New Roman"/>
                <w:bCs/>
                <w:color w:val="auto"/>
                <w:sz w:val="24"/>
                <w:szCs w:val="24"/>
                <w:highlight w:val="none"/>
                <w:lang w:val="en-US" w:eastAsia="zh-CN"/>
              </w:rPr>
              <w:t>废水</w:t>
            </w:r>
          </w:p>
          <w:p w14:paraId="7AABB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auto"/>
                <w:sz w:val="24"/>
                <w:highlight w:val="none"/>
              </w:rPr>
            </w:pPr>
            <w:r>
              <w:rPr>
                <w:rFonts w:hint="eastAsia"/>
                <w:color w:val="000000"/>
                <w:sz w:val="24"/>
                <w:szCs w:val="32"/>
                <w:highlight w:val="none"/>
                <w:lang w:eastAsia="zh-CN"/>
              </w:rPr>
              <w:t>即食面筋用水</w:t>
            </w:r>
            <w:r>
              <w:rPr>
                <w:rFonts w:hint="default"/>
                <w:color w:val="000000"/>
                <w:sz w:val="24"/>
                <w:szCs w:val="32"/>
                <w:highlight w:val="none"/>
              </w:rPr>
              <w:t>损耗量按10%计算，则</w:t>
            </w:r>
            <w:r>
              <w:rPr>
                <w:rFonts w:hint="eastAsia"/>
                <w:color w:val="000000"/>
                <w:sz w:val="24"/>
                <w:szCs w:val="32"/>
                <w:highlight w:val="none"/>
                <w:lang w:eastAsia="zh-CN"/>
              </w:rPr>
              <w:t>浸泡清洗</w:t>
            </w:r>
            <w:r>
              <w:rPr>
                <w:rFonts w:hint="default"/>
                <w:color w:val="000000"/>
                <w:sz w:val="24"/>
                <w:szCs w:val="32"/>
                <w:highlight w:val="none"/>
              </w:rPr>
              <w:t>阶段产生的废水为</w:t>
            </w:r>
            <w:r>
              <w:rPr>
                <w:rFonts w:hint="eastAsia"/>
                <w:color w:val="000000"/>
                <w:sz w:val="24"/>
                <w:szCs w:val="32"/>
                <w:highlight w:val="none"/>
                <w:lang w:val="en-US" w:eastAsia="zh-CN"/>
              </w:rPr>
              <w:t>18</w:t>
            </w:r>
            <w:r>
              <w:rPr>
                <w:rFonts w:hint="default"/>
                <w:color w:val="000000"/>
                <w:sz w:val="24"/>
                <w:szCs w:val="32"/>
                <w:highlight w:val="none"/>
              </w:rPr>
              <w:t>m</w:t>
            </w:r>
            <w:r>
              <w:rPr>
                <w:rFonts w:hint="default"/>
                <w:color w:val="000000"/>
                <w:sz w:val="24"/>
                <w:szCs w:val="32"/>
                <w:highlight w:val="none"/>
                <w:vertAlign w:val="superscript"/>
              </w:rPr>
              <w:t>3</w:t>
            </w:r>
            <w:r>
              <w:rPr>
                <w:rFonts w:hint="default"/>
                <w:color w:val="000000"/>
                <w:sz w:val="24"/>
                <w:szCs w:val="32"/>
                <w:highlight w:val="none"/>
              </w:rPr>
              <w:t>/</w:t>
            </w:r>
            <w:r>
              <w:rPr>
                <w:rFonts w:hint="eastAsia"/>
                <w:color w:val="000000"/>
                <w:sz w:val="24"/>
                <w:szCs w:val="32"/>
                <w:highlight w:val="none"/>
                <w:lang w:val="en-US" w:eastAsia="zh-CN"/>
              </w:rPr>
              <w:t>d</w:t>
            </w:r>
            <w:r>
              <w:rPr>
                <w:rFonts w:hint="eastAsia"/>
                <w:color w:val="auto"/>
                <w:sz w:val="24"/>
                <w:highlight w:val="none"/>
              </w:rPr>
              <w:t>。</w:t>
            </w:r>
          </w:p>
          <w:p w14:paraId="57BA6DA5">
            <w:pPr>
              <w:keepNext w:val="0"/>
              <w:keepLines w:val="0"/>
              <w:suppressLineNumbers w:val="0"/>
              <w:spacing w:before="0" w:beforeAutospacing="0" w:after="0" w:afterAutospacing="0" w:line="360" w:lineRule="auto"/>
              <w:ind w:left="0" w:right="0" w:firstLine="480" w:firstLineChars="200"/>
              <w:rPr>
                <w:rFonts w:hint="eastAsia"/>
                <w:color w:val="000000"/>
                <w:sz w:val="24"/>
                <w:szCs w:val="32"/>
                <w:highlight w:val="none"/>
              </w:rPr>
            </w:pPr>
            <w:r>
              <w:rPr>
                <w:rFonts w:hint="eastAsia" w:cs="Times New Roman"/>
                <w:b w:val="0"/>
                <w:bCs w:val="0"/>
                <w:color w:val="auto"/>
                <w:sz w:val="24"/>
                <w:szCs w:val="24"/>
                <w:highlight w:val="none"/>
                <w:lang w:val="en-US" w:eastAsia="zh-CN"/>
              </w:rPr>
              <w:t>④</w:t>
            </w:r>
            <w:r>
              <w:rPr>
                <w:rFonts w:hint="eastAsia"/>
                <w:color w:val="000000"/>
                <w:sz w:val="24"/>
                <w:szCs w:val="32"/>
                <w:highlight w:val="none"/>
              </w:rPr>
              <w:t>卤制</w:t>
            </w:r>
            <w:r>
              <w:rPr>
                <w:rFonts w:hint="eastAsia" w:ascii="Times New Roman" w:hAnsi="Times New Roman" w:cs="Times New Roman"/>
                <w:bCs/>
                <w:color w:val="auto"/>
                <w:sz w:val="24"/>
                <w:szCs w:val="24"/>
                <w:highlight w:val="none"/>
                <w:lang w:val="en-US" w:eastAsia="zh-CN"/>
              </w:rPr>
              <w:t>废水</w:t>
            </w:r>
          </w:p>
          <w:p w14:paraId="4489B685">
            <w:pPr>
              <w:keepNext w:val="0"/>
              <w:keepLines w:val="0"/>
              <w:suppressLineNumbers w:val="0"/>
              <w:spacing w:before="0" w:beforeAutospacing="0" w:after="0" w:afterAutospacing="0" w:line="360" w:lineRule="auto"/>
              <w:ind w:left="0" w:right="0" w:firstLine="480" w:firstLineChars="200"/>
              <w:rPr>
                <w:rFonts w:hint="default" w:eastAsia="宋体" w:cs="Times New Roman"/>
                <w:b w:val="0"/>
                <w:bCs w:val="0"/>
                <w:color w:val="auto"/>
                <w:sz w:val="24"/>
                <w:szCs w:val="24"/>
                <w:highlight w:val="none"/>
                <w:lang w:val="en-US" w:eastAsia="zh-CN"/>
              </w:rPr>
            </w:pPr>
            <w:r>
              <w:rPr>
                <w:rFonts w:hint="eastAsia"/>
                <w:color w:val="auto"/>
                <w:sz w:val="24"/>
                <w:szCs w:val="32"/>
                <w:highlight w:val="none"/>
              </w:rPr>
              <w:t>根据企业提供资料及同类行业的实际生产经验，卤制过程中进入产品的水量约</w:t>
            </w:r>
            <w:r>
              <w:rPr>
                <w:rFonts w:hint="eastAsia"/>
                <w:color w:val="auto"/>
                <w:sz w:val="24"/>
                <w:szCs w:val="32"/>
                <w:highlight w:val="none"/>
                <w:lang w:eastAsia="zh-CN"/>
              </w:rPr>
              <w:t>为</w:t>
            </w:r>
            <w:r>
              <w:rPr>
                <w:rFonts w:hint="eastAsia"/>
                <w:color w:val="auto"/>
                <w:sz w:val="24"/>
                <w:szCs w:val="32"/>
                <w:highlight w:val="none"/>
              </w:rPr>
              <w:t>卤制用水的50%，蒸发损耗约为卤制用水的10%，即卤制过程中废水产生量为</w:t>
            </w:r>
            <w:r>
              <w:rPr>
                <w:rFonts w:hint="eastAsia"/>
                <w:color w:val="auto"/>
                <w:sz w:val="24"/>
                <w:szCs w:val="32"/>
                <w:highlight w:val="none"/>
                <w:lang w:val="en-US" w:eastAsia="zh-CN"/>
              </w:rPr>
              <w:t>2.16</w:t>
            </w:r>
            <w:r>
              <w:rPr>
                <w:rFonts w:hint="eastAsia"/>
                <w:color w:val="auto"/>
                <w:sz w:val="24"/>
                <w:szCs w:val="32"/>
                <w:highlight w:val="none"/>
              </w:rPr>
              <w:t>m</w:t>
            </w:r>
            <w:r>
              <w:rPr>
                <w:rFonts w:hint="eastAsia"/>
                <w:color w:val="auto"/>
                <w:sz w:val="24"/>
                <w:szCs w:val="32"/>
                <w:highlight w:val="none"/>
                <w:vertAlign w:val="superscript"/>
              </w:rPr>
              <w:t>3</w:t>
            </w:r>
            <w:r>
              <w:rPr>
                <w:rFonts w:hint="eastAsia"/>
                <w:color w:val="auto"/>
                <w:sz w:val="24"/>
                <w:szCs w:val="32"/>
                <w:highlight w:val="none"/>
              </w:rPr>
              <w:t>/d</w:t>
            </w:r>
            <w:r>
              <w:rPr>
                <w:rFonts w:hint="eastAsia"/>
                <w:color w:val="auto"/>
                <w:sz w:val="24"/>
                <w:szCs w:val="32"/>
                <w:highlight w:val="none"/>
                <w:lang w:eastAsia="zh-CN"/>
              </w:rPr>
              <w:t>。</w:t>
            </w:r>
          </w:p>
          <w:p w14:paraId="3488739F">
            <w:pPr>
              <w:keepNext w:val="0"/>
              <w:keepLines w:val="0"/>
              <w:suppressLineNumbers w:val="0"/>
              <w:spacing w:before="0" w:beforeAutospacing="0" w:after="0" w:afterAutospacing="0" w:line="360" w:lineRule="auto"/>
              <w:ind w:left="0" w:right="0" w:firstLine="480" w:firstLineChars="200"/>
              <w:rPr>
                <w:rFonts w:hint="eastAsia"/>
                <w:color w:val="auto"/>
                <w:sz w:val="24"/>
                <w:szCs w:val="32"/>
                <w:highlight w:val="none"/>
              </w:rPr>
            </w:pPr>
            <w:r>
              <w:rPr>
                <w:rFonts w:hint="eastAsia" w:cs="Times New Roman"/>
                <w:b w:val="0"/>
                <w:bCs w:val="0"/>
                <w:color w:val="auto"/>
                <w:sz w:val="24"/>
                <w:szCs w:val="24"/>
                <w:highlight w:val="none"/>
                <w:lang w:val="en-US" w:eastAsia="zh-CN"/>
              </w:rPr>
              <w:t>⑤</w:t>
            </w:r>
            <w:r>
              <w:rPr>
                <w:rFonts w:hint="eastAsia"/>
                <w:color w:val="auto"/>
                <w:sz w:val="24"/>
                <w:szCs w:val="32"/>
                <w:highlight w:val="none"/>
              </w:rPr>
              <w:t>检验</w:t>
            </w:r>
            <w:r>
              <w:rPr>
                <w:rFonts w:hint="eastAsia" w:ascii="Times New Roman" w:hAnsi="Times New Roman" w:cs="Times New Roman"/>
                <w:bCs/>
                <w:color w:val="auto"/>
                <w:sz w:val="24"/>
                <w:szCs w:val="24"/>
                <w:highlight w:val="none"/>
                <w:lang w:val="en-US" w:eastAsia="zh-CN"/>
              </w:rPr>
              <w:t>废水</w:t>
            </w:r>
          </w:p>
          <w:p w14:paraId="298B6215">
            <w:pPr>
              <w:keepNext w:val="0"/>
              <w:keepLines w:val="0"/>
              <w:suppressLineNumbers w:val="0"/>
              <w:spacing w:before="0" w:beforeAutospacing="0" w:after="0" w:afterAutospacing="0" w:line="360" w:lineRule="auto"/>
              <w:ind w:left="0" w:right="0" w:firstLine="480" w:firstLineChars="200"/>
              <w:rPr>
                <w:rFonts w:hint="eastAsia"/>
                <w:color w:val="auto"/>
                <w:sz w:val="24"/>
                <w:szCs w:val="32"/>
                <w:highlight w:val="none"/>
              </w:rPr>
            </w:pPr>
            <w:r>
              <w:rPr>
                <w:rFonts w:hint="eastAsia"/>
                <w:color w:val="auto"/>
                <w:sz w:val="24"/>
                <w:szCs w:val="32"/>
                <w:highlight w:val="none"/>
              </w:rPr>
              <w:t>项目成品高温杀菌</w:t>
            </w:r>
            <w:r>
              <w:rPr>
                <w:rFonts w:hint="eastAsia"/>
                <w:color w:val="auto"/>
                <w:sz w:val="24"/>
                <w:szCs w:val="32"/>
                <w:highlight w:val="none"/>
                <w:lang w:eastAsia="zh-CN"/>
              </w:rPr>
              <w:t>检验</w:t>
            </w:r>
            <w:r>
              <w:rPr>
                <w:rFonts w:hint="eastAsia"/>
                <w:color w:val="auto"/>
                <w:sz w:val="24"/>
                <w:szCs w:val="32"/>
                <w:highlight w:val="none"/>
              </w:rPr>
              <w:t>循环过程中有损耗，损耗量为水槽盛水量的</w:t>
            </w:r>
            <w:r>
              <w:rPr>
                <w:rFonts w:hint="eastAsia"/>
                <w:color w:val="auto"/>
                <w:sz w:val="24"/>
                <w:szCs w:val="32"/>
                <w:highlight w:val="none"/>
                <w:lang w:val="en-US" w:eastAsia="zh-CN"/>
              </w:rPr>
              <w:t>20</w:t>
            </w:r>
            <w:r>
              <w:rPr>
                <w:rFonts w:hint="eastAsia"/>
                <w:color w:val="auto"/>
                <w:sz w:val="24"/>
                <w:szCs w:val="32"/>
                <w:highlight w:val="none"/>
              </w:rPr>
              <w:t>%，则废水量为9</w:t>
            </w:r>
            <w:r>
              <w:rPr>
                <w:rFonts w:hint="eastAsia"/>
                <w:color w:val="auto"/>
                <w:sz w:val="24"/>
                <w:szCs w:val="32"/>
                <w:highlight w:val="none"/>
                <w:lang w:val="en-US" w:eastAsia="zh-CN"/>
              </w:rPr>
              <w:t>6</w:t>
            </w:r>
            <w:r>
              <w:rPr>
                <w:rFonts w:hint="eastAsia"/>
                <w:color w:val="auto"/>
                <w:sz w:val="24"/>
                <w:szCs w:val="32"/>
                <w:highlight w:val="none"/>
              </w:rPr>
              <w:t>m</w:t>
            </w:r>
            <w:r>
              <w:rPr>
                <w:rFonts w:hint="eastAsia"/>
                <w:color w:val="auto"/>
                <w:sz w:val="24"/>
                <w:szCs w:val="32"/>
                <w:highlight w:val="none"/>
                <w:vertAlign w:val="superscript"/>
              </w:rPr>
              <w:t>3</w:t>
            </w:r>
            <w:r>
              <w:rPr>
                <w:rFonts w:hint="eastAsia"/>
                <w:color w:val="auto"/>
                <w:sz w:val="24"/>
                <w:szCs w:val="32"/>
                <w:highlight w:val="none"/>
              </w:rPr>
              <w:t>/a</w:t>
            </w:r>
            <w:r>
              <w:rPr>
                <w:rFonts w:hint="eastAsia"/>
                <w:color w:val="auto"/>
                <w:sz w:val="24"/>
                <w:szCs w:val="32"/>
                <w:highlight w:val="none"/>
                <w:lang w:eastAsia="zh-CN"/>
              </w:rPr>
              <w:t>（</w:t>
            </w:r>
            <w:r>
              <w:rPr>
                <w:rFonts w:hint="eastAsia"/>
                <w:color w:val="auto"/>
                <w:sz w:val="24"/>
                <w:szCs w:val="32"/>
                <w:highlight w:val="none"/>
                <w:lang w:val="en-US" w:eastAsia="zh-CN"/>
              </w:rPr>
              <w:t>0.32m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/d</w:t>
            </w:r>
            <w:r>
              <w:rPr>
                <w:rFonts w:hint="eastAsia"/>
                <w:color w:val="auto"/>
                <w:sz w:val="24"/>
                <w:szCs w:val="32"/>
                <w:highlight w:val="none"/>
                <w:lang w:eastAsia="zh-CN"/>
              </w:rPr>
              <w:t>）</w:t>
            </w:r>
            <w:r>
              <w:rPr>
                <w:rFonts w:hint="eastAsia"/>
                <w:color w:val="auto"/>
                <w:sz w:val="24"/>
                <w:szCs w:val="32"/>
                <w:highlight w:val="none"/>
              </w:rPr>
              <w:t>。</w:t>
            </w:r>
          </w:p>
          <w:p w14:paraId="2355493D">
            <w:pPr>
              <w:keepNext w:val="0"/>
              <w:keepLines w:val="0"/>
              <w:suppressLineNumbers w:val="0"/>
              <w:spacing w:before="0" w:beforeAutospacing="0" w:after="0" w:afterAutospacing="0" w:line="360" w:lineRule="auto"/>
              <w:ind w:left="0" w:right="0" w:firstLine="480" w:firstLineChars="200"/>
              <w:rPr>
                <w:rFonts w:hint="default"/>
                <w:color w:val="auto"/>
                <w:sz w:val="24"/>
                <w:szCs w:val="32"/>
                <w:highlight w:val="none"/>
              </w:rPr>
            </w:pPr>
            <w:r>
              <w:rPr>
                <w:rFonts w:hint="eastAsia" w:ascii="Times New Roman" w:hAnsi="Times New Roman" w:cs="Times New Roman"/>
                <w:color w:val="auto"/>
                <w:sz w:val="24"/>
                <w:szCs w:val="32"/>
                <w:highlight w:val="none"/>
                <w:lang w:eastAsia="zh-CN"/>
              </w:rPr>
              <w:t>⑥</w:t>
            </w:r>
            <w:r>
              <w:rPr>
                <w:rFonts w:hint="eastAsia"/>
                <w:color w:val="auto"/>
                <w:sz w:val="24"/>
                <w:szCs w:val="32"/>
                <w:highlight w:val="none"/>
              </w:rPr>
              <w:t>地面冲洗</w:t>
            </w:r>
            <w:r>
              <w:rPr>
                <w:rFonts w:hint="eastAsia" w:ascii="Times New Roman" w:hAnsi="Times New Roman" w:cs="Times New Roman"/>
                <w:bCs/>
                <w:color w:val="auto"/>
                <w:sz w:val="24"/>
                <w:szCs w:val="24"/>
                <w:highlight w:val="none"/>
                <w:lang w:val="en-US" w:eastAsia="zh-CN"/>
              </w:rPr>
              <w:t>废水</w:t>
            </w:r>
          </w:p>
          <w:p w14:paraId="262698D6">
            <w:pPr>
              <w:keepNext w:val="0"/>
              <w:keepLines w:val="0"/>
              <w:suppressLineNumbers w:val="0"/>
              <w:spacing w:before="0" w:beforeAutospacing="0" w:after="0" w:afterAutospacing="0" w:line="360" w:lineRule="auto"/>
              <w:ind w:left="0" w:right="0" w:firstLine="480" w:firstLineChars="200"/>
              <w:rPr>
                <w:rFonts w:hint="default" w:eastAsia="宋体"/>
                <w:color w:val="auto"/>
                <w:sz w:val="24"/>
                <w:szCs w:val="32"/>
                <w:highlight w:val="none"/>
                <w:lang w:val="en-US" w:eastAsia="zh-CN"/>
              </w:rPr>
            </w:pPr>
            <w:r>
              <w:rPr>
                <w:rFonts w:hint="eastAsia"/>
                <w:color w:val="auto"/>
                <w:sz w:val="24"/>
                <w:szCs w:val="32"/>
                <w:highlight w:val="none"/>
                <w:lang w:eastAsia="zh-CN"/>
              </w:rPr>
              <w:t>地面冲洗</w:t>
            </w:r>
            <w:r>
              <w:rPr>
                <w:rFonts w:hint="eastAsia" w:cs="Times New Roman"/>
                <w:b w:val="0"/>
                <w:bCs w:val="0"/>
                <w:color w:val="auto"/>
                <w:sz w:val="24"/>
                <w:szCs w:val="24"/>
                <w:highlight w:val="none"/>
                <w:lang w:val="en-US" w:eastAsia="zh-CN"/>
              </w:rPr>
              <w:t>损耗量按用水量的20%计，</w:t>
            </w:r>
            <w:r>
              <w:rPr>
                <w:rFonts w:hint="eastAsia"/>
                <w:color w:val="auto"/>
                <w:sz w:val="24"/>
                <w:szCs w:val="32"/>
                <w:highlight w:val="none"/>
              </w:rPr>
              <w:t>则地面冲洗</w:t>
            </w:r>
            <w:r>
              <w:rPr>
                <w:rFonts w:hint="eastAsia"/>
                <w:color w:val="auto"/>
                <w:sz w:val="24"/>
                <w:szCs w:val="32"/>
                <w:highlight w:val="none"/>
                <w:lang w:eastAsia="zh-CN"/>
              </w:rPr>
              <w:t>废水</w:t>
            </w:r>
            <w:r>
              <w:rPr>
                <w:rFonts w:hint="eastAsia"/>
                <w:color w:val="auto"/>
                <w:sz w:val="24"/>
                <w:szCs w:val="32"/>
                <w:highlight w:val="none"/>
              </w:rPr>
              <w:t>量约为</w:t>
            </w:r>
            <w:r>
              <w:rPr>
                <w:rFonts w:hint="eastAsia"/>
                <w:color w:val="auto"/>
                <w:sz w:val="24"/>
                <w:szCs w:val="32"/>
                <w:highlight w:val="none"/>
                <w:lang w:val="en-US" w:eastAsia="zh-CN"/>
              </w:rPr>
              <w:t>4320</w:t>
            </w:r>
            <w:r>
              <w:rPr>
                <w:rFonts w:hint="eastAsia"/>
                <w:color w:val="auto"/>
                <w:sz w:val="24"/>
                <w:szCs w:val="32"/>
                <w:highlight w:val="none"/>
              </w:rPr>
              <w:t>m</w:t>
            </w:r>
            <w:r>
              <w:rPr>
                <w:rFonts w:hint="eastAsia"/>
                <w:color w:val="auto"/>
                <w:sz w:val="24"/>
                <w:szCs w:val="32"/>
                <w:highlight w:val="none"/>
                <w:vertAlign w:val="superscript"/>
              </w:rPr>
              <w:t>3</w:t>
            </w:r>
            <w:r>
              <w:rPr>
                <w:rFonts w:hint="eastAsia"/>
                <w:color w:val="auto"/>
                <w:sz w:val="24"/>
                <w:szCs w:val="32"/>
                <w:highlight w:val="none"/>
              </w:rPr>
              <w:t>/a</w:t>
            </w:r>
            <w:r>
              <w:rPr>
                <w:rFonts w:hint="eastAsia"/>
                <w:color w:val="auto"/>
                <w:sz w:val="24"/>
                <w:szCs w:val="32"/>
                <w:highlight w:val="none"/>
                <w:lang w:eastAsia="zh-CN"/>
              </w:rPr>
              <w:t>（</w:t>
            </w:r>
            <w:r>
              <w:rPr>
                <w:rFonts w:hint="eastAsia"/>
                <w:color w:val="auto"/>
                <w:sz w:val="24"/>
                <w:szCs w:val="32"/>
                <w:highlight w:val="none"/>
                <w:lang w:val="en-US" w:eastAsia="zh-CN"/>
              </w:rPr>
              <w:t>14.4m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/d</w:t>
            </w:r>
            <w:r>
              <w:rPr>
                <w:rFonts w:hint="eastAsia"/>
                <w:color w:val="auto"/>
                <w:sz w:val="24"/>
                <w:szCs w:val="32"/>
                <w:highlight w:val="none"/>
                <w:lang w:eastAsia="zh-CN"/>
              </w:rPr>
              <w:t>）</w:t>
            </w:r>
            <w:r>
              <w:rPr>
                <w:rFonts w:hint="eastAsia"/>
                <w:color w:val="auto"/>
                <w:sz w:val="24"/>
                <w:szCs w:val="32"/>
                <w:highlight w:val="none"/>
              </w:rPr>
              <w:t>。</w:t>
            </w:r>
          </w:p>
          <w:p w14:paraId="6F58F268">
            <w:pPr>
              <w:keepNext w:val="0"/>
              <w:keepLines w:val="0"/>
              <w:suppressLineNumbers w:val="0"/>
              <w:spacing w:before="0" w:beforeAutospacing="0" w:after="0" w:afterAutospacing="0" w:line="360" w:lineRule="auto"/>
              <w:ind w:left="0" w:right="0" w:firstLine="480" w:firstLineChars="200"/>
              <w:rPr>
                <w:rFonts w:hint="eastAsia"/>
                <w:color w:val="auto"/>
                <w:sz w:val="24"/>
                <w:szCs w:val="32"/>
                <w:highlight w:val="none"/>
              </w:rPr>
            </w:pPr>
            <w:r>
              <w:rPr>
                <w:rFonts w:hint="eastAsia" w:ascii="Times New Roman" w:hAnsi="Times New Roman" w:cs="Times New Roman"/>
                <w:color w:val="auto"/>
                <w:sz w:val="24"/>
                <w:szCs w:val="32"/>
                <w:highlight w:val="none"/>
                <w:lang w:eastAsia="zh-CN"/>
              </w:rPr>
              <w:t>⑦</w:t>
            </w:r>
            <w:r>
              <w:rPr>
                <w:rFonts w:hint="eastAsia"/>
                <w:color w:val="auto"/>
                <w:sz w:val="24"/>
                <w:szCs w:val="32"/>
                <w:highlight w:val="none"/>
              </w:rPr>
              <w:t>设备清洗</w:t>
            </w:r>
            <w:r>
              <w:rPr>
                <w:rFonts w:hint="eastAsia"/>
                <w:color w:val="auto"/>
                <w:sz w:val="24"/>
                <w:szCs w:val="32"/>
                <w:highlight w:val="none"/>
                <w:lang w:eastAsia="zh-CN"/>
              </w:rPr>
              <w:t>废</w:t>
            </w:r>
            <w:r>
              <w:rPr>
                <w:rFonts w:hint="eastAsia"/>
                <w:color w:val="auto"/>
                <w:sz w:val="24"/>
                <w:szCs w:val="32"/>
                <w:highlight w:val="none"/>
              </w:rPr>
              <w:t>水</w:t>
            </w:r>
          </w:p>
          <w:p w14:paraId="0BBCC474">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color w:val="auto"/>
                <w:sz w:val="24"/>
                <w:szCs w:val="32"/>
                <w:highlight w:val="none"/>
              </w:rPr>
              <w:t>项目</w:t>
            </w:r>
            <w:r>
              <w:rPr>
                <w:rFonts w:hint="eastAsia"/>
                <w:color w:val="auto"/>
                <w:sz w:val="24"/>
                <w:szCs w:val="32"/>
                <w:highlight w:val="none"/>
                <w:lang w:eastAsia="zh-CN"/>
              </w:rPr>
              <w:t>设备清洗</w:t>
            </w:r>
            <w:r>
              <w:rPr>
                <w:rFonts w:hint="eastAsia" w:cs="Times New Roman"/>
                <w:b w:val="0"/>
                <w:bCs w:val="0"/>
                <w:color w:val="auto"/>
                <w:sz w:val="24"/>
                <w:szCs w:val="24"/>
                <w:highlight w:val="none"/>
                <w:lang w:val="en-US" w:eastAsia="zh-CN"/>
              </w:rPr>
              <w:t>损耗量按用水量的20%计，</w:t>
            </w:r>
            <w:r>
              <w:rPr>
                <w:rFonts w:hint="eastAsia"/>
                <w:color w:val="auto"/>
                <w:sz w:val="24"/>
                <w:szCs w:val="32"/>
                <w:highlight w:val="none"/>
              </w:rPr>
              <w:t>则设备清洗</w:t>
            </w:r>
            <w:r>
              <w:rPr>
                <w:rFonts w:hint="eastAsia"/>
                <w:color w:val="auto"/>
                <w:sz w:val="24"/>
                <w:szCs w:val="32"/>
                <w:highlight w:val="none"/>
                <w:lang w:eastAsia="zh-CN"/>
              </w:rPr>
              <w:t>废水产生量为</w:t>
            </w:r>
            <w:r>
              <w:rPr>
                <w:rFonts w:hint="eastAsia"/>
                <w:color w:val="auto"/>
                <w:sz w:val="24"/>
                <w:szCs w:val="32"/>
                <w:highlight w:val="none"/>
                <w:lang w:val="en-US" w:eastAsia="zh-CN"/>
              </w:rPr>
              <w:t>2.4</w:t>
            </w:r>
            <w:r>
              <w:rPr>
                <w:rFonts w:hint="eastAsia"/>
                <w:color w:val="auto"/>
                <w:sz w:val="24"/>
                <w:szCs w:val="32"/>
                <w:highlight w:val="none"/>
              </w:rPr>
              <w:t>m</w:t>
            </w:r>
            <w:r>
              <w:rPr>
                <w:rFonts w:hint="eastAsia"/>
                <w:color w:val="auto"/>
                <w:sz w:val="24"/>
                <w:szCs w:val="32"/>
                <w:highlight w:val="none"/>
                <w:vertAlign w:val="superscript"/>
              </w:rPr>
              <w:t>3</w:t>
            </w:r>
            <w:r>
              <w:rPr>
                <w:rFonts w:hint="eastAsia"/>
                <w:color w:val="auto"/>
                <w:sz w:val="24"/>
                <w:szCs w:val="32"/>
                <w:highlight w:val="none"/>
              </w:rPr>
              <w:t>/d</w:t>
            </w:r>
            <w:r>
              <w:rPr>
                <w:rFonts w:hint="default"/>
                <w:color w:val="auto"/>
                <w:sz w:val="24"/>
                <w:szCs w:val="32"/>
                <w:highlight w:val="none"/>
              </w:rPr>
              <w:t>（</w:t>
            </w:r>
            <w:r>
              <w:rPr>
                <w:rFonts w:hint="eastAsia"/>
                <w:color w:val="auto"/>
                <w:sz w:val="24"/>
                <w:szCs w:val="32"/>
                <w:highlight w:val="none"/>
                <w:lang w:val="en-US" w:eastAsia="zh-CN"/>
              </w:rPr>
              <w:t>720</w:t>
            </w:r>
            <w:r>
              <w:rPr>
                <w:rFonts w:hint="eastAsia"/>
                <w:color w:val="auto"/>
                <w:sz w:val="24"/>
                <w:szCs w:val="32"/>
                <w:highlight w:val="none"/>
              </w:rPr>
              <w:t>m</w:t>
            </w:r>
            <w:r>
              <w:rPr>
                <w:rFonts w:hint="eastAsia"/>
                <w:color w:val="auto"/>
                <w:sz w:val="24"/>
                <w:szCs w:val="32"/>
                <w:highlight w:val="none"/>
                <w:vertAlign w:val="superscript"/>
              </w:rPr>
              <w:t>3</w:t>
            </w:r>
            <w:r>
              <w:rPr>
                <w:rFonts w:hint="eastAsia"/>
                <w:color w:val="auto"/>
                <w:sz w:val="24"/>
                <w:szCs w:val="32"/>
                <w:highlight w:val="none"/>
              </w:rPr>
              <w:t>/a</w:t>
            </w:r>
            <w:r>
              <w:rPr>
                <w:rFonts w:hint="default"/>
                <w:color w:val="auto"/>
                <w:sz w:val="24"/>
                <w:szCs w:val="32"/>
                <w:highlight w:val="none"/>
              </w:rPr>
              <w:t>）</w:t>
            </w:r>
            <w:r>
              <w:rPr>
                <w:rFonts w:hint="eastAsia"/>
                <w:color w:val="auto"/>
                <w:sz w:val="24"/>
                <w:szCs w:val="32"/>
                <w:highlight w:val="none"/>
                <w:lang w:eastAsia="zh-CN"/>
              </w:rPr>
              <w:t>。</w:t>
            </w:r>
          </w:p>
          <w:p w14:paraId="0EB877B7">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⑧杀菌废水</w:t>
            </w:r>
          </w:p>
          <w:p w14:paraId="293A8925">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bidi="ar-SA"/>
              </w:rPr>
            </w:pPr>
            <w:r>
              <w:rPr>
                <w:rFonts w:hint="eastAsia" w:cs="Times New Roman"/>
                <w:b w:val="0"/>
                <w:bCs w:val="0"/>
                <w:color w:val="auto"/>
                <w:sz w:val="24"/>
                <w:szCs w:val="24"/>
                <w:highlight w:val="none"/>
                <w:lang w:val="en-US" w:eastAsia="zh-CN"/>
              </w:rPr>
              <w:t>本项目杀菌用水损耗量按用水量的20%计，则杀菌废水产生量约为160m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val="en-US" w:eastAsia="zh-CN"/>
              </w:rPr>
              <w:t>/a（0.53</w:t>
            </w:r>
            <w:r>
              <w:rPr>
                <w:rFonts w:hint="default" w:eastAsia="Times New Roman"/>
                <w:color w:val="auto"/>
                <w:sz w:val="24"/>
                <w:szCs w:val="24"/>
                <w:highlight w:val="none"/>
              </w:rPr>
              <w:t>m</w:t>
            </w:r>
            <w:r>
              <w:rPr>
                <w:rFonts w:hint="default" w:eastAsia="Times New Roman"/>
                <w:color w:val="auto"/>
                <w:position w:val="8"/>
                <w:sz w:val="15"/>
                <w:szCs w:val="24"/>
                <w:highlight w:val="none"/>
              </w:rPr>
              <w:t>3</w:t>
            </w:r>
            <w:r>
              <w:rPr>
                <w:rFonts w:hint="default" w:eastAsia="Times New Roman"/>
                <w:color w:val="auto"/>
                <w:sz w:val="24"/>
                <w:szCs w:val="24"/>
                <w:highlight w:val="none"/>
              </w:rPr>
              <w:t>/d</w:t>
            </w:r>
            <w:r>
              <w:rPr>
                <w:rFonts w:hint="eastAsia" w:cs="Times New Roman"/>
                <w:b w:val="0"/>
                <w:bCs w:val="0"/>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bidi="ar-SA"/>
              </w:rPr>
              <w:t>。</w:t>
            </w:r>
          </w:p>
          <w:p w14:paraId="639AC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color w:val="auto"/>
                <w:sz w:val="24"/>
                <w:highlight w:val="none"/>
              </w:rPr>
            </w:pPr>
            <w:r>
              <w:rPr>
                <w:rFonts w:hint="eastAsia"/>
                <w:bCs/>
                <w:color w:val="auto"/>
                <w:sz w:val="24"/>
                <w:highlight w:val="none"/>
                <w:lang w:val="en-US" w:eastAsia="zh-CN"/>
              </w:rPr>
              <w:t>项目</w:t>
            </w:r>
            <w:r>
              <w:rPr>
                <w:rFonts w:hint="eastAsia"/>
                <w:bCs/>
                <w:color w:val="auto"/>
                <w:sz w:val="24"/>
                <w:highlight w:val="none"/>
                <w:lang w:eastAsia="zh-CN"/>
              </w:rPr>
              <w:t>生活废水</w:t>
            </w:r>
            <w:r>
              <w:rPr>
                <w:rFonts w:hint="eastAsia" w:ascii="Times New Roman" w:hAnsi="Times New Roman" w:eastAsia="宋体" w:cs="Times New Roman"/>
                <w:color w:val="auto"/>
                <w:kern w:val="0"/>
                <w:sz w:val="24"/>
                <w:szCs w:val="24"/>
                <w:highlight w:val="none"/>
                <w:lang w:eastAsia="zh-CN" w:bidi="ar-SA"/>
              </w:rPr>
              <w:t>经化粪池处理后</w:t>
            </w:r>
            <w:r>
              <w:rPr>
                <w:rFonts w:hint="eastAsia" w:cs="Times New Roman"/>
                <w:color w:val="auto"/>
                <w:kern w:val="0"/>
                <w:sz w:val="24"/>
                <w:szCs w:val="24"/>
                <w:highlight w:val="none"/>
                <w:lang w:eastAsia="zh-CN" w:bidi="ar-SA"/>
              </w:rPr>
              <w:t>排入园区</w:t>
            </w:r>
            <w:r>
              <w:rPr>
                <w:rFonts w:hint="eastAsia" w:ascii="Times New Roman" w:hAnsi="Times New Roman" w:eastAsia="宋体" w:cs="Times New Roman"/>
                <w:color w:val="auto"/>
                <w:kern w:val="0"/>
                <w:sz w:val="24"/>
                <w:szCs w:val="24"/>
                <w:highlight w:val="none"/>
                <w:lang w:val="en-US" w:eastAsia="zh-CN" w:bidi="ar-SA"/>
              </w:rPr>
              <w:t>管网，最后排入</w:t>
            </w:r>
            <w:r>
              <w:rPr>
                <w:rFonts w:hint="eastAsia"/>
                <w:color w:val="auto"/>
                <w:sz w:val="24"/>
                <w:highlight w:val="none"/>
                <w:lang w:eastAsia="zh-CN"/>
              </w:rPr>
              <w:t>魏县经济开发区污水处理有限公司</w:t>
            </w:r>
            <w:r>
              <w:rPr>
                <w:rFonts w:hint="eastAsia" w:ascii="Times New Roman" w:hAnsi="Times New Roman" w:eastAsia="宋体" w:cs="Times New Roman"/>
                <w:color w:val="auto"/>
                <w:kern w:val="0"/>
                <w:sz w:val="24"/>
                <w:szCs w:val="24"/>
                <w:highlight w:val="none"/>
                <w:lang w:val="en-US" w:eastAsia="zh-CN" w:bidi="ar-SA"/>
              </w:rPr>
              <w:t>处理。</w:t>
            </w:r>
            <w:r>
              <w:rPr>
                <w:rFonts w:hint="eastAsia" w:cs="Times New Roman"/>
                <w:color w:val="auto"/>
                <w:kern w:val="0"/>
                <w:sz w:val="24"/>
                <w:szCs w:val="24"/>
                <w:highlight w:val="none"/>
                <w:lang w:val="en-US" w:eastAsia="zh-CN" w:bidi="ar-SA"/>
              </w:rPr>
              <w:t>生产废水</w:t>
            </w:r>
            <w:r>
              <w:rPr>
                <w:rFonts w:hint="eastAsia"/>
                <w:color w:val="auto"/>
                <w:sz w:val="24"/>
                <w:highlight w:val="none"/>
                <w:lang w:val="en-US" w:eastAsia="zh-CN"/>
              </w:rPr>
              <w:t>经厂区污水处理设施“格栅+沉淀+调节+破乳+絮凝+气浮+A/O+沉淀”达到《污水综合排放标准》（GB8978-1996）表4三级标准，同时满足魏县经济开发区污水处理有限公司进水水质要求后排入魏县经济开发区污水处理有限公司深度处理</w:t>
            </w:r>
            <w:r>
              <w:rPr>
                <w:rFonts w:hint="eastAsia"/>
                <w:color w:val="auto"/>
                <w:sz w:val="24"/>
                <w:highlight w:val="none"/>
              </w:rPr>
              <w:t>。</w:t>
            </w:r>
            <w:r>
              <w:rPr>
                <w:rFonts w:hint="default"/>
                <w:color w:val="auto"/>
                <w:sz w:val="24"/>
                <w:highlight w:val="none"/>
              </w:rPr>
              <w:t>水平衡图见图</w:t>
            </w:r>
            <w:r>
              <w:rPr>
                <w:rFonts w:hint="eastAsia"/>
                <w:color w:val="auto"/>
                <w:sz w:val="24"/>
                <w:highlight w:val="none"/>
                <w:lang w:val="en-US" w:eastAsia="zh-CN"/>
              </w:rPr>
              <w:t>2-1</w:t>
            </w:r>
            <w:r>
              <w:rPr>
                <w:rFonts w:hint="default"/>
                <w:color w:val="auto"/>
                <w:sz w:val="24"/>
                <w:highlight w:val="none"/>
              </w:rPr>
              <w:t>。</w:t>
            </w:r>
          </w:p>
          <w:p w14:paraId="1856F82E">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480" w:firstLineChars="200"/>
              <w:textAlignment w:val="auto"/>
              <w:rPr>
                <w:rFonts w:hint="eastAsia" w:cs="Times New Roman"/>
                <w:color w:val="auto"/>
                <w:sz w:val="24"/>
                <w:szCs w:val="28"/>
                <w:highlight w:val="none"/>
                <w:lang w:eastAsia="zh-CN"/>
              </w:rPr>
            </w:pPr>
            <w:r>
              <w:rPr>
                <w:rFonts w:hint="eastAsia" w:cs="Times New Roman"/>
                <w:color w:val="auto"/>
                <w:sz w:val="24"/>
                <w:szCs w:val="28"/>
                <w:highlight w:val="none"/>
                <w:lang w:val="en-US" w:eastAsia="zh-CN"/>
              </w:rPr>
              <w:t>项目建成</w:t>
            </w:r>
            <w:r>
              <w:rPr>
                <w:rFonts w:hint="default" w:ascii="Times New Roman" w:hAnsi="Times New Roman" w:cs="Times New Roman"/>
                <w:color w:val="auto"/>
                <w:sz w:val="24"/>
                <w:szCs w:val="28"/>
                <w:highlight w:val="none"/>
                <w:lang w:val="en-US" w:eastAsia="zh-CN"/>
              </w:rPr>
              <w:t>后</w:t>
            </w:r>
            <w:r>
              <w:rPr>
                <w:rFonts w:hint="default" w:ascii="Times New Roman" w:hAnsi="Times New Roman" w:eastAsia="宋体" w:cs="Times New Roman"/>
                <w:color w:val="auto"/>
                <w:sz w:val="24"/>
                <w:szCs w:val="28"/>
                <w:highlight w:val="none"/>
              </w:rPr>
              <w:t>给排水平衡图见图</w:t>
            </w:r>
            <w:r>
              <w:rPr>
                <w:rFonts w:hint="eastAsia" w:cs="Times New Roman"/>
                <w:color w:val="auto"/>
                <w:sz w:val="24"/>
                <w:szCs w:val="28"/>
                <w:highlight w:val="none"/>
                <w:lang w:val="en-US" w:eastAsia="zh-CN"/>
              </w:rPr>
              <w:t>2-1</w:t>
            </w:r>
            <w:r>
              <w:rPr>
                <w:rFonts w:hint="eastAsia" w:cs="Times New Roman"/>
                <w:color w:val="auto"/>
                <w:sz w:val="24"/>
                <w:szCs w:val="28"/>
                <w:highlight w:val="none"/>
                <w:lang w:eastAsia="zh-CN"/>
              </w:rPr>
              <w:t>。</w:t>
            </w:r>
            <w:bookmarkStart w:id="4" w:name="_1532763998"/>
            <w:bookmarkEnd w:id="4"/>
            <w:bookmarkStart w:id="5" w:name="_1345962182"/>
            <w:bookmarkEnd w:id="5"/>
            <w:bookmarkStart w:id="6" w:name="_1345967353"/>
            <w:bookmarkEnd w:id="6"/>
            <w:bookmarkStart w:id="7" w:name="_1344951338"/>
            <w:bookmarkEnd w:id="7"/>
            <w:bookmarkStart w:id="8" w:name="_1532768064"/>
            <w:bookmarkEnd w:id="8"/>
            <w:bookmarkStart w:id="9" w:name="_1534661567"/>
            <w:bookmarkEnd w:id="9"/>
            <w:bookmarkStart w:id="10" w:name="_1344176180"/>
            <w:bookmarkEnd w:id="10"/>
            <w:bookmarkStart w:id="11" w:name="_1345966854"/>
            <w:bookmarkEnd w:id="11"/>
            <w:bookmarkStart w:id="12" w:name="_1348665551"/>
            <w:bookmarkEnd w:id="12"/>
            <w:bookmarkStart w:id="13" w:name="_1344953613"/>
            <w:bookmarkEnd w:id="13"/>
            <w:bookmarkStart w:id="14" w:name="_1534591590"/>
            <w:bookmarkEnd w:id="14"/>
            <w:bookmarkStart w:id="15" w:name="_1344176424"/>
            <w:bookmarkEnd w:id="15"/>
            <w:bookmarkStart w:id="16" w:name="_1344430400"/>
            <w:bookmarkEnd w:id="16"/>
            <w:bookmarkStart w:id="17" w:name="_1344951019"/>
            <w:bookmarkEnd w:id="17"/>
            <w:bookmarkStart w:id="18" w:name="_1532768828"/>
            <w:bookmarkEnd w:id="18"/>
            <w:bookmarkStart w:id="19" w:name="_1344167021"/>
            <w:bookmarkEnd w:id="19"/>
            <w:bookmarkStart w:id="20" w:name="_1344176271"/>
            <w:bookmarkEnd w:id="20"/>
            <w:bookmarkStart w:id="21" w:name="_1348666509"/>
            <w:bookmarkEnd w:id="21"/>
            <w:bookmarkStart w:id="22" w:name="_1532764197"/>
            <w:bookmarkEnd w:id="22"/>
            <w:bookmarkStart w:id="23" w:name="_1344957164"/>
            <w:bookmarkEnd w:id="23"/>
            <w:bookmarkStart w:id="24" w:name="_1534660714"/>
            <w:bookmarkEnd w:id="24"/>
            <w:bookmarkStart w:id="25" w:name="_1532758824"/>
            <w:bookmarkEnd w:id="25"/>
            <w:bookmarkStart w:id="26" w:name="_1344956922"/>
            <w:bookmarkEnd w:id="26"/>
            <w:bookmarkStart w:id="27" w:name="_1344954312"/>
            <w:bookmarkEnd w:id="27"/>
            <w:bookmarkStart w:id="28" w:name="_1344431612"/>
            <w:bookmarkEnd w:id="28"/>
            <w:bookmarkStart w:id="29" w:name="_1348666341"/>
            <w:bookmarkEnd w:id="29"/>
            <w:bookmarkStart w:id="30" w:name="_1348661735"/>
            <w:bookmarkEnd w:id="30"/>
            <w:bookmarkStart w:id="31" w:name="_1345968415"/>
            <w:bookmarkEnd w:id="31"/>
            <w:bookmarkStart w:id="32" w:name="_1344865626"/>
            <w:bookmarkEnd w:id="32"/>
            <w:bookmarkStart w:id="33" w:name="_1532758931"/>
            <w:bookmarkEnd w:id="33"/>
            <w:bookmarkStart w:id="34" w:name="_1344683835"/>
            <w:bookmarkEnd w:id="34"/>
            <w:bookmarkStart w:id="35" w:name="_1344683300"/>
            <w:bookmarkEnd w:id="35"/>
            <w:bookmarkStart w:id="36" w:name="_1347103960"/>
            <w:bookmarkEnd w:id="36"/>
            <w:bookmarkStart w:id="37" w:name="_1532764184"/>
            <w:bookmarkEnd w:id="37"/>
            <w:bookmarkStart w:id="38" w:name="_1348663696"/>
            <w:bookmarkEnd w:id="38"/>
            <w:bookmarkStart w:id="39" w:name="_1348663846"/>
            <w:bookmarkEnd w:id="39"/>
            <w:bookmarkStart w:id="40" w:name="_1348662424"/>
            <w:bookmarkEnd w:id="40"/>
            <w:bookmarkStart w:id="41" w:name="_1344431788"/>
            <w:bookmarkEnd w:id="41"/>
            <w:bookmarkStart w:id="42" w:name="_1532764396"/>
            <w:bookmarkEnd w:id="42"/>
            <w:bookmarkStart w:id="43" w:name="_1532776386"/>
            <w:bookmarkEnd w:id="43"/>
            <w:bookmarkStart w:id="44" w:name="_1344175074"/>
            <w:bookmarkEnd w:id="44"/>
            <w:bookmarkStart w:id="45" w:name="_1348663041"/>
            <w:bookmarkEnd w:id="45"/>
            <w:bookmarkStart w:id="46" w:name="_1344684451"/>
            <w:bookmarkEnd w:id="46"/>
            <w:bookmarkStart w:id="47" w:name="_1348662162"/>
            <w:bookmarkEnd w:id="47"/>
            <w:bookmarkStart w:id="48" w:name="_1344866900"/>
            <w:bookmarkEnd w:id="48"/>
            <w:bookmarkStart w:id="49" w:name="_1344865839"/>
            <w:bookmarkEnd w:id="49"/>
            <w:bookmarkStart w:id="50" w:name="_1348666224"/>
            <w:bookmarkEnd w:id="50"/>
            <w:bookmarkStart w:id="51" w:name="_1345968590"/>
            <w:bookmarkEnd w:id="51"/>
            <w:bookmarkStart w:id="52" w:name="_1532764168"/>
            <w:bookmarkEnd w:id="52"/>
            <w:bookmarkStart w:id="53" w:name="_1532775219"/>
            <w:bookmarkEnd w:id="53"/>
            <w:bookmarkStart w:id="54" w:name="_1344431550"/>
            <w:bookmarkEnd w:id="54"/>
            <w:bookmarkStart w:id="55" w:name="_Toc283309825"/>
            <w:bookmarkStart w:id="56" w:name="_Toc286154919"/>
            <w:bookmarkStart w:id="57" w:name="_Toc283567573"/>
            <w:bookmarkStart w:id="58" w:name="_Toc283309574"/>
            <w:bookmarkStart w:id="59" w:name="_Toc283309928"/>
          </w:p>
          <w:p w14:paraId="67E56263">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480" w:firstLineChars="200"/>
              <w:textAlignment w:val="auto"/>
              <w:rPr>
                <w:rFonts w:hint="eastAsia" w:cs="Times New Roman"/>
                <w:color w:val="auto"/>
                <w:sz w:val="24"/>
                <w:szCs w:val="28"/>
                <w:highlight w:val="none"/>
                <w:lang w:eastAsia="zh-CN"/>
              </w:rPr>
            </w:pPr>
            <w:r>
              <w:rPr>
                <w:rFonts w:hint="default" w:ascii="黑体" w:eastAsia="黑体"/>
                <w:sz w:val="24"/>
                <w:szCs w:val="24"/>
                <w:highlight w:val="none"/>
              </w:rPr>
              <w:pict>
                <v:shape id="Object 405" o:spid="_x0000_s2055" o:spt="75" type="#_x0000_t75" style="position:absolute;left:0pt;margin-left:2.9pt;margin-top:2.2pt;height:306.3pt;width:403.1pt;z-index:251676672;mso-width-relative:page;mso-height-relative:page;" o:ole="t" filled="f" o:preferrelative="t" stroked="f" coordsize="21600,21600">
                  <v:path/>
                  <v:fill on="f" focussize="0,0"/>
                  <v:stroke on="f"/>
                  <v:imagedata r:id="rId9" o:title=""/>
                  <o:lock v:ext="edit" aspectratio="t"/>
                </v:shape>
                <o:OLEObject Type="Embed" ProgID="Word.Document.8" ShapeID="Object 405" DrawAspect="Content" ObjectID="_1468075725" r:id="rId8">
                  <o:LockedField>false</o:LockedField>
                </o:OLEObject>
              </w:pict>
            </w:r>
          </w:p>
          <w:p w14:paraId="5514BBB6">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480" w:firstLineChars="200"/>
              <w:textAlignment w:val="auto"/>
              <w:rPr>
                <w:rFonts w:hint="eastAsia" w:cs="Times New Roman"/>
                <w:color w:val="auto"/>
                <w:sz w:val="24"/>
                <w:szCs w:val="28"/>
                <w:highlight w:val="none"/>
                <w:lang w:eastAsia="zh-CN"/>
              </w:rPr>
            </w:pPr>
          </w:p>
          <w:p w14:paraId="66D39464">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480" w:firstLineChars="200"/>
              <w:textAlignment w:val="auto"/>
              <w:rPr>
                <w:rFonts w:hint="eastAsia" w:cs="Times New Roman"/>
                <w:color w:val="auto"/>
                <w:sz w:val="24"/>
                <w:szCs w:val="28"/>
                <w:highlight w:val="none"/>
                <w:lang w:eastAsia="zh-CN"/>
              </w:rPr>
            </w:pPr>
          </w:p>
          <w:p w14:paraId="5151CF89">
            <w:pPr>
              <w:pStyle w:val="32"/>
              <w:keepNext w:val="0"/>
              <w:keepLines w:val="0"/>
              <w:suppressLineNumbers w:val="0"/>
              <w:spacing w:before="0" w:beforeAutospacing="0" w:afterAutospacing="0"/>
              <w:ind w:right="0"/>
              <w:rPr>
                <w:rFonts w:hint="eastAsia"/>
                <w:highlight w:val="none"/>
                <w:lang w:eastAsia="zh-CN"/>
              </w:rPr>
            </w:pPr>
          </w:p>
          <w:p w14:paraId="0EE9D439">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480" w:firstLineChars="200"/>
              <w:textAlignment w:val="auto"/>
              <w:rPr>
                <w:rFonts w:hint="eastAsia" w:cs="Times New Roman"/>
                <w:color w:val="auto"/>
                <w:sz w:val="24"/>
                <w:szCs w:val="28"/>
                <w:highlight w:val="none"/>
                <w:lang w:eastAsia="zh-CN"/>
              </w:rPr>
            </w:pPr>
          </w:p>
          <w:p w14:paraId="6C41051D">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480" w:firstLineChars="200"/>
              <w:textAlignment w:val="auto"/>
              <w:rPr>
                <w:rFonts w:hint="eastAsia" w:cs="Times New Roman"/>
                <w:color w:val="auto"/>
                <w:sz w:val="24"/>
                <w:szCs w:val="28"/>
                <w:highlight w:val="none"/>
                <w:lang w:eastAsia="zh-CN"/>
              </w:rPr>
            </w:pPr>
          </w:p>
          <w:p w14:paraId="7D8EB65E">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422" w:firstLineChars="200"/>
              <w:textAlignment w:val="auto"/>
              <w:rPr>
                <w:rFonts w:hint="default" w:ascii="Times New Roman" w:hAnsi="Times New Roman" w:cs="Times New Roman"/>
                <w:b/>
                <w:color w:val="auto"/>
                <w:sz w:val="21"/>
                <w:szCs w:val="21"/>
                <w:highlight w:val="none"/>
              </w:rPr>
            </w:pPr>
          </w:p>
          <w:p w14:paraId="3E94AB5E">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cs="Times New Roman"/>
                <w:b/>
                <w:color w:val="auto"/>
                <w:sz w:val="21"/>
                <w:szCs w:val="21"/>
                <w:highlight w:val="none"/>
              </w:rPr>
            </w:pPr>
          </w:p>
          <w:p w14:paraId="7FCA81D5">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cs="Times New Roman"/>
                <w:b/>
                <w:color w:val="auto"/>
                <w:sz w:val="21"/>
                <w:szCs w:val="21"/>
                <w:highlight w:val="none"/>
              </w:rPr>
            </w:pPr>
          </w:p>
          <w:p w14:paraId="7C0A214B">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p w14:paraId="3B4E3B07">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p w14:paraId="417F139D">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p w14:paraId="2AFCB5E4">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p w14:paraId="76C63534">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p w14:paraId="57DFAA0B">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b/>
                <w:color w:val="auto"/>
                <w:sz w:val="24"/>
                <w:szCs w:val="24"/>
                <w:highlight w:val="none"/>
              </w:rPr>
              <w:t>图2</w:t>
            </w:r>
            <w:r>
              <w:rPr>
                <w:rFonts w:hint="eastAsia" w:cs="Times New Roman"/>
                <w:b/>
                <w:color w:val="auto"/>
                <w:sz w:val="24"/>
                <w:szCs w:val="24"/>
                <w:highlight w:val="none"/>
                <w:lang w:val="en-US" w:eastAsia="zh-CN"/>
              </w:rPr>
              <w:t>-1</w:t>
            </w:r>
            <w:r>
              <w:rPr>
                <w:rFonts w:hint="default" w:ascii="Times New Roman" w:hAnsi="Times New Roman" w:cs="Times New Roman"/>
                <w:b/>
                <w:color w:val="auto"/>
                <w:sz w:val="24"/>
                <w:szCs w:val="24"/>
                <w:highlight w:val="none"/>
              </w:rPr>
              <w:t xml:space="preserve">   给排水平衡图 </w:t>
            </w:r>
            <w:r>
              <w:rPr>
                <w:rFonts w:hint="default" w:ascii="Times New Roman" w:hAnsi="Times New Roman" w:cs="Times New Roman"/>
                <w:b/>
                <w:color w:val="auto"/>
                <w:sz w:val="21"/>
                <w:szCs w:val="21"/>
                <w:highlight w:val="none"/>
              </w:rPr>
              <w:t xml:space="preserve">  </w:t>
            </w:r>
          </w:p>
          <w:p w14:paraId="1C1266C9">
            <w:pPr>
              <w:keepNext/>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40" w:lineRule="exact"/>
              <w:ind w:left="0" w:right="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（2）供电</w:t>
            </w:r>
          </w:p>
          <w:p w14:paraId="1513C651">
            <w:pPr>
              <w:pStyle w:val="75"/>
              <w:keepNext/>
              <w:keepLines w:val="0"/>
              <w:pageBreakBefore w:val="0"/>
              <w:widowControl w:val="0"/>
              <w:suppressLineNumbers w:val="0"/>
              <w:kinsoku/>
              <w:wordWrap/>
              <w:overflowPunct/>
              <w:topLinePunct w:val="0"/>
              <w:bidi w:val="0"/>
              <w:snapToGrid w:val="0"/>
              <w:spacing w:before="0" w:beforeAutospacing="0" w:after="0" w:afterAutospacing="0" w:line="440" w:lineRule="exact"/>
              <w:ind w:left="0" w:right="0" w:firstLine="500"/>
              <w:textAlignment w:val="auto"/>
              <w:rPr>
                <w:rFonts w:hint="default" w:ascii="Times New Roman" w:hAnsi="Times New Roman" w:eastAsia="宋体" w:cs="Times New Roman"/>
                <w:color w:val="auto"/>
                <w:sz w:val="24"/>
                <w:szCs w:val="20"/>
                <w:highlight w:val="none"/>
                <w:lang w:eastAsia="zh-CN"/>
              </w:rPr>
            </w:pPr>
            <w:r>
              <w:rPr>
                <w:rFonts w:hint="default" w:ascii="Times New Roman" w:hAnsi="Times New Roman" w:cs="Times New Roman"/>
                <w:color w:val="auto"/>
                <w:sz w:val="24"/>
                <w:szCs w:val="20"/>
                <w:highlight w:val="none"/>
              </w:rPr>
              <w:t>供电由</w:t>
            </w:r>
            <w:r>
              <w:rPr>
                <w:rFonts w:hint="default" w:ascii="Times New Roman" w:hAnsi="Times New Roman" w:eastAsia="宋体" w:cs="Times New Roman"/>
                <w:color w:val="auto"/>
                <w:sz w:val="24"/>
                <w:highlight w:val="none"/>
                <w:lang w:val="en-US" w:eastAsia="zh-CN"/>
              </w:rPr>
              <w:t>工业园区110KV变电站</w:t>
            </w:r>
            <w:r>
              <w:rPr>
                <w:rFonts w:hint="default" w:ascii="Times New Roman" w:hAnsi="Times New Roman" w:cs="Times New Roman"/>
                <w:color w:val="auto"/>
                <w:sz w:val="24"/>
                <w:szCs w:val="20"/>
                <w:highlight w:val="none"/>
              </w:rPr>
              <w:t>供给</w:t>
            </w:r>
            <w:r>
              <w:rPr>
                <w:rFonts w:hint="default" w:ascii="Times New Roman" w:hAnsi="Times New Roman" w:cs="Times New Roman"/>
                <w:color w:val="auto"/>
                <w:sz w:val="24"/>
                <w:szCs w:val="20"/>
                <w:highlight w:val="none"/>
                <w:lang w:eastAsia="zh-CN"/>
              </w:rPr>
              <w:t>，</w:t>
            </w:r>
            <w:r>
              <w:rPr>
                <w:rFonts w:hint="default" w:ascii="Times New Roman" w:hAnsi="Times New Roman" w:cs="Times New Roman"/>
                <w:color w:val="auto"/>
                <w:sz w:val="24"/>
                <w:szCs w:val="20"/>
                <w:highlight w:val="none"/>
              </w:rPr>
              <w:t>厂区</w:t>
            </w:r>
            <w:r>
              <w:rPr>
                <w:rFonts w:hint="default" w:ascii="Times New Roman" w:hAnsi="Times New Roman" w:cs="Times New Roman"/>
                <w:color w:val="auto"/>
                <w:sz w:val="24"/>
                <w:szCs w:val="20"/>
                <w:highlight w:val="none"/>
                <w:lang w:eastAsia="zh-CN"/>
              </w:rPr>
              <w:t>配套</w:t>
            </w:r>
            <w:r>
              <w:rPr>
                <w:rFonts w:hint="default" w:ascii="Times New Roman" w:hAnsi="Times New Roman" w:cs="Times New Roman"/>
                <w:color w:val="auto"/>
                <w:sz w:val="24"/>
                <w:szCs w:val="20"/>
                <w:highlight w:val="none"/>
              </w:rPr>
              <w:t>变压器，能够满足用电需求</w:t>
            </w:r>
            <w:r>
              <w:rPr>
                <w:rFonts w:hint="default" w:ascii="Times New Roman" w:hAnsi="Times New Roman" w:cs="Times New Roman"/>
                <w:color w:val="auto"/>
                <w:sz w:val="24"/>
                <w:szCs w:val="20"/>
                <w:highlight w:val="none"/>
                <w:lang w:eastAsia="zh-CN"/>
              </w:rPr>
              <w:t>，</w:t>
            </w:r>
            <w:r>
              <w:rPr>
                <w:rFonts w:hint="default" w:ascii="Times New Roman" w:hAnsi="Times New Roman" w:cs="Times New Roman"/>
                <w:color w:val="auto"/>
                <w:sz w:val="24"/>
                <w:szCs w:val="20"/>
                <w:highlight w:val="none"/>
              </w:rPr>
              <w:t>年耗电量为</w:t>
            </w:r>
            <w:r>
              <w:rPr>
                <w:rFonts w:hint="default" w:ascii="Times New Roman" w:hAnsi="Times New Roman" w:cs="Times New Roman"/>
                <w:color w:val="auto"/>
                <w:sz w:val="24"/>
                <w:szCs w:val="20"/>
                <w:highlight w:val="none"/>
                <w:lang w:val="en-US" w:eastAsia="zh-CN"/>
              </w:rPr>
              <w:t>100万</w:t>
            </w:r>
            <w:r>
              <w:rPr>
                <w:rFonts w:hint="default" w:ascii="Times New Roman" w:hAnsi="Times New Roman" w:eastAsia="Times New Roman" w:cs="Times New Roman"/>
                <w:color w:val="auto"/>
                <w:sz w:val="24"/>
                <w:szCs w:val="21"/>
                <w:highlight w:val="none"/>
              </w:rPr>
              <w:t>kW</w:t>
            </w:r>
            <w:r>
              <w:rPr>
                <w:rFonts w:hint="default" w:ascii="Times New Roman" w:hAnsi="Times New Roman" w:eastAsia="Times New Roman" w:cs="Times New Roman"/>
                <w:b/>
                <w:color w:val="auto"/>
                <w:sz w:val="24"/>
                <w:szCs w:val="20"/>
                <w:highlight w:val="none"/>
              </w:rPr>
              <w:t>·</w:t>
            </w:r>
            <w:r>
              <w:rPr>
                <w:rFonts w:hint="default" w:ascii="Times New Roman" w:hAnsi="Times New Roman" w:eastAsia="Times New Roman" w:cs="Times New Roman"/>
                <w:color w:val="auto"/>
                <w:sz w:val="24"/>
                <w:szCs w:val="21"/>
                <w:highlight w:val="none"/>
              </w:rPr>
              <w:t>h</w:t>
            </w:r>
            <w:r>
              <w:rPr>
                <w:rFonts w:hint="default" w:ascii="Times New Roman" w:hAnsi="Times New Roman" w:eastAsia="宋体" w:cs="Times New Roman"/>
                <w:color w:val="auto"/>
                <w:sz w:val="24"/>
                <w:szCs w:val="20"/>
                <w:highlight w:val="none"/>
                <w:lang w:eastAsia="zh-CN"/>
              </w:rPr>
              <w:t>。</w:t>
            </w:r>
          </w:p>
          <w:p w14:paraId="1333BF8D">
            <w:pPr>
              <w:pStyle w:val="75"/>
              <w:keepNext/>
              <w:keepLines w:val="0"/>
              <w:pageBreakBefore w:val="0"/>
              <w:widowControl w:val="0"/>
              <w:suppressLineNumbers w:val="0"/>
              <w:kinsoku/>
              <w:wordWrap/>
              <w:overflowPunct/>
              <w:topLinePunct w:val="0"/>
              <w:bidi w:val="0"/>
              <w:snapToGrid w:val="0"/>
              <w:spacing w:before="0" w:beforeAutospacing="0" w:after="0" w:afterAutospacing="0" w:line="440" w:lineRule="exact"/>
              <w:ind w:left="0" w:right="0" w:firstLine="500"/>
              <w:textAlignment w:val="auto"/>
              <w:rPr>
                <w:rFonts w:hint="default" w:ascii="Times New Roman" w:hAnsi="Times New Roman" w:eastAsia="Times New Roman" w:cs="Times New Roman"/>
                <w:color w:val="auto"/>
                <w:sz w:val="24"/>
                <w:szCs w:val="20"/>
                <w:highlight w:val="none"/>
              </w:rPr>
            </w:pPr>
            <w:r>
              <w:rPr>
                <w:rFonts w:hint="default" w:ascii="Times New Roman" w:hAnsi="Times New Roman" w:cs="Times New Roman"/>
                <w:color w:val="auto"/>
                <w:sz w:val="24"/>
                <w:szCs w:val="20"/>
                <w:highlight w:val="none"/>
              </w:rPr>
              <w:t>（3）供热</w:t>
            </w:r>
          </w:p>
          <w:p w14:paraId="0C9F149C">
            <w:pPr>
              <w:pStyle w:val="75"/>
              <w:keepNext/>
              <w:keepLines w:val="0"/>
              <w:pageBreakBefore w:val="0"/>
              <w:widowControl w:val="0"/>
              <w:suppressLineNumbers w:val="0"/>
              <w:kinsoku/>
              <w:wordWrap/>
              <w:overflowPunct/>
              <w:topLinePunct w:val="0"/>
              <w:bidi w:val="0"/>
              <w:snapToGrid w:val="0"/>
              <w:spacing w:before="0" w:beforeAutospacing="0" w:after="0" w:afterAutospacing="0" w:line="440" w:lineRule="exact"/>
              <w:ind w:left="0" w:right="0" w:firstLine="500"/>
              <w:textAlignment w:val="auto"/>
              <w:rPr>
                <w:rFonts w:hint="default" w:ascii="Times New Roman" w:hAnsi="Times New Roman" w:eastAsia="宋体" w:cs="Times New Roman"/>
                <w:b w:val="0"/>
                <w:bCs/>
                <w:color w:val="auto"/>
                <w:kern w:val="0"/>
                <w:sz w:val="21"/>
                <w:szCs w:val="21"/>
                <w:highlight w:val="none"/>
                <w:lang w:eastAsia="zh-CN"/>
              </w:rPr>
            </w:pPr>
            <w:r>
              <w:rPr>
                <w:rFonts w:hint="default" w:ascii="Times New Roman" w:hAnsi="Times New Roman" w:cs="Times New Roman"/>
                <w:color w:val="auto"/>
                <w:sz w:val="24"/>
                <w:szCs w:val="21"/>
                <w:highlight w:val="none"/>
                <w:lang w:eastAsia="zh-CN"/>
              </w:rPr>
              <w:t>本项目</w:t>
            </w:r>
            <w:r>
              <w:rPr>
                <w:rFonts w:hint="default" w:ascii="Times New Roman" w:hAnsi="Times New Roman" w:cs="Times New Roman"/>
                <w:color w:val="auto"/>
                <w:sz w:val="24"/>
                <w:szCs w:val="21"/>
                <w:highlight w:val="none"/>
                <w:lang w:val="en-US" w:eastAsia="zh-CN"/>
              </w:rPr>
              <w:t>生产用热采用电力和天然气，生产车间不设采暖设施</w:t>
            </w:r>
            <w:r>
              <w:rPr>
                <w:rFonts w:hint="default" w:ascii="Times New Roman" w:hAnsi="Times New Roman" w:cs="Times New Roman"/>
                <w:color w:val="auto"/>
                <w:sz w:val="24"/>
                <w:szCs w:val="21"/>
                <w:highlight w:val="none"/>
                <w:lang w:eastAsia="zh-CN"/>
              </w:rPr>
              <w:t>，</w:t>
            </w:r>
            <w:r>
              <w:rPr>
                <w:rFonts w:hint="default" w:ascii="Times New Roman" w:hAnsi="Times New Roman" w:cs="Times New Roman"/>
                <w:color w:val="auto"/>
                <w:sz w:val="24"/>
                <w:szCs w:val="21"/>
                <w:highlight w:val="none"/>
              </w:rPr>
              <w:t>办公区冬季采暖采用分体</w:t>
            </w:r>
            <w:r>
              <w:rPr>
                <w:rFonts w:hint="default" w:ascii="Times New Roman" w:hAnsi="Times New Roman" w:cs="Times New Roman"/>
                <w:color w:val="auto"/>
                <w:sz w:val="24"/>
                <w:szCs w:val="21"/>
                <w:highlight w:val="none"/>
                <w:lang w:eastAsia="zh-CN"/>
              </w:rPr>
              <w:t>室内电力</w:t>
            </w:r>
            <w:r>
              <w:rPr>
                <w:rFonts w:hint="default" w:ascii="Times New Roman" w:hAnsi="Times New Roman" w:cs="Times New Roman"/>
                <w:color w:val="auto"/>
                <w:sz w:val="24"/>
                <w:szCs w:val="21"/>
                <w:highlight w:val="none"/>
              </w:rPr>
              <w:t>空调</w:t>
            </w:r>
            <w:r>
              <w:rPr>
                <w:rFonts w:hint="default" w:ascii="Times New Roman" w:hAnsi="Times New Roman" w:cs="Times New Roman"/>
                <w:color w:val="auto"/>
                <w:sz w:val="24"/>
                <w:szCs w:val="20"/>
                <w:highlight w:val="none"/>
              </w:rPr>
              <w:t>。</w:t>
            </w:r>
            <w:r>
              <w:rPr>
                <w:rFonts w:hint="default" w:ascii="Times New Roman" w:hAnsi="Times New Roman" w:cs="Times New Roman"/>
                <w:color w:val="auto"/>
                <w:sz w:val="24"/>
                <w:szCs w:val="20"/>
                <w:highlight w:val="none"/>
                <w:lang w:eastAsia="zh-CN"/>
              </w:rPr>
              <w:t>天然气来源为园区管道燃气，用量</w:t>
            </w:r>
            <w:r>
              <w:rPr>
                <w:rFonts w:hint="default" w:ascii="Times New Roman" w:hAnsi="Times New Roman" w:cs="Times New Roman"/>
                <w:color w:val="auto"/>
                <w:sz w:val="24"/>
                <w:szCs w:val="20"/>
                <w:highlight w:val="none"/>
                <w:lang w:val="en-US" w:eastAsia="zh-CN"/>
              </w:rPr>
              <w:t>45万</w:t>
            </w:r>
            <w:r>
              <w:rPr>
                <w:rFonts w:hint="default" w:ascii="Times New Roman" w:hAnsi="Times New Roman" w:eastAsia="宋体" w:cs="Times New Roman"/>
                <w:b w:val="0"/>
                <w:bCs/>
                <w:color w:val="auto"/>
                <w:kern w:val="0"/>
                <w:sz w:val="21"/>
                <w:szCs w:val="21"/>
                <w:highlight w:val="none"/>
                <w:lang w:val="en-US" w:eastAsia="zh-CN"/>
              </w:rPr>
              <w:t>m</w:t>
            </w:r>
            <w:r>
              <w:rPr>
                <w:rFonts w:hint="default" w:ascii="Times New Roman" w:hAnsi="Times New Roman" w:eastAsia="宋体" w:cs="Times New Roman"/>
                <w:b w:val="0"/>
                <w:bCs/>
                <w:color w:val="auto"/>
                <w:kern w:val="0"/>
                <w:sz w:val="21"/>
                <w:szCs w:val="21"/>
                <w:highlight w:val="none"/>
                <w:vertAlign w:val="superscript"/>
              </w:rPr>
              <w:t>3</w:t>
            </w:r>
            <w:r>
              <w:rPr>
                <w:rFonts w:hint="default" w:ascii="Times New Roman" w:hAnsi="Times New Roman" w:eastAsia="宋体" w:cs="Times New Roman"/>
                <w:b w:val="0"/>
                <w:bCs/>
                <w:color w:val="auto"/>
                <w:kern w:val="0"/>
                <w:sz w:val="21"/>
                <w:szCs w:val="21"/>
                <w:highlight w:val="none"/>
              </w:rPr>
              <w:t>/a</w:t>
            </w:r>
            <w:r>
              <w:rPr>
                <w:rFonts w:hint="default" w:ascii="Times New Roman" w:hAnsi="Times New Roman" w:cs="Times New Roman"/>
                <w:color w:val="auto"/>
                <w:sz w:val="24"/>
                <w:szCs w:val="24"/>
                <w:highlight w:val="none"/>
                <w:lang w:val="en-US" w:eastAsia="zh-CN"/>
              </w:rPr>
              <w:t>，主要成分见表2-5</w:t>
            </w:r>
            <w:r>
              <w:rPr>
                <w:rFonts w:hint="default" w:ascii="Times New Roman" w:hAnsi="Times New Roman" w:eastAsia="宋体" w:cs="Times New Roman"/>
                <w:b w:val="0"/>
                <w:bCs/>
                <w:color w:val="auto"/>
                <w:kern w:val="0"/>
                <w:sz w:val="21"/>
                <w:szCs w:val="21"/>
                <w:highlight w:val="none"/>
                <w:lang w:eastAsia="zh-CN"/>
              </w:rPr>
              <w:t>。</w:t>
            </w:r>
          </w:p>
          <w:p w14:paraId="4943B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auto"/>
              <w:rPr>
                <w:rFonts w:hint="eastAsia"/>
                <w:b/>
                <w:bCs/>
                <w:color w:val="auto"/>
                <w:sz w:val="24"/>
                <w:szCs w:val="24"/>
                <w:highlight w:val="none"/>
              </w:rPr>
            </w:pPr>
            <w:r>
              <w:rPr>
                <w:rFonts w:hint="default" w:ascii="Times New Roman" w:hAnsi="Times New Roman" w:eastAsia="宋体" w:cs="Times New Roman"/>
                <w:b/>
                <w:bCs/>
                <w:color w:val="auto"/>
                <w:kern w:val="2"/>
                <w:sz w:val="24"/>
                <w:szCs w:val="24"/>
                <w:highlight w:val="none"/>
                <w:lang w:val="en-US" w:bidi="zh-TW"/>
              </w:rPr>
              <w:t>表</w:t>
            </w:r>
            <w:r>
              <w:rPr>
                <w:rFonts w:hint="eastAsia" w:cs="Times New Roman"/>
                <w:b/>
                <w:bCs/>
                <w:color w:val="auto"/>
                <w:kern w:val="2"/>
                <w:sz w:val="24"/>
                <w:szCs w:val="24"/>
                <w:highlight w:val="none"/>
                <w:lang w:val="en-US" w:eastAsia="zh-CN" w:bidi="zh-TW"/>
              </w:rPr>
              <w:t xml:space="preserve">2-5  </w:t>
            </w:r>
            <w:r>
              <w:rPr>
                <w:rFonts w:hint="eastAsia"/>
                <w:b/>
                <w:bCs/>
                <w:color w:val="auto"/>
                <w:sz w:val="24"/>
                <w:szCs w:val="24"/>
                <w:highlight w:val="none"/>
              </w:rPr>
              <w:t>天然气成分分析一览表</w:t>
            </w:r>
          </w:p>
          <w:tbl>
            <w:tblPr>
              <w:tblStyle w:val="34"/>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61"/>
              <w:gridCol w:w="1062"/>
              <w:gridCol w:w="1086"/>
              <w:gridCol w:w="904"/>
              <w:gridCol w:w="981"/>
              <w:gridCol w:w="1299"/>
              <w:gridCol w:w="1288"/>
            </w:tblGrid>
            <w:tr w14:paraId="267F08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pct"/>
                  <w:tcBorders>
                    <w:tl2br w:val="nil"/>
                    <w:tr2bl w:val="nil"/>
                  </w:tcBorders>
                  <w:noWrap w:val="0"/>
                  <w:vAlign w:val="center"/>
                </w:tcPr>
                <w:p w14:paraId="4AB83B0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snapToGrid w:val="0"/>
                      <w:color w:val="auto"/>
                      <w:kern w:val="21"/>
                      <w:szCs w:val="21"/>
                      <w:highlight w:val="none"/>
                      <w:vertAlign w:val="subscript"/>
                    </w:rPr>
                  </w:pPr>
                  <w:r>
                    <w:rPr>
                      <w:rFonts w:hint="default"/>
                      <w:b/>
                      <w:bCs/>
                      <w:snapToGrid w:val="0"/>
                      <w:color w:val="auto"/>
                      <w:kern w:val="21"/>
                      <w:szCs w:val="21"/>
                      <w:highlight w:val="none"/>
                    </w:rPr>
                    <w:t>CH</w:t>
                  </w:r>
                  <w:r>
                    <w:rPr>
                      <w:rFonts w:hint="default"/>
                      <w:b/>
                      <w:bCs/>
                      <w:snapToGrid w:val="0"/>
                      <w:color w:val="auto"/>
                      <w:kern w:val="21"/>
                      <w:szCs w:val="21"/>
                      <w:highlight w:val="none"/>
                      <w:vertAlign w:val="subscript"/>
                    </w:rPr>
                    <w:t>4</w:t>
                  </w:r>
                </w:p>
                <w:p w14:paraId="6CA57A6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eastAsia" w:eastAsia="宋体"/>
                      <w:b/>
                      <w:bCs/>
                      <w:color w:val="000000"/>
                      <w:sz w:val="24"/>
                      <w:highlight w:val="none"/>
                      <w:vertAlign w:val="baseline"/>
                      <w:lang w:eastAsia="zh-CN"/>
                    </w:rPr>
                  </w:pPr>
                  <w:r>
                    <w:rPr>
                      <w:rFonts w:hint="eastAsia"/>
                      <w:b/>
                      <w:bCs/>
                      <w:snapToGrid w:val="0"/>
                      <w:color w:val="auto"/>
                      <w:kern w:val="21"/>
                      <w:szCs w:val="21"/>
                      <w:highlight w:val="none"/>
                      <w:vertAlign w:val="baseline"/>
                      <w:lang w:eastAsia="zh-CN"/>
                    </w:rPr>
                    <w:t>（</w:t>
                  </w:r>
                  <w:r>
                    <w:rPr>
                      <w:rFonts w:hint="default"/>
                      <w:b/>
                      <w:bCs/>
                      <w:snapToGrid w:val="0"/>
                      <w:color w:val="auto"/>
                      <w:kern w:val="21"/>
                      <w:szCs w:val="21"/>
                      <w:highlight w:val="none"/>
                    </w:rPr>
                    <w:t>%</w:t>
                  </w:r>
                  <w:r>
                    <w:rPr>
                      <w:rFonts w:hint="eastAsia"/>
                      <w:b/>
                      <w:bCs/>
                      <w:snapToGrid w:val="0"/>
                      <w:color w:val="auto"/>
                      <w:kern w:val="21"/>
                      <w:szCs w:val="21"/>
                      <w:highlight w:val="none"/>
                      <w:vertAlign w:val="baseline"/>
                      <w:lang w:eastAsia="zh-CN"/>
                    </w:rPr>
                    <w:t>）</w:t>
                  </w:r>
                </w:p>
              </w:tc>
              <w:tc>
                <w:tcPr>
                  <w:tcW w:w="618" w:type="pct"/>
                  <w:tcBorders>
                    <w:tl2br w:val="nil"/>
                    <w:tr2bl w:val="nil"/>
                  </w:tcBorders>
                  <w:noWrap w:val="0"/>
                  <w:vAlign w:val="center"/>
                </w:tcPr>
                <w:p w14:paraId="28E6B92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color w:val="000000"/>
                      <w:sz w:val="24"/>
                      <w:highlight w:val="none"/>
                      <w:vertAlign w:val="baseline"/>
                    </w:rPr>
                  </w:pPr>
                  <w:r>
                    <w:rPr>
                      <w:rFonts w:hint="default"/>
                      <w:b/>
                      <w:bCs/>
                      <w:snapToGrid w:val="0"/>
                      <w:color w:val="auto"/>
                      <w:kern w:val="21"/>
                      <w:szCs w:val="21"/>
                      <w:highlight w:val="none"/>
                    </w:rPr>
                    <w:t>C</w:t>
                  </w:r>
                  <w:r>
                    <w:rPr>
                      <w:rFonts w:hint="default"/>
                      <w:b/>
                      <w:bCs/>
                      <w:snapToGrid w:val="0"/>
                      <w:color w:val="auto"/>
                      <w:kern w:val="21"/>
                      <w:szCs w:val="21"/>
                      <w:highlight w:val="none"/>
                      <w:vertAlign w:val="subscript"/>
                    </w:rPr>
                    <w:t>2</w:t>
                  </w:r>
                  <w:r>
                    <w:rPr>
                      <w:rFonts w:hint="default"/>
                      <w:b/>
                      <w:bCs/>
                      <w:snapToGrid w:val="0"/>
                      <w:color w:val="auto"/>
                      <w:kern w:val="21"/>
                      <w:szCs w:val="21"/>
                      <w:highlight w:val="none"/>
                    </w:rPr>
                    <w:t>H</w:t>
                  </w:r>
                  <w:r>
                    <w:rPr>
                      <w:rFonts w:hint="default"/>
                      <w:b/>
                      <w:bCs/>
                      <w:snapToGrid w:val="0"/>
                      <w:color w:val="auto"/>
                      <w:kern w:val="21"/>
                      <w:szCs w:val="21"/>
                      <w:highlight w:val="none"/>
                      <w:vertAlign w:val="subscript"/>
                    </w:rPr>
                    <w:t>6</w:t>
                  </w:r>
                  <w:r>
                    <w:rPr>
                      <w:rFonts w:hint="eastAsia"/>
                      <w:b/>
                      <w:bCs/>
                      <w:snapToGrid w:val="0"/>
                      <w:color w:val="auto"/>
                      <w:kern w:val="21"/>
                      <w:szCs w:val="21"/>
                      <w:highlight w:val="none"/>
                      <w:vertAlign w:val="baseline"/>
                      <w:lang w:eastAsia="zh-CN"/>
                    </w:rPr>
                    <w:t>（</w:t>
                  </w:r>
                  <w:r>
                    <w:rPr>
                      <w:rFonts w:hint="default"/>
                      <w:b/>
                      <w:bCs/>
                      <w:snapToGrid w:val="0"/>
                      <w:color w:val="auto"/>
                      <w:kern w:val="21"/>
                      <w:szCs w:val="21"/>
                      <w:highlight w:val="none"/>
                    </w:rPr>
                    <w:t>%</w:t>
                  </w:r>
                  <w:r>
                    <w:rPr>
                      <w:rFonts w:hint="eastAsia"/>
                      <w:b/>
                      <w:bCs/>
                      <w:snapToGrid w:val="0"/>
                      <w:color w:val="auto"/>
                      <w:kern w:val="21"/>
                      <w:szCs w:val="21"/>
                      <w:highlight w:val="none"/>
                      <w:vertAlign w:val="baseline"/>
                      <w:lang w:eastAsia="zh-CN"/>
                    </w:rPr>
                    <w:t>）</w:t>
                  </w:r>
                </w:p>
              </w:tc>
              <w:tc>
                <w:tcPr>
                  <w:tcW w:w="618" w:type="pct"/>
                  <w:tcBorders>
                    <w:tl2br w:val="nil"/>
                    <w:tr2bl w:val="nil"/>
                  </w:tcBorders>
                  <w:noWrap w:val="0"/>
                  <w:vAlign w:val="center"/>
                </w:tcPr>
                <w:p w14:paraId="4B525C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color w:val="000000"/>
                      <w:sz w:val="24"/>
                      <w:highlight w:val="none"/>
                      <w:vertAlign w:val="baseline"/>
                    </w:rPr>
                  </w:pPr>
                  <w:r>
                    <w:rPr>
                      <w:rFonts w:hint="default"/>
                      <w:b/>
                      <w:bCs/>
                      <w:snapToGrid w:val="0"/>
                      <w:color w:val="auto"/>
                      <w:kern w:val="21"/>
                      <w:szCs w:val="21"/>
                      <w:highlight w:val="none"/>
                    </w:rPr>
                    <w:t>C</w:t>
                  </w:r>
                  <w:r>
                    <w:rPr>
                      <w:rFonts w:hint="default"/>
                      <w:b/>
                      <w:bCs/>
                      <w:snapToGrid w:val="0"/>
                      <w:color w:val="auto"/>
                      <w:kern w:val="21"/>
                      <w:szCs w:val="21"/>
                      <w:highlight w:val="none"/>
                      <w:vertAlign w:val="subscript"/>
                    </w:rPr>
                    <w:t>3</w:t>
                  </w:r>
                  <w:r>
                    <w:rPr>
                      <w:rFonts w:hint="default"/>
                      <w:b/>
                      <w:bCs/>
                      <w:snapToGrid w:val="0"/>
                      <w:color w:val="auto"/>
                      <w:kern w:val="21"/>
                      <w:szCs w:val="21"/>
                      <w:highlight w:val="none"/>
                    </w:rPr>
                    <w:t>H</w:t>
                  </w:r>
                  <w:r>
                    <w:rPr>
                      <w:rFonts w:hint="default"/>
                      <w:b/>
                      <w:bCs/>
                      <w:snapToGrid w:val="0"/>
                      <w:color w:val="auto"/>
                      <w:kern w:val="21"/>
                      <w:szCs w:val="21"/>
                      <w:highlight w:val="none"/>
                      <w:vertAlign w:val="subscript"/>
                    </w:rPr>
                    <w:t>8</w:t>
                  </w:r>
                  <w:r>
                    <w:rPr>
                      <w:rFonts w:hint="eastAsia"/>
                      <w:b/>
                      <w:bCs/>
                      <w:snapToGrid w:val="0"/>
                      <w:color w:val="auto"/>
                      <w:kern w:val="21"/>
                      <w:szCs w:val="21"/>
                      <w:highlight w:val="none"/>
                      <w:vertAlign w:val="baseline"/>
                      <w:lang w:eastAsia="zh-CN"/>
                    </w:rPr>
                    <w:t>（</w:t>
                  </w:r>
                  <w:r>
                    <w:rPr>
                      <w:rFonts w:hint="default"/>
                      <w:b/>
                      <w:bCs/>
                      <w:snapToGrid w:val="0"/>
                      <w:color w:val="auto"/>
                      <w:kern w:val="21"/>
                      <w:szCs w:val="21"/>
                      <w:highlight w:val="none"/>
                    </w:rPr>
                    <w:t>%</w:t>
                  </w:r>
                  <w:r>
                    <w:rPr>
                      <w:rFonts w:hint="eastAsia"/>
                      <w:b/>
                      <w:bCs/>
                      <w:snapToGrid w:val="0"/>
                      <w:color w:val="auto"/>
                      <w:kern w:val="21"/>
                      <w:szCs w:val="21"/>
                      <w:highlight w:val="none"/>
                      <w:vertAlign w:val="baseline"/>
                      <w:lang w:eastAsia="zh-CN"/>
                    </w:rPr>
                    <w:t>）</w:t>
                  </w:r>
                </w:p>
              </w:tc>
              <w:tc>
                <w:tcPr>
                  <w:tcW w:w="632" w:type="pct"/>
                  <w:tcBorders>
                    <w:tl2br w:val="nil"/>
                    <w:tr2bl w:val="nil"/>
                  </w:tcBorders>
                  <w:noWrap w:val="0"/>
                  <w:vAlign w:val="center"/>
                </w:tcPr>
                <w:p w14:paraId="2E2BBF7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color w:val="000000"/>
                      <w:sz w:val="24"/>
                      <w:highlight w:val="none"/>
                      <w:vertAlign w:val="baseline"/>
                    </w:rPr>
                  </w:pPr>
                  <w:r>
                    <w:rPr>
                      <w:rFonts w:hint="default"/>
                      <w:b/>
                      <w:bCs/>
                      <w:snapToGrid w:val="0"/>
                      <w:color w:val="auto"/>
                      <w:kern w:val="21"/>
                      <w:szCs w:val="21"/>
                      <w:highlight w:val="none"/>
                    </w:rPr>
                    <w:t>C</w:t>
                  </w:r>
                  <w:r>
                    <w:rPr>
                      <w:rFonts w:hint="default"/>
                      <w:b/>
                      <w:bCs/>
                      <w:snapToGrid w:val="0"/>
                      <w:color w:val="auto"/>
                      <w:kern w:val="21"/>
                      <w:szCs w:val="21"/>
                      <w:highlight w:val="none"/>
                      <w:vertAlign w:val="subscript"/>
                    </w:rPr>
                    <w:t>4</w:t>
                  </w:r>
                  <w:r>
                    <w:rPr>
                      <w:rFonts w:hint="default"/>
                      <w:b/>
                      <w:bCs/>
                      <w:snapToGrid w:val="0"/>
                      <w:color w:val="auto"/>
                      <w:kern w:val="21"/>
                      <w:szCs w:val="21"/>
                      <w:highlight w:val="none"/>
                    </w:rPr>
                    <w:t>H</w:t>
                  </w:r>
                  <w:r>
                    <w:rPr>
                      <w:rFonts w:hint="default"/>
                      <w:b/>
                      <w:bCs/>
                      <w:snapToGrid w:val="0"/>
                      <w:color w:val="auto"/>
                      <w:kern w:val="21"/>
                      <w:szCs w:val="21"/>
                      <w:highlight w:val="none"/>
                      <w:vertAlign w:val="subscript"/>
                    </w:rPr>
                    <w:t>10</w:t>
                  </w:r>
                  <w:r>
                    <w:rPr>
                      <w:rFonts w:hint="eastAsia"/>
                      <w:b/>
                      <w:bCs/>
                      <w:snapToGrid w:val="0"/>
                      <w:color w:val="auto"/>
                      <w:kern w:val="21"/>
                      <w:szCs w:val="21"/>
                      <w:highlight w:val="none"/>
                      <w:vertAlign w:val="baseline"/>
                      <w:lang w:eastAsia="zh-CN"/>
                    </w:rPr>
                    <w:t>（</w:t>
                  </w:r>
                  <w:r>
                    <w:rPr>
                      <w:rFonts w:hint="default"/>
                      <w:b/>
                      <w:bCs/>
                      <w:snapToGrid w:val="0"/>
                      <w:color w:val="auto"/>
                      <w:kern w:val="21"/>
                      <w:szCs w:val="21"/>
                      <w:highlight w:val="none"/>
                    </w:rPr>
                    <w:t>%</w:t>
                  </w:r>
                  <w:r>
                    <w:rPr>
                      <w:rFonts w:hint="eastAsia"/>
                      <w:b/>
                      <w:bCs/>
                      <w:snapToGrid w:val="0"/>
                      <w:color w:val="auto"/>
                      <w:kern w:val="21"/>
                      <w:szCs w:val="21"/>
                      <w:highlight w:val="none"/>
                      <w:vertAlign w:val="baseline"/>
                      <w:lang w:eastAsia="zh-CN"/>
                    </w:rPr>
                    <w:t>）</w:t>
                  </w:r>
                </w:p>
              </w:tc>
              <w:tc>
                <w:tcPr>
                  <w:tcW w:w="526" w:type="pct"/>
                  <w:tcBorders>
                    <w:tl2br w:val="nil"/>
                    <w:tr2bl w:val="nil"/>
                  </w:tcBorders>
                  <w:noWrap w:val="0"/>
                  <w:vAlign w:val="center"/>
                </w:tcPr>
                <w:p w14:paraId="4A524AE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snapToGrid w:val="0"/>
                      <w:color w:val="auto"/>
                      <w:kern w:val="21"/>
                      <w:szCs w:val="21"/>
                      <w:highlight w:val="none"/>
                      <w:vertAlign w:val="subscript"/>
                    </w:rPr>
                  </w:pPr>
                  <w:r>
                    <w:rPr>
                      <w:rFonts w:hint="default"/>
                      <w:b/>
                      <w:bCs/>
                      <w:snapToGrid w:val="0"/>
                      <w:color w:val="auto"/>
                      <w:kern w:val="21"/>
                      <w:szCs w:val="21"/>
                      <w:highlight w:val="none"/>
                    </w:rPr>
                    <w:t>CO</w:t>
                  </w:r>
                  <w:r>
                    <w:rPr>
                      <w:rFonts w:hint="default"/>
                      <w:b/>
                      <w:bCs/>
                      <w:snapToGrid w:val="0"/>
                      <w:color w:val="auto"/>
                      <w:kern w:val="21"/>
                      <w:szCs w:val="21"/>
                      <w:highlight w:val="none"/>
                      <w:vertAlign w:val="subscript"/>
                    </w:rPr>
                    <w:t>2</w:t>
                  </w:r>
                </w:p>
                <w:p w14:paraId="2E2F034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color w:val="000000"/>
                      <w:sz w:val="24"/>
                      <w:highlight w:val="none"/>
                      <w:vertAlign w:val="baseline"/>
                    </w:rPr>
                  </w:pPr>
                  <w:r>
                    <w:rPr>
                      <w:rFonts w:hint="eastAsia"/>
                      <w:b/>
                      <w:bCs/>
                      <w:snapToGrid w:val="0"/>
                      <w:color w:val="auto"/>
                      <w:kern w:val="21"/>
                      <w:szCs w:val="21"/>
                      <w:highlight w:val="none"/>
                      <w:vertAlign w:val="baseline"/>
                      <w:lang w:eastAsia="zh-CN"/>
                    </w:rPr>
                    <w:t>（</w:t>
                  </w:r>
                  <w:r>
                    <w:rPr>
                      <w:rFonts w:hint="default"/>
                      <w:b/>
                      <w:bCs/>
                      <w:snapToGrid w:val="0"/>
                      <w:color w:val="auto"/>
                      <w:kern w:val="21"/>
                      <w:szCs w:val="21"/>
                      <w:highlight w:val="none"/>
                    </w:rPr>
                    <w:t>%</w:t>
                  </w:r>
                  <w:r>
                    <w:rPr>
                      <w:rFonts w:hint="eastAsia"/>
                      <w:b/>
                      <w:bCs/>
                      <w:snapToGrid w:val="0"/>
                      <w:color w:val="auto"/>
                      <w:kern w:val="21"/>
                      <w:szCs w:val="21"/>
                      <w:highlight w:val="none"/>
                      <w:vertAlign w:val="baseline"/>
                      <w:lang w:eastAsia="zh-CN"/>
                    </w:rPr>
                    <w:t>）</w:t>
                  </w:r>
                </w:p>
              </w:tc>
              <w:tc>
                <w:tcPr>
                  <w:tcW w:w="571" w:type="pct"/>
                  <w:tcBorders>
                    <w:tl2br w:val="nil"/>
                    <w:tr2bl w:val="nil"/>
                  </w:tcBorders>
                  <w:noWrap w:val="0"/>
                  <w:vAlign w:val="center"/>
                </w:tcPr>
                <w:p w14:paraId="0BE930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color w:val="000000"/>
                      <w:sz w:val="24"/>
                      <w:highlight w:val="none"/>
                      <w:vertAlign w:val="baseline"/>
                    </w:rPr>
                  </w:pPr>
                  <w:r>
                    <w:rPr>
                      <w:rFonts w:hint="default"/>
                      <w:b/>
                      <w:bCs/>
                      <w:snapToGrid w:val="0"/>
                      <w:color w:val="auto"/>
                      <w:kern w:val="21"/>
                      <w:szCs w:val="21"/>
                      <w:highlight w:val="none"/>
                    </w:rPr>
                    <w:t>N</w:t>
                  </w:r>
                  <w:r>
                    <w:rPr>
                      <w:rFonts w:hint="default"/>
                      <w:b/>
                      <w:bCs/>
                      <w:snapToGrid w:val="0"/>
                      <w:color w:val="auto"/>
                      <w:kern w:val="21"/>
                      <w:szCs w:val="21"/>
                      <w:highlight w:val="none"/>
                      <w:vertAlign w:val="subscript"/>
                    </w:rPr>
                    <w:t>2</w:t>
                  </w:r>
                  <w:r>
                    <w:rPr>
                      <w:rFonts w:hint="eastAsia"/>
                      <w:b/>
                      <w:bCs/>
                      <w:snapToGrid w:val="0"/>
                      <w:color w:val="auto"/>
                      <w:kern w:val="21"/>
                      <w:szCs w:val="21"/>
                      <w:highlight w:val="none"/>
                      <w:vertAlign w:val="baseline"/>
                      <w:lang w:eastAsia="zh-CN"/>
                    </w:rPr>
                    <w:t>（</w:t>
                  </w:r>
                  <w:r>
                    <w:rPr>
                      <w:rFonts w:hint="default"/>
                      <w:b/>
                      <w:bCs/>
                      <w:snapToGrid w:val="0"/>
                      <w:color w:val="auto"/>
                      <w:kern w:val="21"/>
                      <w:szCs w:val="21"/>
                      <w:highlight w:val="none"/>
                    </w:rPr>
                    <w:t>%</w:t>
                  </w:r>
                  <w:r>
                    <w:rPr>
                      <w:rFonts w:hint="eastAsia"/>
                      <w:b/>
                      <w:bCs/>
                      <w:snapToGrid w:val="0"/>
                      <w:color w:val="auto"/>
                      <w:kern w:val="21"/>
                      <w:szCs w:val="21"/>
                      <w:highlight w:val="none"/>
                      <w:vertAlign w:val="baseline"/>
                      <w:lang w:eastAsia="zh-CN"/>
                    </w:rPr>
                    <w:t>）</w:t>
                  </w:r>
                </w:p>
              </w:tc>
              <w:tc>
                <w:tcPr>
                  <w:tcW w:w="756" w:type="pct"/>
                  <w:tcBorders>
                    <w:tl2br w:val="nil"/>
                    <w:tr2bl w:val="nil"/>
                  </w:tcBorders>
                  <w:noWrap w:val="0"/>
                  <w:vAlign w:val="center"/>
                </w:tcPr>
                <w:p w14:paraId="213CDCA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snapToGrid w:val="0"/>
                      <w:color w:val="auto"/>
                      <w:kern w:val="21"/>
                      <w:szCs w:val="21"/>
                      <w:highlight w:val="none"/>
                    </w:rPr>
                  </w:pPr>
                  <w:r>
                    <w:rPr>
                      <w:rFonts w:hint="default"/>
                      <w:b/>
                      <w:bCs/>
                      <w:snapToGrid w:val="0"/>
                      <w:color w:val="auto"/>
                      <w:kern w:val="21"/>
                      <w:szCs w:val="21"/>
                      <w:highlight w:val="none"/>
                    </w:rPr>
                    <w:t>H</w:t>
                  </w:r>
                  <w:r>
                    <w:rPr>
                      <w:rFonts w:hint="default"/>
                      <w:b/>
                      <w:bCs/>
                      <w:snapToGrid w:val="0"/>
                      <w:color w:val="auto"/>
                      <w:kern w:val="21"/>
                      <w:szCs w:val="21"/>
                      <w:highlight w:val="none"/>
                      <w:vertAlign w:val="subscript"/>
                    </w:rPr>
                    <w:t>2</w:t>
                  </w:r>
                  <w:r>
                    <w:rPr>
                      <w:rFonts w:hint="default"/>
                      <w:b/>
                      <w:bCs/>
                      <w:snapToGrid w:val="0"/>
                      <w:color w:val="auto"/>
                      <w:kern w:val="21"/>
                      <w:szCs w:val="21"/>
                      <w:highlight w:val="none"/>
                    </w:rPr>
                    <w:t>S</w:t>
                  </w:r>
                </w:p>
                <w:p w14:paraId="50232D5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eastAsia" w:eastAsia="宋体"/>
                      <w:b/>
                      <w:bCs/>
                      <w:snapToGrid w:val="0"/>
                      <w:color w:val="auto"/>
                      <w:kern w:val="21"/>
                      <w:szCs w:val="21"/>
                      <w:highlight w:val="none"/>
                      <w:lang w:eastAsia="zh-CN"/>
                    </w:rPr>
                  </w:pPr>
                  <w:r>
                    <w:rPr>
                      <w:rFonts w:hint="eastAsia"/>
                      <w:b/>
                      <w:bCs/>
                      <w:snapToGrid w:val="0"/>
                      <w:color w:val="auto"/>
                      <w:kern w:val="21"/>
                      <w:szCs w:val="21"/>
                      <w:highlight w:val="none"/>
                      <w:lang w:eastAsia="zh-CN"/>
                    </w:rPr>
                    <w:t>（m</w:t>
                  </w:r>
                  <w:r>
                    <w:rPr>
                      <w:rFonts w:hint="default"/>
                      <w:b/>
                      <w:bCs/>
                      <w:snapToGrid w:val="0"/>
                      <w:color w:val="auto"/>
                      <w:kern w:val="21"/>
                      <w:szCs w:val="21"/>
                      <w:highlight w:val="none"/>
                    </w:rPr>
                    <w:t>g/m</w:t>
                  </w:r>
                  <w:r>
                    <w:rPr>
                      <w:rFonts w:hint="default"/>
                      <w:b/>
                      <w:bCs/>
                      <w:snapToGrid w:val="0"/>
                      <w:color w:val="auto"/>
                      <w:kern w:val="21"/>
                      <w:szCs w:val="21"/>
                      <w:highlight w:val="none"/>
                      <w:vertAlign w:val="superscript"/>
                    </w:rPr>
                    <w:t>3</w:t>
                  </w:r>
                  <w:r>
                    <w:rPr>
                      <w:rFonts w:hint="eastAsia"/>
                      <w:b/>
                      <w:bCs/>
                      <w:snapToGrid w:val="0"/>
                      <w:color w:val="auto"/>
                      <w:kern w:val="21"/>
                      <w:szCs w:val="21"/>
                      <w:highlight w:val="none"/>
                      <w:lang w:eastAsia="zh-CN"/>
                    </w:rPr>
                    <w:t>）</w:t>
                  </w:r>
                </w:p>
              </w:tc>
              <w:tc>
                <w:tcPr>
                  <w:tcW w:w="750" w:type="pct"/>
                  <w:tcBorders>
                    <w:tl2br w:val="nil"/>
                    <w:tr2bl w:val="nil"/>
                  </w:tcBorders>
                  <w:noWrap w:val="0"/>
                  <w:vAlign w:val="center"/>
                </w:tcPr>
                <w:p w14:paraId="1773F28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snapToGrid w:val="0"/>
                      <w:color w:val="auto"/>
                      <w:kern w:val="21"/>
                      <w:szCs w:val="21"/>
                      <w:highlight w:val="none"/>
                      <w:lang w:val="zh-CN"/>
                    </w:rPr>
                  </w:pPr>
                  <w:r>
                    <w:rPr>
                      <w:rFonts w:hint="default"/>
                      <w:b/>
                      <w:bCs/>
                      <w:color w:val="auto"/>
                      <w:szCs w:val="21"/>
                      <w:highlight w:val="none"/>
                    </w:rPr>
                    <w:t>低位</w:t>
                  </w:r>
                  <w:r>
                    <w:rPr>
                      <w:rFonts w:hint="default"/>
                      <w:b/>
                      <w:bCs/>
                      <w:snapToGrid w:val="0"/>
                      <w:color w:val="auto"/>
                      <w:kern w:val="21"/>
                      <w:szCs w:val="21"/>
                      <w:highlight w:val="none"/>
                      <w:lang w:val="zh-CN"/>
                    </w:rPr>
                    <w:t>热值</w:t>
                  </w:r>
                </w:p>
                <w:p w14:paraId="2E7CED9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b/>
                      <w:bCs/>
                      <w:snapToGrid w:val="0"/>
                      <w:color w:val="auto"/>
                      <w:kern w:val="21"/>
                      <w:szCs w:val="21"/>
                      <w:highlight w:val="none"/>
                      <w:lang w:val="zh-CN"/>
                    </w:rPr>
                  </w:pPr>
                  <w:r>
                    <w:rPr>
                      <w:rFonts w:hint="eastAsia"/>
                      <w:b/>
                      <w:bCs/>
                      <w:snapToGrid w:val="0"/>
                      <w:color w:val="auto"/>
                      <w:kern w:val="21"/>
                      <w:szCs w:val="21"/>
                      <w:highlight w:val="none"/>
                      <w:lang w:val="zh-CN"/>
                    </w:rPr>
                    <w:t>（</w:t>
                  </w:r>
                  <w:r>
                    <w:rPr>
                      <w:rFonts w:hint="default"/>
                      <w:b/>
                      <w:bCs/>
                      <w:snapToGrid w:val="0"/>
                      <w:color w:val="auto"/>
                      <w:kern w:val="21"/>
                      <w:szCs w:val="21"/>
                      <w:highlight w:val="none"/>
                    </w:rPr>
                    <w:t>KJ/m</w:t>
                  </w:r>
                  <w:r>
                    <w:rPr>
                      <w:rFonts w:hint="default"/>
                      <w:b/>
                      <w:bCs/>
                      <w:snapToGrid w:val="0"/>
                      <w:color w:val="auto"/>
                      <w:kern w:val="21"/>
                      <w:szCs w:val="21"/>
                      <w:highlight w:val="none"/>
                      <w:vertAlign w:val="superscript"/>
                    </w:rPr>
                    <w:t>3</w:t>
                  </w:r>
                  <w:r>
                    <w:rPr>
                      <w:rFonts w:hint="eastAsia"/>
                      <w:b/>
                      <w:bCs/>
                      <w:snapToGrid w:val="0"/>
                      <w:color w:val="auto"/>
                      <w:kern w:val="21"/>
                      <w:szCs w:val="21"/>
                      <w:highlight w:val="none"/>
                      <w:lang w:val="zh-CN"/>
                    </w:rPr>
                    <w:t>）</w:t>
                  </w:r>
                </w:p>
              </w:tc>
            </w:tr>
            <w:tr w14:paraId="524618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pct"/>
                  <w:tcBorders>
                    <w:tl2br w:val="nil"/>
                    <w:tr2bl w:val="nil"/>
                  </w:tcBorders>
                  <w:noWrap w:val="0"/>
                  <w:vAlign w:val="center"/>
                </w:tcPr>
                <w:p w14:paraId="79FF188F">
                  <w:pPr>
                    <w:keepNext w:val="0"/>
                    <w:keepLines w:val="0"/>
                    <w:suppressLineNumbers w:val="0"/>
                    <w:autoSpaceDE w:val="0"/>
                    <w:autoSpaceDN w:val="0"/>
                    <w:adjustRightInd w:val="0"/>
                    <w:spacing w:before="0" w:beforeAutospacing="0" w:after="0" w:afterAutospacing="0" w:line="320" w:lineRule="exact"/>
                    <w:ind w:left="0" w:right="0"/>
                    <w:jc w:val="center"/>
                    <w:rPr>
                      <w:rFonts w:hint="default"/>
                      <w:bCs/>
                      <w:color w:val="000000"/>
                      <w:sz w:val="24"/>
                      <w:highlight w:val="none"/>
                      <w:vertAlign w:val="baseline"/>
                    </w:rPr>
                  </w:pPr>
                  <w:r>
                    <w:rPr>
                      <w:rFonts w:hint="default"/>
                      <w:snapToGrid w:val="0"/>
                      <w:color w:val="auto"/>
                      <w:kern w:val="21"/>
                      <w:szCs w:val="21"/>
                      <w:highlight w:val="none"/>
                    </w:rPr>
                    <w:t>95</w:t>
                  </w:r>
                </w:p>
              </w:tc>
              <w:tc>
                <w:tcPr>
                  <w:tcW w:w="618" w:type="pct"/>
                  <w:tcBorders>
                    <w:tl2br w:val="nil"/>
                    <w:tr2bl w:val="nil"/>
                  </w:tcBorders>
                  <w:noWrap w:val="0"/>
                  <w:vAlign w:val="center"/>
                </w:tcPr>
                <w:p w14:paraId="5DFEFB67">
                  <w:pPr>
                    <w:keepNext w:val="0"/>
                    <w:keepLines w:val="0"/>
                    <w:suppressLineNumbers w:val="0"/>
                    <w:autoSpaceDE w:val="0"/>
                    <w:autoSpaceDN w:val="0"/>
                    <w:adjustRightInd w:val="0"/>
                    <w:spacing w:before="0" w:beforeAutospacing="0" w:after="0" w:afterAutospacing="0" w:line="320" w:lineRule="exact"/>
                    <w:ind w:left="0" w:right="0"/>
                    <w:jc w:val="center"/>
                    <w:rPr>
                      <w:rFonts w:hint="default"/>
                      <w:bCs/>
                      <w:color w:val="000000"/>
                      <w:sz w:val="24"/>
                      <w:highlight w:val="none"/>
                      <w:vertAlign w:val="baseline"/>
                    </w:rPr>
                  </w:pPr>
                  <w:r>
                    <w:rPr>
                      <w:rFonts w:hint="default"/>
                      <w:snapToGrid w:val="0"/>
                      <w:color w:val="auto"/>
                      <w:kern w:val="21"/>
                      <w:szCs w:val="21"/>
                      <w:highlight w:val="none"/>
                    </w:rPr>
                    <w:t>1.77</w:t>
                  </w:r>
                </w:p>
              </w:tc>
              <w:tc>
                <w:tcPr>
                  <w:tcW w:w="618" w:type="pct"/>
                  <w:tcBorders>
                    <w:tl2br w:val="nil"/>
                    <w:tr2bl w:val="nil"/>
                  </w:tcBorders>
                  <w:noWrap w:val="0"/>
                  <w:vAlign w:val="center"/>
                </w:tcPr>
                <w:p w14:paraId="010424BE">
                  <w:pPr>
                    <w:keepNext w:val="0"/>
                    <w:keepLines w:val="0"/>
                    <w:suppressLineNumbers w:val="0"/>
                    <w:autoSpaceDE w:val="0"/>
                    <w:autoSpaceDN w:val="0"/>
                    <w:adjustRightInd w:val="0"/>
                    <w:spacing w:before="0" w:beforeAutospacing="0" w:after="0" w:afterAutospacing="0" w:line="320" w:lineRule="exact"/>
                    <w:ind w:left="0" w:right="0"/>
                    <w:jc w:val="center"/>
                    <w:rPr>
                      <w:rFonts w:hint="default"/>
                      <w:bCs/>
                      <w:color w:val="000000"/>
                      <w:sz w:val="24"/>
                      <w:highlight w:val="none"/>
                      <w:vertAlign w:val="baseline"/>
                    </w:rPr>
                  </w:pPr>
                  <w:r>
                    <w:rPr>
                      <w:rFonts w:hint="default"/>
                      <w:snapToGrid w:val="0"/>
                      <w:color w:val="auto"/>
                      <w:kern w:val="21"/>
                      <w:szCs w:val="21"/>
                      <w:highlight w:val="none"/>
                    </w:rPr>
                    <w:t>0.3</w:t>
                  </w:r>
                </w:p>
              </w:tc>
              <w:tc>
                <w:tcPr>
                  <w:tcW w:w="632" w:type="pct"/>
                  <w:tcBorders>
                    <w:tl2br w:val="nil"/>
                    <w:tr2bl w:val="nil"/>
                  </w:tcBorders>
                  <w:noWrap w:val="0"/>
                  <w:vAlign w:val="center"/>
                </w:tcPr>
                <w:p w14:paraId="112DAFB0">
                  <w:pPr>
                    <w:keepNext w:val="0"/>
                    <w:keepLines w:val="0"/>
                    <w:suppressLineNumbers w:val="0"/>
                    <w:autoSpaceDE w:val="0"/>
                    <w:autoSpaceDN w:val="0"/>
                    <w:adjustRightInd w:val="0"/>
                    <w:spacing w:before="0" w:beforeAutospacing="0" w:after="0" w:afterAutospacing="0" w:line="320" w:lineRule="exact"/>
                    <w:ind w:left="0" w:right="0"/>
                    <w:jc w:val="center"/>
                    <w:rPr>
                      <w:rFonts w:hint="default"/>
                      <w:bCs/>
                      <w:color w:val="000000"/>
                      <w:sz w:val="24"/>
                      <w:highlight w:val="none"/>
                      <w:vertAlign w:val="baseline"/>
                    </w:rPr>
                  </w:pPr>
                  <w:r>
                    <w:rPr>
                      <w:rFonts w:hint="default"/>
                      <w:snapToGrid w:val="0"/>
                      <w:color w:val="auto"/>
                      <w:kern w:val="21"/>
                      <w:szCs w:val="21"/>
                      <w:highlight w:val="none"/>
                    </w:rPr>
                    <w:t>0.2</w:t>
                  </w:r>
                </w:p>
              </w:tc>
              <w:tc>
                <w:tcPr>
                  <w:tcW w:w="526" w:type="pct"/>
                  <w:tcBorders>
                    <w:tl2br w:val="nil"/>
                    <w:tr2bl w:val="nil"/>
                  </w:tcBorders>
                  <w:noWrap w:val="0"/>
                  <w:vAlign w:val="center"/>
                </w:tcPr>
                <w:p w14:paraId="7745A8A9">
                  <w:pPr>
                    <w:keepNext w:val="0"/>
                    <w:keepLines w:val="0"/>
                    <w:suppressLineNumbers w:val="0"/>
                    <w:autoSpaceDE w:val="0"/>
                    <w:autoSpaceDN w:val="0"/>
                    <w:adjustRightInd w:val="0"/>
                    <w:spacing w:before="0" w:beforeAutospacing="0" w:after="0" w:afterAutospacing="0" w:line="320" w:lineRule="exact"/>
                    <w:ind w:left="0" w:right="0"/>
                    <w:jc w:val="center"/>
                    <w:rPr>
                      <w:rFonts w:hint="default"/>
                      <w:bCs/>
                      <w:color w:val="000000"/>
                      <w:sz w:val="24"/>
                      <w:highlight w:val="none"/>
                      <w:vertAlign w:val="baseline"/>
                    </w:rPr>
                  </w:pPr>
                  <w:r>
                    <w:rPr>
                      <w:rFonts w:hint="default"/>
                      <w:snapToGrid w:val="0"/>
                      <w:color w:val="auto"/>
                      <w:kern w:val="21"/>
                      <w:szCs w:val="21"/>
                      <w:highlight w:val="none"/>
                    </w:rPr>
                    <w:t>1</w:t>
                  </w:r>
                </w:p>
              </w:tc>
              <w:tc>
                <w:tcPr>
                  <w:tcW w:w="571" w:type="pct"/>
                  <w:tcBorders>
                    <w:tl2br w:val="nil"/>
                    <w:tr2bl w:val="nil"/>
                  </w:tcBorders>
                  <w:noWrap w:val="0"/>
                  <w:vAlign w:val="center"/>
                </w:tcPr>
                <w:p w14:paraId="63C0C2A2">
                  <w:pPr>
                    <w:keepNext w:val="0"/>
                    <w:keepLines w:val="0"/>
                    <w:suppressLineNumbers w:val="0"/>
                    <w:autoSpaceDE w:val="0"/>
                    <w:autoSpaceDN w:val="0"/>
                    <w:adjustRightInd w:val="0"/>
                    <w:spacing w:before="0" w:beforeAutospacing="0" w:after="0" w:afterAutospacing="0" w:line="320" w:lineRule="exact"/>
                    <w:ind w:left="0" w:right="0"/>
                    <w:jc w:val="center"/>
                    <w:rPr>
                      <w:rFonts w:hint="default"/>
                      <w:bCs/>
                      <w:color w:val="000000"/>
                      <w:sz w:val="24"/>
                      <w:highlight w:val="none"/>
                      <w:vertAlign w:val="baseline"/>
                    </w:rPr>
                  </w:pPr>
                  <w:r>
                    <w:rPr>
                      <w:rFonts w:hint="default"/>
                      <w:snapToGrid w:val="0"/>
                      <w:color w:val="auto"/>
                      <w:kern w:val="21"/>
                      <w:szCs w:val="21"/>
                      <w:highlight w:val="none"/>
                    </w:rPr>
                    <w:t>1.5</w:t>
                  </w:r>
                </w:p>
              </w:tc>
              <w:tc>
                <w:tcPr>
                  <w:tcW w:w="756" w:type="pct"/>
                  <w:tcBorders>
                    <w:tl2br w:val="nil"/>
                    <w:tr2bl w:val="nil"/>
                  </w:tcBorders>
                  <w:noWrap w:val="0"/>
                  <w:vAlign w:val="center"/>
                </w:tcPr>
                <w:p w14:paraId="77FA0236">
                  <w:pPr>
                    <w:keepNext w:val="0"/>
                    <w:keepLines w:val="0"/>
                    <w:suppressLineNumbers w:val="0"/>
                    <w:autoSpaceDE w:val="0"/>
                    <w:autoSpaceDN w:val="0"/>
                    <w:adjustRightInd w:val="0"/>
                    <w:spacing w:before="0" w:beforeAutospacing="0" w:after="0" w:afterAutospacing="0" w:line="320" w:lineRule="exact"/>
                    <w:ind w:left="0" w:right="0"/>
                    <w:jc w:val="center"/>
                    <w:rPr>
                      <w:rFonts w:hint="default"/>
                      <w:bCs/>
                      <w:color w:val="000000"/>
                      <w:sz w:val="24"/>
                      <w:highlight w:val="none"/>
                      <w:vertAlign w:val="baseline"/>
                    </w:rPr>
                  </w:pPr>
                  <w:r>
                    <w:rPr>
                      <w:rFonts w:hint="default"/>
                      <w:snapToGrid w:val="0"/>
                      <w:color w:val="auto"/>
                      <w:kern w:val="21"/>
                      <w:szCs w:val="21"/>
                      <w:highlight w:val="none"/>
                    </w:rPr>
                    <w:t>约</w:t>
                  </w:r>
                  <w:r>
                    <w:rPr>
                      <w:rFonts w:hint="eastAsia"/>
                      <w:snapToGrid w:val="0"/>
                      <w:color w:val="auto"/>
                      <w:kern w:val="21"/>
                      <w:szCs w:val="21"/>
                      <w:highlight w:val="none"/>
                      <w:lang w:val="en-US" w:eastAsia="zh-CN"/>
                    </w:rPr>
                    <w:t>20</w:t>
                  </w:r>
                </w:p>
              </w:tc>
              <w:tc>
                <w:tcPr>
                  <w:tcW w:w="750" w:type="pct"/>
                  <w:tcBorders>
                    <w:tl2br w:val="nil"/>
                    <w:tr2bl w:val="nil"/>
                  </w:tcBorders>
                  <w:noWrap w:val="0"/>
                  <w:vAlign w:val="center"/>
                </w:tcPr>
                <w:p w14:paraId="478528F6">
                  <w:pPr>
                    <w:keepNext w:val="0"/>
                    <w:keepLines w:val="0"/>
                    <w:suppressLineNumbers w:val="0"/>
                    <w:autoSpaceDE w:val="0"/>
                    <w:autoSpaceDN w:val="0"/>
                    <w:adjustRightInd w:val="0"/>
                    <w:spacing w:before="0" w:beforeAutospacing="0" w:after="0" w:afterAutospacing="0" w:line="320" w:lineRule="exact"/>
                    <w:ind w:left="0" w:right="0"/>
                    <w:jc w:val="center"/>
                    <w:rPr>
                      <w:rFonts w:hint="default"/>
                      <w:bCs/>
                      <w:color w:val="000000"/>
                      <w:sz w:val="24"/>
                      <w:highlight w:val="none"/>
                      <w:vertAlign w:val="baseline"/>
                    </w:rPr>
                  </w:pPr>
                  <w:r>
                    <w:rPr>
                      <w:rFonts w:hint="default"/>
                      <w:snapToGrid w:val="0"/>
                      <w:color w:val="auto"/>
                      <w:kern w:val="21"/>
                      <w:szCs w:val="21"/>
                      <w:highlight w:val="none"/>
                    </w:rPr>
                    <w:t>35612</w:t>
                  </w:r>
                </w:p>
              </w:tc>
            </w:tr>
          </w:tbl>
          <w:p w14:paraId="4C66CB04">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val="en-US" w:eastAsia="zh-CN"/>
              </w:rPr>
              <w:t>劳动定员及工作制度</w:t>
            </w:r>
          </w:p>
          <w:p w14:paraId="217C111E">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劳动定员</w:t>
            </w:r>
            <w:r>
              <w:rPr>
                <w:rFonts w:hint="eastAsia" w:cs="Times New Roman"/>
                <w:color w:val="auto"/>
                <w:sz w:val="24"/>
                <w:szCs w:val="24"/>
                <w:highlight w:val="none"/>
                <w:lang w:val="en-US" w:eastAsia="zh-CN"/>
              </w:rPr>
              <w:t>：项目劳动定员30</w:t>
            </w:r>
            <w:r>
              <w:rPr>
                <w:rFonts w:hint="default" w:ascii="Times New Roman" w:hAnsi="Times New Roman" w:cs="Times New Roman"/>
                <w:color w:val="auto"/>
                <w:sz w:val="24"/>
                <w:szCs w:val="24"/>
                <w:highlight w:val="none"/>
                <w:lang w:val="en-US" w:eastAsia="zh-CN"/>
              </w:rPr>
              <w:t>人</w:t>
            </w:r>
            <w:r>
              <w:rPr>
                <w:rFonts w:hint="eastAsia" w:cs="Times New Roman"/>
                <w:color w:val="auto"/>
                <w:sz w:val="24"/>
                <w:szCs w:val="24"/>
                <w:highlight w:val="none"/>
                <w:lang w:val="en-US" w:eastAsia="zh-CN"/>
              </w:rPr>
              <w:t>；工作制度：</w:t>
            </w:r>
            <w:r>
              <w:rPr>
                <w:rFonts w:hint="default" w:ascii="Times New Roman" w:hAnsi="Times New Roman" w:cs="Times New Roman"/>
                <w:color w:val="auto"/>
                <w:sz w:val="24"/>
                <w:szCs w:val="24"/>
                <w:highlight w:val="none"/>
                <w:lang w:val="en-US" w:eastAsia="zh-CN"/>
              </w:rPr>
              <w:t>采取</w:t>
            </w:r>
            <w:r>
              <w:rPr>
                <w:rFonts w:hint="eastAsia" w:cs="Times New Roman"/>
                <w:color w:val="auto"/>
                <w:sz w:val="24"/>
                <w:szCs w:val="24"/>
                <w:highlight w:val="none"/>
                <w:lang w:val="en-US" w:eastAsia="zh-CN"/>
              </w:rPr>
              <w:t>一班</w:t>
            </w:r>
            <w:r>
              <w:rPr>
                <w:rFonts w:hint="default" w:ascii="Times New Roman" w:hAnsi="Times New Roman" w:cs="Times New Roman"/>
                <w:color w:val="auto"/>
                <w:sz w:val="24"/>
                <w:szCs w:val="24"/>
                <w:highlight w:val="none"/>
                <w:lang w:val="en-US" w:eastAsia="zh-CN"/>
              </w:rPr>
              <w:t>工作制，年工作时间300天，每班工作8小时。</w:t>
            </w:r>
          </w:p>
          <w:p w14:paraId="3289FDA8">
            <w:pPr>
              <w:pStyle w:val="75"/>
              <w:keepNext/>
              <w:keepLines w:val="0"/>
              <w:pageBreakBefore w:val="0"/>
              <w:widowControl w:val="0"/>
              <w:suppressLineNumbers w:val="0"/>
              <w:kinsoku/>
              <w:wordWrap/>
              <w:overflowPunct/>
              <w:topLinePunct w:val="0"/>
              <w:bidi w:val="0"/>
              <w:snapToGrid w:val="0"/>
              <w:spacing w:before="0" w:beforeAutospacing="0" w:after="0" w:afterAutospacing="0" w:line="440" w:lineRule="exact"/>
              <w:ind w:left="0" w:right="0" w:firstLine="500"/>
              <w:textAlignment w:val="auto"/>
              <w:rPr>
                <w:rFonts w:hint="default" w:ascii="Times New Roman" w:hAnsi="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8</w:t>
            </w:r>
            <w:r>
              <w:rPr>
                <w:rFonts w:hint="default" w:ascii="Times New Roman" w:hAnsi="Times New Roman" w:cs="Times New Roman"/>
                <w:b/>
                <w:color w:val="auto"/>
                <w:sz w:val="24"/>
                <w:szCs w:val="24"/>
                <w:highlight w:val="none"/>
              </w:rPr>
              <w:t>、总图布置</w:t>
            </w:r>
          </w:p>
          <w:p w14:paraId="5BA1587B">
            <w:pPr>
              <w:pStyle w:val="75"/>
              <w:keepNext/>
              <w:keepLines w:val="0"/>
              <w:pageBreakBefore w:val="0"/>
              <w:widowControl w:val="0"/>
              <w:suppressLineNumbers w:val="0"/>
              <w:kinsoku/>
              <w:wordWrap/>
              <w:overflowPunct/>
              <w:topLinePunct w:val="0"/>
              <w:bidi w:val="0"/>
              <w:snapToGrid w:val="0"/>
              <w:spacing w:before="0" w:beforeAutospacing="0" w:after="0" w:afterAutospacing="0" w:line="440" w:lineRule="exact"/>
              <w:ind w:left="0" w:right="0" w:firstLine="500"/>
              <w:textAlignment w:val="auto"/>
              <w:rPr>
                <w:rFonts w:hint="default" w:ascii="Times New Roman" w:hAnsi="Times New Roman" w:eastAsia="Times New Roman" w:cs="Times New Roman"/>
                <w:color w:val="auto"/>
                <w:sz w:val="24"/>
                <w:szCs w:val="20"/>
                <w:highlight w:val="none"/>
              </w:rPr>
            </w:pPr>
            <w:r>
              <w:rPr>
                <w:rFonts w:hint="default" w:ascii="Times New Roman" w:hAnsi="Times New Roman" w:cs="Times New Roman"/>
                <w:color w:val="auto"/>
                <w:sz w:val="24"/>
                <w:szCs w:val="20"/>
                <w:highlight w:val="none"/>
              </w:rPr>
              <w:t>本项目根据《工业企业总平面设计规范》（GB50187-2012）的相关规定，对</w:t>
            </w:r>
            <w:r>
              <w:rPr>
                <w:rFonts w:hint="default" w:ascii="Times New Roman" w:hAnsi="Times New Roman" w:cs="Times New Roman"/>
                <w:color w:val="auto"/>
                <w:sz w:val="24"/>
                <w:szCs w:val="20"/>
                <w:highlight w:val="none"/>
                <w:lang w:eastAsia="zh-CN"/>
              </w:rPr>
              <w:t>厂房内部</w:t>
            </w:r>
            <w:r>
              <w:rPr>
                <w:rFonts w:hint="default" w:ascii="Times New Roman" w:hAnsi="Times New Roman" w:cs="Times New Roman"/>
                <w:color w:val="auto"/>
                <w:sz w:val="24"/>
                <w:szCs w:val="20"/>
                <w:highlight w:val="none"/>
              </w:rPr>
              <w:t>进行了统筹安排。</w:t>
            </w:r>
          </w:p>
          <w:p w14:paraId="47E362A5">
            <w:pPr>
              <w:keepNext/>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right="0" w:firstLine="500" w:firstLineChars="200"/>
              <w:textAlignment w:val="auto"/>
              <w:rPr>
                <w:rFonts w:hint="default" w:ascii="Times New Roman" w:hAnsi="Times New Roman" w:eastAsia="宋体" w:cs="Times New Roman"/>
                <w:snapToGrid w:val="0"/>
                <w:color w:val="auto"/>
                <w:sz w:val="30"/>
                <w:szCs w:val="30"/>
                <w:highlight w:val="none"/>
                <w:vertAlign w:val="baseline"/>
                <w:lang w:eastAsia="zh-CN"/>
              </w:rPr>
            </w:pPr>
            <w:r>
              <w:rPr>
                <w:rFonts w:hint="eastAsia" w:ascii="Times New Roman" w:hAnsi="Times New Roman" w:cs="Times New Roman"/>
                <w:color w:val="auto"/>
                <w:spacing w:val="5"/>
                <w:kern w:val="0"/>
                <w:sz w:val="24"/>
                <w:szCs w:val="20"/>
                <w:highlight w:val="none"/>
                <w:lang w:val="en-US" w:eastAsia="zh-CN" w:bidi="ar-SA"/>
              </w:rPr>
              <w:t>厂区</w:t>
            </w:r>
            <w:r>
              <w:rPr>
                <w:rFonts w:hint="eastAsia" w:cs="Times New Roman"/>
                <w:color w:val="auto"/>
                <w:spacing w:val="5"/>
                <w:kern w:val="0"/>
                <w:sz w:val="24"/>
                <w:szCs w:val="20"/>
                <w:highlight w:val="none"/>
                <w:lang w:val="en-US" w:eastAsia="zh-CN" w:bidi="ar-SA"/>
              </w:rPr>
              <w:t>1#、2#办公楼位于厂区东部，门卫位于大门西侧。3#、8#、10#面筋制品生产车间由东向西布设，位于3#车间东南角，污水处理站位于10#生产车间南侧，其余生产车间均为后期预留。</w:t>
            </w:r>
            <w:r>
              <w:rPr>
                <w:rFonts w:hint="default" w:ascii="Times New Roman" w:hAnsi="Times New Roman" w:eastAsia="宋体" w:cs="Times New Roman"/>
                <w:color w:val="auto"/>
                <w:spacing w:val="5"/>
                <w:kern w:val="0"/>
                <w:sz w:val="24"/>
                <w:szCs w:val="20"/>
                <w:highlight w:val="none"/>
                <w:lang w:val="en-US" w:eastAsia="zh-CN" w:bidi="ar-SA"/>
              </w:rPr>
              <w:t>总平面布局使厂区内原料及成品运输线路短捷，总运输量少，提高了产品的生产效率，降低了运输成本</w:t>
            </w:r>
            <w:r>
              <w:rPr>
                <w:rFonts w:hint="default" w:ascii="Times New Roman" w:hAnsi="Times New Roman" w:cs="Times New Roman"/>
                <w:color w:val="auto"/>
                <w:spacing w:val="5"/>
                <w:kern w:val="0"/>
                <w:sz w:val="24"/>
                <w:szCs w:val="20"/>
                <w:highlight w:val="none"/>
                <w:lang w:val="en-US" w:eastAsia="zh-CN" w:bidi="ar-SA"/>
              </w:rPr>
              <w:t>，</w:t>
            </w:r>
            <w:r>
              <w:rPr>
                <w:rFonts w:hint="default" w:ascii="Times New Roman" w:hAnsi="Times New Roman" w:eastAsia="宋体" w:cs="Times New Roman"/>
                <w:color w:val="auto"/>
                <w:spacing w:val="5"/>
                <w:kern w:val="0"/>
                <w:sz w:val="24"/>
                <w:szCs w:val="20"/>
                <w:highlight w:val="none"/>
                <w:lang w:val="en-US" w:eastAsia="zh-CN" w:bidi="ar-SA"/>
              </w:rPr>
              <w:t>减轻了生产废气对周边环境的影响，符合《工业企业总平面设计规范》（GB50187-2012）的相关规定</w:t>
            </w:r>
            <w:r>
              <w:rPr>
                <w:rFonts w:hint="default" w:ascii="Times New Roman" w:hAnsi="Times New Roman" w:eastAsia="宋体" w:cs="Times New Roman"/>
                <w:color w:val="auto"/>
                <w:sz w:val="24"/>
                <w:szCs w:val="24"/>
                <w:highlight w:val="none"/>
              </w:rPr>
              <w:t>。</w:t>
            </w:r>
            <w:bookmarkEnd w:id="55"/>
            <w:bookmarkEnd w:id="56"/>
            <w:bookmarkEnd w:id="57"/>
            <w:bookmarkEnd w:id="58"/>
            <w:bookmarkEnd w:id="59"/>
          </w:p>
        </w:tc>
      </w:tr>
      <w:tr w14:paraId="1106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29" w:type="dxa"/>
            <w:vAlign w:val="center"/>
          </w:tcPr>
          <w:p w14:paraId="44A4A28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auto"/>
              <w:rPr>
                <w:rFonts w:hint="default" w:ascii="Times New Roman" w:hAnsi="Times New Roman" w:eastAsia="宋体" w:cs="Times New Roman"/>
                <w:b/>
                <w:bCs/>
                <w:snapToGrid w:val="0"/>
                <w:color w:val="auto"/>
                <w:sz w:val="24"/>
                <w:szCs w:val="24"/>
                <w:vertAlign w:val="baseline"/>
              </w:rPr>
            </w:pPr>
            <w:r>
              <w:rPr>
                <w:rFonts w:hint="default" w:ascii="Times New Roman" w:hAnsi="Times New Roman" w:cs="Times New Roman"/>
                <w:b/>
                <w:bCs/>
                <w:color w:val="auto"/>
                <w:sz w:val="24"/>
              </w:rPr>
              <w:t>工艺流程和产排污环节</w:t>
            </w:r>
          </w:p>
        </w:tc>
        <w:tc>
          <w:tcPr>
            <w:tcW w:w="8802" w:type="dxa"/>
            <w:vAlign w:val="center"/>
          </w:tcPr>
          <w:p w14:paraId="388D4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0" w:firstLine="482" w:firstLineChars="200"/>
              <w:textAlignment w:val="auto"/>
              <w:outlineLvl w:val="1"/>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1、施工期</w:t>
            </w:r>
            <w:r>
              <w:rPr>
                <w:rFonts w:hint="default" w:ascii="Times New Roman" w:hAnsi="Times New Roman" w:eastAsia="宋体" w:cs="Times New Roman"/>
                <w:b w:val="0"/>
                <w:bCs/>
                <w:color w:val="auto"/>
                <w:kern w:val="2"/>
                <w:sz w:val="24"/>
                <w:szCs w:val="24"/>
                <w:lang w:val="en-US" w:eastAsia="zh-CN" w:bidi="ar-SA"/>
              </w:rPr>
              <w:t xml:space="preserve">                 </w:t>
            </w:r>
          </w:p>
          <w:p w14:paraId="5F4CB22A">
            <w:pPr>
              <w:keepNext/>
              <w:keepLines w:val="0"/>
              <w:pageBreakBefore w:val="0"/>
              <w:widowControl w:val="0"/>
              <w:suppressLineNumbers w:val="0"/>
              <w:suppressAutoHyphens/>
              <w:kinsoku/>
              <w:wordWrap/>
              <w:overflowPunct/>
              <w:topLinePunct w:val="0"/>
              <w:autoSpaceDE w:val="0"/>
              <w:autoSpaceDN w:val="0"/>
              <w:bidi w:val="0"/>
              <w:adjustRightInd/>
              <w:snapToGrid/>
              <w:spacing w:before="0" w:beforeAutospacing="0" w:after="0" w:afterAutospacing="0" w:line="360" w:lineRule="auto"/>
              <w:ind w:left="105" w:leftChars="50" w:right="105" w:rightChars="50" w:firstLine="480" w:firstLineChars="200"/>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施工期主要为建设厂房、办公楼等建构筑物、设备的安装和调试、建筑材料运输、堆放，随着设备安装完成，污染随之消失，不会对周围环境产生明显不利影响。本项目施工期的工艺主要为厂房建设、办公楼施工、设备的安装、调试等。施工期工艺流程及排污节点见下图。</w:t>
            </w:r>
          </w:p>
          <w:p w14:paraId="0B87A720">
            <w:pPr>
              <w:pStyle w:val="32"/>
              <w:keepNext w:val="0"/>
              <w:keepLines w:val="0"/>
              <w:suppressLineNumbers w:val="0"/>
              <w:spacing w:before="0" w:beforeAutospacing="0" w:afterAutospacing="0"/>
              <w:ind w:right="0"/>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cs="Times New Roman"/>
                <w:b/>
                <w:bCs/>
                <w:color w:val="auto"/>
                <w:sz w:val="24"/>
                <w:szCs w:val="28"/>
              </w:rPr>
              <mc:AlternateContent>
                <mc:Choice Requires="wpg">
                  <w:drawing>
                    <wp:anchor distT="0" distB="0" distL="114300" distR="114300" simplePos="0" relativeHeight="251659264" behindDoc="0" locked="0" layoutInCell="1" allowOverlap="1">
                      <wp:simplePos x="0" y="0"/>
                      <wp:positionH relativeFrom="column">
                        <wp:posOffset>389890</wp:posOffset>
                      </wp:positionH>
                      <wp:positionV relativeFrom="page">
                        <wp:posOffset>1506855</wp:posOffset>
                      </wp:positionV>
                      <wp:extent cx="4886960" cy="1950085"/>
                      <wp:effectExtent l="4445" t="4445" r="0" b="7620"/>
                      <wp:wrapNone/>
                      <wp:docPr id="48" name="组合 48"/>
                      <wp:cNvGraphicFramePr/>
                      <a:graphic xmlns:a="http://schemas.openxmlformats.org/drawingml/2006/main">
                        <a:graphicData uri="http://schemas.microsoft.com/office/word/2010/wordprocessingGroup">
                          <wpg:wgp>
                            <wpg:cNvGrpSpPr/>
                            <wpg:grpSpPr>
                              <a:xfrm>
                                <a:off x="0" y="0"/>
                                <a:ext cx="4886960" cy="1950085"/>
                                <a:chOff x="0" y="0"/>
                                <a:chExt cx="7696" cy="3214"/>
                              </a:xfrm>
                              <a:effectLst/>
                            </wpg:grpSpPr>
                            <wps:wsp>
                              <wps:cNvPr id="78" name="Line 1152"/>
                              <wps:cNvCnPr>
                                <a:cxnSpLocks noChangeShapeType="1"/>
                              </wps:cNvCnPr>
                              <wps:spPr bwMode="auto">
                                <a:xfrm flipH="1" flipV="1">
                                  <a:off x="1759" y="357"/>
                                  <a:ext cx="4471" cy="1201"/>
                                </a:xfrm>
                                <a:prstGeom prst="line">
                                  <a:avLst/>
                                </a:prstGeom>
                                <a:noFill/>
                                <a:ln w="9525">
                                  <a:solidFill>
                                    <a:srgbClr val="000000"/>
                                  </a:solidFill>
                                  <a:round/>
                                  <a:tailEnd type="triangle" w="med" len="med"/>
                                </a:ln>
                                <a:effectLst/>
                              </wps:spPr>
                              <wps:bodyPr/>
                            </wps:wsp>
                            <wps:wsp>
                              <wps:cNvPr id="82" name="Line 1030"/>
                              <wps:cNvCnPr>
                                <a:cxnSpLocks noChangeShapeType="1"/>
                              </wps:cNvCnPr>
                              <wps:spPr bwMode="auto">
                                <a:xfrm flipV="1">
                                  <a:off x="1235" y="402"/>
                                  <a:ext cx="1472" cy="1171"/>
                                </a:xfrm>
                                <a:prstGeom prst="line">
                                  <a:avLst/>
                                </a:prstGeom>
                                <a:noFill/>
                                <a:ln w="9525">
                                  <a:solidFill>
                                    <a:srgbClr val="000000"/>
                                  </a:solidFill>
                                  <a:round/>
                                  <a:tailEnd type="stealth" w="med" len="lg"/>
                                </a:ln>
                                <a:effectLst/>
                              </wps:spPr>
                              <wps:bodyPr/>
                            </wps:wsp>
                            <wps:wsp>
                              <wps:cNvPr id="83" name="Line 1022"/>
                              <wps:cNvCnPr>
                                <a:cxnSpLocks noChangeShapeType="1"/>
                              </wps:cNvCnPr>
                              <wps:spPr bwMode="auto">
                                <a:xfrm flipH="1">
                                  <a:off x="4320" y="244"/>
                                  <a:ext cx="900" cy="1"/>
                                </a:xfrm>
                                <a:prstGeom prst="line">
                                  <a:avLst/>
                                </a:prstGeom>
                                <a:noFill/>
                                <a:ln w="9525">
                                  <a:solidFill>
                                    <a:srgbClr val="000000"/>
                                  </a:solidFill>
                                  <a:round/>
                                  <a:tailEnd type="stealth" w="med" len="lg"/>
                                </a:ln>
                                <a:effectLst/>
                              </wps:spPr>
                              <wps:bodyPr/>
                            </wps:wsp>
                            <wps:wsp>
                              <wps:cNvPr id="85" name="Rectangle 1010"/>
                              <wps:cNvSpPr>
                                <a:spLocks noChangeArrowheads="1"/>
                              </wps:cNvSpPr>
                              <wps:spPr bwMode="auto">
                                <a:xfrm>
                                  <a:off x="5221" y="0"/>
                                  <a:ext cx="1980" cy="468"/>
                                </a:xfrm>
                                <a:prstGeom prst="rect">
                                  <a:avLst/>
                                </a:prstGeom>
                                <a:noFill/>
                                <a:ln w="9525">
                                  <a:solidFill>
                                    <a:srgbClr val="000000"/>
                                  </a:solidFill>
                                  <a:miter lim="800000"/>
                                </a:ln>
                                <a:effectLst/>
                              </wps:spPr>
                              <wps:bodyPr rot="0" vert="horz" wrap="square" lIns="91439" tIns="45719" rIns="91439" bIns="45719" anchor="t" anchorCtr="0" upright="1">
                                <a:noAutofit/>
                              </wps:bodyPr>
                            </wps:wsp>
                            <wps:wsp>
                              <wps:cNvPr id="86" name="Text Box 1009"/>
                              <wps:cNvSpPr txBox="1">
                                <a:spLocks noChangeArrowheads="1"/>
                              </wps:cNvSpPr>
                              <wps:spPr bwMode="auto">
                                <a:xfrm>
                                  <a:off x="3015" y="28"/>
                                  <a:ext cx="900" cy="468"/>
                                </a:xfrm>
                                <a:prstGeom prst="rect">
                                  <a:avLst/>
                                </a:prstGeom>
                                <a:solidFill>
                                  <a:srgbClr val="FFFFFF">
                                    <a:alpha val="0"/>
                                  </a:srgbClr>
                                </a:solidFill>
                                <a:ln>
                                  <a:noFill/>
                                </a:ln>
                                <a:effectLst/>
                              </wps:spPr>
                              <wps:txbx>
                                <w:txbxContent>
                                  <w:p w14:paraId="35393B88">
                                    <w:pPr>
                                      <w:spacing w:line="300" w:lineRule="exact"/>
                                      <w:rPr>
                                        <w:szCs w:val="21"/>
                                      </w:rPr>
                                    </w:pPr>
                                    <w:r>
                                      <w:rPr>
                                        <w:rFonts w:hint="eastAsia"/>
                                        <w:szCs w:val="21"/>
                                      </w:rPr>
                                      <w:t xml:space="preserve">扬尘 </w:t>
                                    </w:r>
                                  </w:p>
                                  <w:p w14:paraId="20619966"/>
                                  <w:p w14:paraId="63A748F3"/>
                                  <w:p w14:paraId="5D59A40E"/>
                                </w:txbxContent>
                              </wps:txbx>
                              <wps:bodyPr rot="0" vert="horz" wrap="square" lIns="91439" tIns="45719" rIns="91439" bIns="45719" anchor="t" anchorCtr="0" upright="1">
                                <a:noAutofit/>
                              </wps:bodyPr>
                            </wps:wsp>
                            <wps:wsp>
                              <wps:cNvPr id="87" name="Oval 1008"/>
                              <wps:cNvSpPr>
                                <a:spLocks noChangeArrowheads="1"/>
                              </wps:cNvSpPr>
                              <wps:spPr bwMode="auto">
                                <a:xfrm>
                                  <a:off x="2520" y="28"/>
                                  <a:ext cx="1800" cy="468"/>
                                </a:xfrm>
                                <a:prstGeom prst="ellipse">
                                  <a:avLst/>
                                </a:prstGeom>
                                <a:noFill/>
                                <a:ln w="9525">
                                  <a:solidFill>
                                    <a:srgbClr val="000000"/>
                                  </a:solidFill>
                                  <a:round/>
                                </a:ln>
                                <a:effectLst/>
                              </wps:spPr>
                              <wps:bodyPr rot="0" vert="horz" wrap="square" lIns="91439" tIns="45719" rIns="91439" bIns="45719" anchor="t" anchorCtr="0" upright="1">
                                <a:noAutofit/>
                              </wps:bodyPr>
                            </wps:wsp>
                            <wps:wsp>
                              <wps:cNvPr id="91" name="Text Box 1007"/>
                              <wps:cNvSpPr txBox="1">
                                <a:spLocks noChangeArrowheads="1"/>
                              </wps:cNvSpPr>
                              <wps:spPr bwMode="auto">
                                <a:xfrm>
                                  <a:off x="540" y="28"/>
                                  <a:ext cx="900" cy="468"/>
                                </a:xfrm>
                                <a:prstGeom prst="rect">
                                  <a:avLst/>
                                </a:prstGeom>
                                <a:solidFill>
                                  <a:srgbClr val="FFFFFF">
                                    <a:alpha val="0"/>
                                  </a:srgbClr>
                                </a:solidFill>
                                <a:ln>
                                  <a:noFill/>
                                </a:ln>
                                <a:effectLst/>
                              </wps:spPr>
                              <wps:txbx>
                                <w:txbxContent>
                                  <w:p w14:paraId="0F3FE049">
                                    <w:pPr>
                                      <w:spacing w:line="300" w:lineRule="exact"/>
                                      <w:rPr>
                                        <w:szCs w:val="21"/>
                                      </w:rPr>
                                    </w:pPr>
                                    <w:r>
                                      <w:rPr>
                                        <w:rFonts w:hint="eastAsia"/>
                                        <w:szCs w:val="21"/>
                                      </w:rPr>
                                      <w:t>噪 声</w:t>
                                    </w:r>
                                  </w:p>
                                </w:txbxContent>
                              </wps:txbx>
                              <wps:bodyPr rot="0" vert="horz" wrap="square" lIns="91439" tIns="45719" rIns="91439" bIns="45719" anchor="t" anchorCtr="0" upright="1">
                                <a:noAutofit/>
                              </wps:bodyPr>
                            </wps:wsp>
                            <wps:wsp>
                              <wps:cNvPr id="92" name="Oval 1006"/>
                              <wps:cNvSpPr>
                                <a:spLocks noChangeArrowheads="1"/>
                              </wps:cNvSpPr>
                              <wps:spPr bwMode="auto">
                                <a:xfrm>
                                  <a:off x="0" y="28"/>
                                  <a:ext cx="1800" cy="468"/>
                                </a:xfrm>
                                <a:prstGeom prst="ellipse">
                                  <a:avLst/>
                                </a:prstGeom>
                                <a:noFill/>
                                <a:ln w="9525">
                                  <a:solidFill>
                                    <a:srgbClr val="000000"/>
                                  </a:solidFill>
                                  <a:round/>
                                </a:ln>
                                <a:effectLst/>
                              </wps:spPr>
                              <wps:bodyPr rot="0" vert="horz" wrap="square" lIns="91439" tIns="45719" rIns="91439" bIns="45719" anchor="t" anchorCtr="0" upright="1">
                                <a:noAutofit/>
                              </wps:bodyPr>
                            </wps:wsp>
                            <wps:wsp>
                              <wps:cNvPr id="93" name="Text Box 1004"/>
                              <wps:cNvSpPr txBox="1">
                                <a:spLocks noChangeArrowheads="1"/>
                              </wps:cNvSpPr>
                              <wps:spPr bwMode="auto">
                                <a:xfrm>
                                  <a:off x="4996" y="30"/>
                                  <a:ext cx="2700" cy="468"/>
                                </a:xfrm>
                                <a:prstGeom prst="rect">
                                  <a:avLst/>
                                </a:prstGeom>
                                <a:solidFill>
                                  <a:srgbClr val="FFFFFF">
                                    <a:alpha val="0"/>
                                  </a:srgbClr>
                                </a:solidFill>
                                <a:ln>
                                  <a:noFill/>
                                </a:ln>
                                <a:effectLst/>
                              </wps:spPr>
                              <wps:txbx>
                                <w:txbxContent>
                                  <w:p w14:paraId="3B9B713C">
                                    <w:pPr>
                                      <w:spacing w:line="300" w:lineRule="exact"/>
                                      <w:ind w:firstLine="315" w:firstLineChars="150"/>
                                      <w:rPr>
                                        <w:szCs w:val="21"/>
                                      </w:rPr>
                                    </w:pPr>
                                    <w:r>
                                      <w:rPr>
                                        <w:rFonts w:hint="eastAsia"/>
                                        <w:szCs w:val="21"/>
                                      </w:rPr>
                                      <w:t>物料堆放、运输</w:t>
                                    </w:r>
                                  </w:p>
                                </w:txbxContent>
                              </wps:txbx>
                              <wps:bodyPr rot="0" vert="horz" wrap="square" lIns="91439" tIns="45719" rIns="91439" bIns="45719" anchor="t" anchorCtr="0" upright="1">
                                <a:noAutofit/>
                              </wps:bodyPr>
                            </wps:wsp>
                            <wps:wsp>
                              <wps:cNvPr id="94" name="Line 1031"/>
                              <wps:cNvCnPr>
                                <a:cxnSpLocks noChangeShapeType="1"/>
                              </wps:cNvCnPr>
                              <wps:spPr bwMode="auto">
                                <a:xfrm flipH="1" flipV="1">
                                  <a:off x="3695" y="448"/>
                                  <a:ext cx="1007" cy="1130"/>
                                </a:xfrm>
                                <a:prstGeom prst="line">
                                  <a:avLst/>
                                </a:prstGeom>
                                <a:noFill/>
                                <a:ln w="9525">
                                  <a:solidFill>
                                    <a:srgbClr val="000000"/>
                                  </a:solidFill>
                                  <a:round/>
                                  <a:tailEnd type="stealth" w="med" len="lg"/>
                                </a:ln>
                                <a:effectLst/>
                              </wps:spPr>
                              <wps:bodyPr/>
                            </wps:wsp>
                            <wps:wsp>
                              <wps:cNvPr id="95" name="Line 1029"/>
                              <wps:cNvCnPr>
                                <a:cxnSpLocks noChangeShapeType="1"/>
                              </wps:cNvCnPr>
                              <wps:spPr bwMode="auto">
                                <a:xfrm flipH="1" flipV="1">
                                  <a:off x="900" y="495"/>
                                  <a:ext cx="350" cy="1048"/>
                                </a:xfrm>
                                <a:prstGeom prst="line">
                                  <a:avLst/>
                                </a:prstGeom>
                                <a:noFill/>
                                <a:ln w="9525">
                                  <a:solidFill>
                                    <a:srgbClr val="000000"/>
                                  </a:solidFill>
                                  <a:round/>
                                  <a:tailEnd type="stealth" w="med" len="lg"/>
                                </a:ln>
                                <a:effectLst/>
                              </wps:spPr>
                              <wps:bodyPr/>
                            </wps:wsp>
                            <wps:wsp>
                              <wps:cNvPr id="96" name="Line 1027"/>
                              <wps:cNvCnPr>
                                <a:cxnSpLocks noChangeShapeType="1"/>
                              </wps:cNvCnPr>
                              <wps:spPr bwMode="auto">
                                <a:xfrm flipH="1" flipV="1">
                                  <a:off x="1080" y="496"/>
                                  <a:ext cx="1980" cy="1077"/>
                                </a:xfrm>
                                <a:prstGeom prst="line">
                                  <a:avLst/>
                                </a:prstGeom>
                                <a:noFill/>
                                <a:ln w="9525">
                                  <a:solidFill>
                                    <a:srgbClr val="000000"/>
                                  </a:solidFill>
                                  <a:round/>
                                  <a:tailEnd type="stealth" w="med" len="lg"/>
                                </a:ln>
                                <a:effectLst/>
                              </wps:spPr>
                              <wps:bodyPr/>
                            </wps:wsp>
                            <wps:wsp>
                              <wps:cNvPr id="97" name="Line 1026"/>
                              <wps:cNvCnPr>
                                <a:cxnSpLocks noChangeShapeType="1"/>
                              </wps:cNvCnPr>
                              <wps:spPr bwMode="auto">
                                <a:xfrm flipV="1">
                                  <a:off x="3050" y="496"/>
                                  <a:ext cx="369" cy="1092"/>
                                </a:xfrm>
                                <a:prstGeom prst="line">
                                  <a:avLst/>
                                </a:prstGeom>
                                <a:noFill/>
                                <a:ln w="9525">
                                  <a:solidFill>
                                    <a:srgbClr val="000000"/>
                                  </a:solidFill>
                                  <a:round/>
                                  <a:tailEnd type="stealth" w="med" len="lg"/>
                                </a:ln>
                                <a:effectLst/>
                              </wps:spPr>
                              <wps:bodyPr/>
                            </wps:wsp>
                            <wps:wsp>
                              <wps:cNvPr id="98" name="Line 1025"/>
                              <wps:cNvCnPr>
                                <a:cxnSpLocks noChangeShapeType="1"/>
                              </wps:cNvCnPr>
                              <wps:spPr bwMode="auto">
                                <a:xfrm flipH="1" flipV="1">
                                  <a:off x="1440" y="481"/>
                                  <a:ext cx="3240" cy="1092"/>
                                </a:xfrm>
                                <a:prstGeom prst="line">
                                  <a:avLst/>
                                </a:prstGeom>
                                <a:noFill/>
                                <a:ln w="9525">
                                  <a:solidFill>
                                    <a:srgbClr val="000000"/>
                                  </a:solidFill>
                                  <a:round/>
                                  <a:tailEnd type="stealth" w="med" len="lg"/>
                                </a:ln>
                                <a:effectLst/>
                              </wps:spPr>
                              <wps:bodyPr/>
                            </wps:wsp>
                            <wps:wsp>
                              <wps:cNvPr id="99" name="Line 1034"/>
                              <wps:cNvCnPr>
                                <a:cxnSpLocks noChangeShapeType="1"/>
                              </wps:cNvCnPr>
                              <wps:spPr bwMode="auto">
                                <a:xfrm>
                                  <a:off x="1115" y="2038"/>
                                  <a:ext cx="1164" cy="665"/>
                                </a:xfrm>
                                <a:prstGeom prst="line">
                                  <a:avLst/>
                                </a:prstGeom>
                                <a:noFill/>
                                <a:ln w="9525">
                                  <a:solidFill>
                                    <a:srgbClr val="000000"/>
                                  </a:solidFill>
                                  <a:round/>
                                  <a:tailEnd type="stealth" w="med" len="lg"/>
                                </a:ln>
                                <a:effectLst/>
                              </wps:spPr>
                              <wps:bodyPr/>
                            </wps:wsp>
                            <wps:wsp>
                              <wps:cNvPr id="100" name="Line 1035"/>
                              <wps:cNvCnPr>
                                <a:cxnSpLocks noChangeShapeType="1"/>
                              </wps:cNvCnPr>
                              <wps:spPr bwMode="auto">
                                <a:xfrm>
                                  <a:off x="3071" y="2058"/>
                                  <a:ext cx="103" cy="630"/>
                                </a:xfrm>
                                <a:prstGeom prst="line">
                                  <a:avLst/>
                                </a:prstGeom>
                                <a:noFill/>
                                <a:ln w="9525">
                                  <a:solidFill>
                                    <a:srgbClr val="000000"/>
                                  </a:solidFill>
                                  <a:round/>
                                  <a:tailEnd type="stealth" w="med" len="lg"/>
                                </a:ln>
                                <a:effectLst/>
                              </wps:spPr>
                              <wps:bodyPr/>
                            </wps:wsp>
                            <wps:wsp>
                              <wps:cNvPr id="101" name="Line 1037"/>
                              <wps:cNvCnPr>
                                <a:cxnSpLocks noChangeShapeType="1"/>
                              </wps:cNvCnPr>
                              <wps:spPr bwMode="auto">
                                <a:xfrm flipH="1">
                                  <a:off x="5325" y="2052"/>
                                  <a:ext cx="686" cy="591"/>
                                </a:xfrm>
                                <a:prstGeom prst="line">
                                  <a:avLst/>
                                </a:prstGeom>
                                <a:noFill/>
                                <a:ln w="9525">
                                  <a:solidFill>
                                    <a:srgbClr val="000000"/>
                                  </a:solidFill>
                                  <a:round/>
                                  <a:tailEnd type="stealth" w="med" len="lg"/>
                                </a:ln>
                                <a:effectLst/>
                              </wps:spPr>
                              <wps:bodyPr/>
                            </wps:wsp>
                            <wps:wsp>
                              <wps:cNvPr id="102" name="Line 1036"/>
                              <wps:cNvCnPr>
                                <a:cxnSpLocks noChangeShapeType="1"/>
                              </wps:cNvCnPr>
                              <wps:spPr bwMode="auto">
                                <a:xfrm flipH="1">
                                  <a:off x="4522" y="2054"/>
                                  <a:ext cx="196" cy="665"/>
                                </a:xfrm>
                                <a:prstGeom prst="line">
                                  <a:avLst/>
                                </a:prstGeom>
                                <a:noFill/>
                                <a:ln w="9525">
                                  <a:solidFill>
                                    <a:srgbClr val="000000"/>
                                  </a:solidFill>
                                  <a:round/>
                                  <a:tailEnd type="stealth" w="med" len="lg"/>
                                </a:ln>
                                <a:effectLst/>
                              </wps:spPr>
                              <wps:bodyPr/>
                            </wps:wsp>
                            <wps:wsp>
                              <wps:cNvPr id="103" name="Text Box 1012"/>
                              <wps:cNvSpPr txBox="1">
                                <a:spLocks noChangeArrowheads="1"/>
                              </wps:cNvSpPr>
                              <wps:spPr bwMode="auto">
                                <a:xfrm>
                                  <a:off x="738" y="1573"/>
                                  <a:ext cx="1260" cy="468"/>
                                </a:xfrm>
                                <a:prstGeom prst="rect">
                                  <a:avLst/>
                                </a:prstGeom>
                                <a:noFill/>
                                <a:ln>
                                  <a:noFill/>
                                </a:ln>
                                <a:effectLst/>
                              </wps:spPr>
                              <wps:txbx>
                                <w:txbxContent>
                                  <w:p w14:paraId="324DFA28">
                                    <w:pPr>
                                      <w:spacing w:line="300" w:lineRule="exact"/>
                                      <w:rPr>
                                        <w:szCs w:val="21"/>
                                      </w:rPr>
                                    </w:pPr>
                                    <w:r>
                                      <w:rPr>
                                        <w:rFonts w:hint="eastAsia"/>
                                        <w:szCs w:val="21"/>
                                      </w:rPr>
                                      <w:t>场地施工</w:t>
                                    </w:r>
                                  </w:p>
                                  <w:p w14:paraId="7C9C6C65"/>
                                </w:txbxContent>
                              </wps:txbx>
                              <wps:bodyPr rot="0" vert="horz" wrap="square" lIns="91439" tIns="45719" rIns="91439" bIns="45719" anchor="t" anchorCtr="0" upright="1">
                                <a:noAutofit/>
                              </wps:bodyPr>
                            </wps:wsp>
                            <wps:wsp>
                              <wps:cNvPr id="104" name="Rectangle 1013"/>
                              <wps:cNvSpPr>
                                <a:spLocks noChangeArrowheads="1"/>
                              </wps:cNvSpPr>
                              <wps:spPr bwMode="auto">
                                <a:xfrm>
                                  <a:off x="558" y="1573"/>
                                  <a:ext cx="1440" cy="468"/>
                                </a:xfrm>
                                <a:prstGeom prst="rect">
                                  <a:avLst/>
                                </a:prstGeom>
                                <a:noFill/>
                                <a:ln w="9525">
                                  <a:solidFill>
                                    <a:srgbClr val="000000"/>
                                  </a:solidFill>
                                  <a:miter lim="800000"/>
                                </a:ln>
                                <a:effectLst/>
                              </wps:spPr>
                              <wps:bodyPr rot="0" vert="horz" wrap="square" lIns="91439" tIns="45719" rIns="91439" bIns="45719" anchor="t" anchorCtr="0" upright="1">
                                <a:noAutofit/>
                              </wps:bodyPr>
                            </wps:wsp>
                            <wps:wsp>
                              <wps:cNvPr id="105" name="Text Box 1014"/>
                              <wps:cNvSpPr txBox="1">
                                <a:spLocks noChangeArrowheads="1"/>
                              </wps:cNvSpPr>
                              <wps:spPr bwMode="auto">
                                <a:xfrm>
                                  <a:off x="2478" y="1573"/>
                                  <a:ext cx="1260" cy="468"/>
                                </a:xfrm>
                                <a:prstGeom prst="rect">
                                  <a:avLst/>
                                </a:prstGeom>
                                <a:noFill/>
                                <a:ln>
                                  <a:noFill/>
                                </a:ln>
                                <a:effectLst/>
                              </wps:spPr>
                              <wps:txbx>
                                <w:txbxContent>
                                  <w:p w14:paraId="5D825BB7">
                                    <w:pPr>
                                      <w:spacing w:line="300" w:lineRule="exact"/>
                                      <w:rPr>
                                        <w:rFonts w:hint="eastAsia" w:eastAsia="宋体"/>
                                        <w:szCs w:val="21"/>
                                        <w:lang w:eastAsia="zh-CN"/>
                                      </w:rPr>
                                    </w:pPr>
                                    <w:r>
                                      <w:rPr>
                                        <w:rFonts w:hint="eastAsia"/>
                                        <w:szCs w:val="21"/>
                                        <w:lang w:eastAsia="zh-CN"/>
                                      </w:rPr>
                                      <w:t>主体施工</w:t>
                                    </w:r>
                                  </w:p>
                                </w:txbxContent>
                              </wps:txbx>
                              <wps:bodyPr rot="0" vert="horz" wrap="square" lIns="91439" tIns="45719" rIns="91439" bIns="45719" anchor="t" anchorCtr="0" upright="1">
                                <a:noAutofit/>
                              </wps:bodyPr>
                            </wps:wsp>
                            <wps:wsp>
                              <wps:cNvPr id="106" name="Text Box 1015"/>
                              <wps:cNvSpPr txBox="1">
                                <a:spLocks noChangeArrowheads="1"/>
                              </wps:cNvSpPr>
                              <wps:spPr bwMode="auto">
                                <a:xfrm>
                                  <a:off x="4098" y="1573"/>
                                  <a:ext cx="1260" cy="468"/>
                                </a:xfrm>
                                <a:prstGeom prst="rect">
                                  <a:avLst/>
                                </a:prstGeom>
                                <a:noFill/>
                                <a:ln>
                                  <a:noFill/>
                                </a:ln>
                                <a:effectLst/>
                              </wps:spPr>
                              <wps:txbx>
                                <w:txbxContent>
                                  <w:p w14:paraId="1953254C">
                                    <w:pPr>
                                      <w:spacing w:line="300" w:lineRule="exact"/>
                                      <w:rPr>
                                        <w:szCs w:val="21"/>
                                      </w:rPr>
                                    </w:pPr>
                                    <w:r>
                                      <w:rPr>
                                        <w:rFonts w:hint="eastAsia"/>
                                        <w:szCs w:val="21"/>
                                      </w:rPr>
                                      <w:t>道路修筑</w:t>
                                    </w:r>
                                  </w:p>
                                </w:txbxContent>
                              </wps:txbx>
                              <wps:bodyPr rot="0" vert="horz" wrap="square" lIns="91439" tIns="45719" rIns="91439" bIns="45719" anchor="t" anchorCtr="0" upright="1">
                                <a:noAutofit/>
                              </wps:bodyPr>
                            </wps:wsp>
                            <wps:wsp>
                              <wps:cNvPr id="107" name="Text Box 1016"/>
                              <wps:cNvSpPr txBox="1">
                                <a:spLocks noChangeArrowheads="1"/>
                              </wps:cNvSpPr>
                              <wps:spPr bwMode="auto">
                                <a:xfrm>
                                  <a:off x="5718" y="1573"/>
                                  <a:ext cx="1260" cy="468"/>
                                </a:xfrm>
                                <a:prstGeom prst="rect">
                                  <a:avLst/>
                                </a:prstGeom>
                                <a:noFill/>
                                <a:ln>
                                  <a:noFill/>
                                </a:ln>
                                <a:effectLst/>
                              </wps:spPr>
                              <wps:txbx>
                                <w:txbxContent>
                                  <w:p w14:paraId="3F7F9018">
                                    <w:pPr>
                                      <w:spacing w:line="300" w:lineRule="exact"/>
                                      <w:rPr>
                                        <w:rFonts w:hint="eastAsia" w:eastAsia="宋体"/>
                                        <w:szCs w:val="21"/>
                                        <w:lang w:eastAsia="zh-CN"/>
                                      </w:rPr>
                                    </w:pPr>
                                    <w:r>
                                      <w:rPr>
                                        <w:rFonts w:hint="eastAsia"/>
                                        <w:szCs w:val="21"/>
                                      </w:rPr>
                                      <w:t>房屋</w:t>
                                    </w:r>
                                    <w:r>
                                      <w:rPr>
                                        <w:rFonts w:hint="eastAsia"/>
                                        <w:szCs w:val="21"/>
                                        <w:lang w:eastAsia="zh-CN"/>
                                      </w:rPr>
                                      <w:t>装修</w:t>
                                    </w:r>
                                  </w:p>
                                </w:txbxContent>
                              </wps:txbx>
                              <wps:bodyPr rot="0" vert="horz" wrap="square" lIns="91439" tIns="45719" rIns="91439" bIns="45719" anchor="t" anchorCtr="0" upright="1">
                                <a:noAutofit/>
                              </wps:bodyPr>
                            </wps:wsp>
                            <wps:wsp>
                              <wps:cNvPr id="108" name="Rectangle 1019"/>
                              <wps:cNvSpPr>
                                <a:spLocks noChangeArrowheads="1"/>
                              </wps:cNvSpPr>
                              <wps:spPr bwMode="auto">
                                <a:xfrm>
                                  <a:off x="5658" y="1573"/>
                                  <a:ext cx="1260" cy="468"/>
                                </a:xfrm>
                                <a:prstGeom prst="rect">
                                  <a:avLst/>
                                </a:prstGeom>
                                <a:noFill/>
                                <a:ln w="9525">
                                  <a:solidFill>
                                    <a:srgbClr val="000000"/>
                                  </a:solidFill>
                                  <a:miter lim="800000"/>
                                </a:ln>
                                <a:effectLst/>
                              </wps:spPr>
                              <wps:bodyPr rot="0" vert="horz" wrap="square" lIns="91439" tIns="45719" rIns="91439" bIns="45719" anchor="t" anchorCtr="0" upright="1">
                                <a:noAutofit/>
                              </wps:bodyPr>
                            </wps:wsp>
                            <wps:wsp>
                              <wps:cNvPr id="109" name="Rectangle 1020"/>
                              <wps:cNvSpPr>
                                <a:spLocks noChangeArrowheads="1"/>
                              </wps:cNvSpPr>
                              <wps:spPr bwMode="auto">
                                <a:xfrm>
                                  <a:off x="4038" y="1573"/>
                                  <a:ext cx="1260" cy="468"/>
                                </a:xfrm>
                                <a:prstGeom prst="rect">
                                  <a:avLst/>
                                </a:prstGeom>
                                <a:noFill/>
                                <a:ln w="9525">
                                  <a:solidFill>
                                    <a:srgbClr val="000000"/>
                                  </a:solidFill>
                                  <a:miter lim="800000"/>
                                </a:ln>
                                <a:effectLst/>
                              </wps:spPr>
                              <wps:bodyPr rot="0" vert="horz" wrap="square" lIns="91439" tIns="45719" rIns="91439" bIns="45719" anchor="t" anchorCtr="0" upright="1">
                                <a:noAutofit/>
                              </wps:bodyPr>
                            </wps:wsp>
                            <wps:wsp>
                              <wps:cNvPr id="110" name="Rectangle 1021"/>
                              <wps:cNvSpPr>
                                <a:spLocks noChangeArrowheads="1"/>
                              </wps:cNvSpPr>
                              <wps:spPr bwMode="auto">
                                <a:xfrm>
                                  <a:off x="2418" y="1573"/>
                                  <a:ext cx="1260" cy="468"/>
                                </a:xfrm>
                                <a:prstGeom prst="rect">
                                  <a:avLst/>
                                </a:prstGeom>
                                <a:noFill/>
                                <a:ln w="9525">
                                  <a:solidFill>
                                    <a:srgbClr val="000000"/>
                                  </a:solidFill>
                                  <a:miter lim="800000"/>
                                </a:ln>
                                <a:effectLst/>
                              </wps:spPr>
                              <wps:bodyPr rot="0" vert="horz" wrap="square" lIns="91439" tIns="45719" rIns="91439" bIns="45719" anchor="t" anchorCtr="0" upright="1">
                                <a:noAutofit/>
                              </wps:bodyPr>
                            </wps:wsp>
                            <wps:wsp>
                              <wps:cNvPr id="111" name="Line 1038"/>
                              <wps:cNvCnPr>
                                <a:cxnSpLocks noChangeShapeType="1"/>
                              </wps:cNvCnPr>
                              <wps:spPr bwMode="auto">
                                <a:xfrm>
                                  <a:off x="1998" y="1789"/>
                                  <a:ext cx="425" cy="1"/>
                                </a:xfrm>
                                <a:prstGeom prst="line">
                                  <a:avLst/>
                                </a:prstGeom>
                                <a:noFill/>
                                <a:ln w="12700" cap="rnd">
                                  <a:solidFill>
                                    <a:srgbClr val="000000"/>
                                  </a:solidFill>
                                  <a:prstDash val="sysDot"/>
                                  <a:round/>
                                  <a:tailEnd type="triangle" w="med" len="med"/>
                                </a:ln>
                                <a:effectLst/>
                              </wps:spPr>
                              <wps:bodyPr/>
                            </wps:wsp>
                            <wps:wsp>
                              <wps:cNvPr id="112" name="Line 1039"/>
                              <wps:cNvCnPr>
                                <a:cxnSpLocks noChangeShapeType="1"/>
                              </wps:cNvCnPr>
                              <wps:spPr bwMode="auto">
                                <a:xfrm>
                                  <a:off x="3670" y="1804"/>
                                  <a:ext cx="369" cy="1"/>
                                </a:xfrm>
                                <a:prstGeom prst="line">
                                  <a:avLst/>
                                </a:prstGeom>
                                <a:noFill/>
                                <a:ln w="12700" cap="rnd">
                                  <a:solidFill>
                                    <a:srgbClr val="000000"/>
                                  </a:solidFill>
                                  <a:prstDash val="sysDot"/>
                                  <a:round/>
                                  <a:tailEnd type="triangle" w="med" len="med"/>
                                </a:ln>
                                <a:effectLst/>
                              </wps:spPr>
                              <wps:bodyPr/>
                            </wps:wsp>
                            <wps:wsp>
                              <wps:cNvPr id="113" name="Line 1040"/>
                              <wps:cNvCnPr>
                                <a:cxnSpLocks noChangeShapeType="1"/>
                              </wps:cNvCnPr>
                              <wps:spPr bwMode="auto">
                                <a:xfrm>
                                  <a:off x="5283" y="1789"/>
                                  <a:ext cx="369" cy="1"/>
                                </a:xfrm>
                                <a:prstGeom prst="line">
                                  <a:avLst/>
                                </a:prstGeom>
                                <a:noFill/>
                                <a:ln w="12700" cap="rnd">
                                  <a:solidFill>
                                    <a:srgbClr val="000000"/>
                                  </a:solidFill>
                                  <a:prstDash val="sysDot"/>
                                  <a:round/>
                                  <a:tailEnd type="triangle" w="med" len="med"/>
                                </a:ln>
                                <a:effectLst/>
                              </wps:spPr>
                              <wps:bodyPr/>
                            </wps:wsp>
                            <wps:wsp>
                              <wps:cNvPr id="114" name="Text Box 1033"/>
                              <wps:cNvSpPr txBox="1">
                                <a:spLocks noChangeArrowheads="1"/>
                              </wps:cNvSpPr>
                              <wps:spPr bwMode="auto">
                                <a:xfrm>
                                  <a:off x="672" y="2746"/>
                                  <a:ext cx="6248" cy="468"/>
                                </a:xfrm>
                                <a:prstGeom prst="rect">
                                  <a:avLst/>
                                </a:prstGeom>
                                <a:solidFill>
                                  <a:srgbClr val="FFFFFF">
                                    <a:alpha val="0"/>
                                  </a:srgbClr>
                                </a:solidFill>
                                <a:ln>
                                  <a:noFill/>
                                </a:ln>
                                <a:effectLst/>
                              </wps:spPr>
                              <wps:txbx>
                                <w:txbxContent>
                                  <w:p w14:paraId="447E8DBC">
                                    <w:pPr>
                                      <w:spacing w:line="300" w:lineRule="exact"/>
                                      <w:ind w:firstLine="315" w:firstLineChars="150"/>
                                      <w:rPr>
                                        <w:szCs w:val="21"/>
                                      </w:rPr>
                                    </w:pPr>
                                    <w:r>
                                      <w:rPr>
                                        <w:rFonts w:hint="eastAsia"/>
                                        <w:szCs w:val="21"/>
                                      </w:rPr>
                                      <w:t>建筑垃圾、施工废水、生活垃圾、</w:t>
                                    </w:r>
                                    <w:r>
                                      <w:rPr>
                                        <w:rFonts w:hint="eastAsia"/>
                                        <w:szCs w:val="21"/>
                                        <w:lang w:eastAsia="zh-CN"/>
                                      </w:rPr>
                                      <w:t>生活废水</w:t>
                                    </w:r>
                                    <w:r>
                                      <w:rPr>
                                        <w:rFonts w:hint="eastAsia"/>
                                        <w:szCs w:val="21"/>
                                      </w:rPr>
                                      <w:t>、冲洗废水</w:t>
                                    </w:r>
                                  </w:p>
                                </w:txbxContent>
                              </wps:txbx>
                              <wps:bodyPr rot="0" vert="horz" wrap="square" lIns="91439" tIns="45719" rIns="91439" bIns="45719" anchor="t" anchorCtr="0" upright="1">
                                <a:noAutofit/>
                              </wps:bodyPr>
                            </wps:wsp>
                            <wps:wsp>
                              <wps:cNvPr id="115" name="Rectangle 1032"/>
                              <wps:cNvSpPr>
                                <a:spLocks noChangeArrowheads="1"/>
                              </wps:cNvSpPr>
                              <wps:spPr bwMode="auto">
                                <a:xfrm>
                                  <a:off x="1082" y="2713"/>
                                  <a:ext cx="5374" cy="468"/>
                                </a:xfrm>
                                <a:prstGeom prst="rect">
                                  <a:avLst/>
                                </a:prstGeom>
                                <a:solidFill>
                                  <a:srgbClr val="FFFFFF">
                                    <a:alpha val="0"/>
                                  </a:srgbClr>
                                </a:solidFill>
                                <a:ln w="9525">
                                  <a:solidFill>
                                    <a:srgbClr val="000000"/>
                                  </a:solidFill>
                                  <a:miter lim="800000"/>
                                </a:ln>
                                <a:effectLst/>
                              </wps:spPr>
                              <wps:bodyPr rot="0" vert="horz" wrap="square" lIns="91439" tIns="45719" rIns="91439" bIns="45719" anchor="t" anchorCtr="0" upright="1">
                                <a:noAutofit/>
                              </wps:bodyPr>
                            </wps:wsp>
                          </wpg:wgp>
                        </a:graphicData>
                      </a:graphic>
                    </wp:anchor>
                  </w:drawing>
                </mc:Choice>
                <mc:Fallback>
                  <w:pict>
                    <v:group id="_x0000_s1026" o:spid="_x0000_s1026" o:spt="203" style="position:absolute;left:0pt;margin-left:30.7pt;margin-top:118.65pt;height:153.55pt;width:384.8pt;mso-position-vertical-relative:page;z-index:251659264;mso-width-relative:page;mso-height-relative:page;" coordsize="7696,3214" o:gfxdata="UEsDBAoAAAAAAIdO4kAAAAAAAAAAAAAAAAAEAAAAZHJzL1BLAwQUAAAACACHTuJAWO7HFNoAAAAK&#10;AQAADwAAAGRycy9kb3ducmV2LnhtbE2PQUvDQBCF74L/YRnBm91sk9YSMylS1FMRbAXxts1Ok9Ds&#10;bMhuk/bfu570OMzHe98r1hfbiZEG3zpGULMEBHHlTMs1wuf+9WEFwgfNRneOCeFKHtbl7U2hc+Mm&#10;/qBxF2oRQ9jnGqEJoc+l9FVDVvuZ64nj7+gGq0M8h1qaQU8x3HZyniRLaXXLsaHRPW0aqk67s0V4&#10;m/T0nKqXcXs6bq7f+8X711YR4v2dSp5ABLqEPxh+9aM6lNHp4M5svOgQliqLJMI8fUxBRGCVqjju&#10;gLDIsgxkWcj/E8ofUEsDBBQAAAAIAIdO4kAE8+i0mAcAALFJAAAOAAAAZHJzL2Uyb0RvYy54bWzt&#10;nM2Sm0YQx++pyjtQ3LNi+BBCZa3L2bWdVDmxK3ZyZwEJKsCQGdbS5pxDjnmfPE8qr5GengFGaJXd&#10;ZA2rdeHDGoEYoPnR/Z/uRs+e74rc+JgwntFyZZIzyzSSMqJxVm5W5o8fXn21MA1eh2Uc5rRMVuZN&#10;ws3n519+8WxbLRObpjSPE2bAICVfbquVmdZ1tZzNeJQmRcjPaJWUsHFNWRHW8JFtZjELtzB6kc9s&#10;y5rPtpTFFaNRwjmsvZQbTTUiu8+AdL3OouSSRtdFUtZyVJbkYQ2XxNOs4uY5nu16nUT12/WaJ7WR&#10;r0y40hr/wkFg+Ur8nZ0/C5cbFlZpFqlTCO9zCr1rKsKshIO2Q12GdWhcs+xgqCKLGOV0XZ9FtJjJ&#10;C0GLwFUQq2eb14xeV3gtm+V2U7VGhxvVs/r/Hjb6/uM7ZmTxynThvpdhAXf87z9/++uP3w1YAdbZ&#10;VpslfOk1q95X75hasZGfxAXv1qwQ/8OlGDu0601r12RXGxGsdBeLeTAHk0ewjQSeZS08afkohdtz&#10;sF+UvlR7+rCf3M2xiSv2mXWHTPD+vuG1WC3Osz2tbQVs8s5g/GEGe5+GVYL3gQtbKIP5rcHeZGVi&#10;EOLZ0mD4pYvyHRN2iXbl++oNjX7mRkkv0rDcJDjch5sKTE3wksTpwrhyF/GBg6mNq+13NIbvhNc1&#10;RbaEqY11nlXfiB1x6SexpJmf+F5gGmBlx/Olhdt74PqwD94AIK1nyYrx+nVCC0MsrMwcrgdHDT8q&#10;64bL5iviYCV9leU5WD1c5qWxXZmBZ3u4A6d5FouNYhtnm6uLnBkfQ/Hw4T913L2vAeRljIPVYZa/&#10;LGOjRtvULANr5YkpjlAksWnkCXgssSQ5yEtxlB4F0niCW768ovENMgt0IBBy9eBkLOzmUZJkWA46&#10;mr3bPAwZBzzYjoc8uBbCCeZSTxZxfThL5IEAGdKizcPc3OyT4oHXSZjXaQ+HfHPyNDg9GuxR/YR4&#10;RpRzdh0bnDB4B9tFX9rREFiNd55IQF0zSMSAqKdC7A8gTNC5GQTCvrC5cg4iyKLv7MWMF4zRbZqE&#10;MZzYXtCQO4i9jwcNDQHPtiEMHIZoEiwUAe4c474WZ3vegMG5jxcdiqwGuZlnxcpc6CHkns7fYFRq&#10;PlC8sJBS9is4ENB7K5P/ch0yiC75tyUYNSCuA6Gzxg+u5xP4wPQtV/qWsIxgqJVZm4ZcvKilqLyu&#10;WLZJ4UgyLJf0BUTvdaYkShOSUK+MGpFARUlx90EEgK/pDsCzgh54Rr2DLc2584EQdCwiY5KNoN3i&#10;hB6M4J6+2JMhr/CfxDev0lCJE+X11FdRZe6NIWlrdQ88HHfyV++uduq5ljpkQhHnGQu/QfEtCEOB&#10;oZpnoAYe2v/ZXhMCe/AR8C5SD91JX5KDBuePoJDvg93EmjZFCyDWHbo9nBlp8XYct+e5Snv1wGul&#10;153c3RV49zzW5PXQyZ9KAA7aKWHj9ea94Duk6rudvMnlQWrqc1N6QTvb1JUeTvdGd3luILJ3Ihul&#10;Eq1N8sH27x1sJ6cHkxNF6VObdQRuE36bPBhOXRWHj5MhdeaByojJ/HY3/QAlCtJUZsQksMfnwKeR&#10;IX2qGTFxB6QsU1zY+kz0cbhAGQauyoWTg2lbh4XjqXkBsSQxExXVINkxESv2qdCF+uNQQSyRFkMs&#10;UK91WHQJM2L5eKITFwNx0SYMGm+hS+chuehXUxxL+ILbaICookKHBUp/KqaI1oBhnESv6GpB4bHL&#10;ng8Jw78UXV01tXcXqG86J+HYYgtKiomLpmVkGC7g+dsLHo4+5RmIC62uQqD8j67BtpxegoeQOehg&#10;AcF8jrBOgWIY3wACvg/BCM5Bg8CxRI8F3Gjb8voQWDAvRwamqYVqHRvED0A5tc/AqCpSo8FzIDYp&#10;GnrNF/OF6mryIEM9qYXB1AKBrpdeWBhLO6Jc0GhwofLe0NBrviBNj9sUHwbVCET44INyENG7cUT5&#10;cZxykA8yQTgH4vnOfsKB2E2r5IMrQm3BuqlXtytAg0wV7DsbcG9v/IREUMPRXh8P3kctyS6e/qGa&#10;KDwQGEfwwdmIkBqfFp8H93lOnTxn/6lN+xh8bfJUK/DI3miNvXGcmO2KJujJi4lmsadWnCFWm2/V&#10;QdJnTONFQ9cKJpCeaJUP8t9NONRB0oX2eCBBOX8C6cmCBLdO6vM9XaUXB4fuD/Tmx4XVQLp8ElYn&#10;0SJNoB36FvqgXbSrLwxNnyuSx+PqqYm+06AP3gK5jT69YWZo+mx39Ng50Xci9B1kzbF+MWynlpYd&#10;JUGj//0FhvuuhuqKLDqWUD9xppyoLkTxLhArY2wXPt5Cffz9VfF61GXIU/kqCb/hl7SWGb3P781W&#10;AtlS5aaalj5dnQ1fZ3XmvmzBgOblXhq968GYQMG3CMXT+1ivQBPS5toVKNAJ0Qmp4UHx7AWcgUhN&#10;HXiUCZT2dUR+AqC0yXQte+D0c+nj5DPn4p14YMb23V6739wWv4/xSbLqx2PM9HJiC6b0W6O/J4td&#10;PIcpCKdfIxyytAM9pw2F4ETBZ3ZayHN81Ur04NrOABROYv4uMY+/UgO/5IMvGKtfHRI/FaR/Rua7&#10;X1o6/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BY7scU2gAAAAoBAAAPAAAAAAAAAAEAIAAAACIA&#10;AABkcnMvZG93bnJldi54bWxQSwECFAAUAAAACACHTuJABPPotJgHAACxSQAADgAAAAAAAAABACAA&#10;AAApAQAAZHJzL2Uyb0RvYy54bWxQSwUGAAAAAAYABgBZAQAAMwsAAAAA&#10;">
                      <o:lock v:ext="edit" aspectratio="f"/>
                      <v:line id="Line 1152" o:spid="_x0000_s1026" o:spt="20" style="position:absolute;left:1759;top:357;flip:x y;height:1201;width:4471;" filled="f" stroked="t" coordsize="21600,21600" o:gfxdata="UEsDBAoAAAAAAIdO4kAAAAAAAAAAAAAAAAAEAAAAZHJzL1BLAwQUAAAACACHTuJAtTtJPrsAAADb&#10;AAAADwAAAGRycy9kb3ducmV2LnhtbEVPzWrCQBC+F3yHZQQvQXeTQ1qiqxRBDV5KtQ8wZKdJ2uxs&#10;yK4mvr17KPT48f1vdpPtxJ0G3zrWkK4UCOLKmZZrDV/Xw/INhA/IBjvHpOFBHnbb2csGC+NG/qT7&#10;JdQihrAvUEMTQl9I6auGLPqV64kj9+0GiyHCoZZmwDGG205mSuXSYsuxocGe9g1Vv5eb1fDef/zc&#10;sjI9GnXNkqQr89Sdzlov5qlagwg0hX/xn7s0Gl7j2Pgl/gC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tJP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1030" o:spid="_x0000_s1026" o:spt="20" style="position:absolute;left:1235;top:402;flip:y;height:1171;width:1472;" filled="f" stroked="t" coordsize="21600,21600" o:gfxdata="UEsDBAoAAAAAAIdO4kAAAAAAAAAAAAAAAAAEAAAAZHJzL1BLAwQUAAAACACHTuJAMokxn78AAADb&#10;AAAADwAAAGRycy9kb3ducmV2LnhtbEWP3WrCQBSE74W+w3IK3kjdRIJK6irWUrAggqn2+jR7uglm&#10;z4bs+tO37wqCl8PMfMPMFlfbiDN1vnasIB0mIIhLp2s2CvZfHy9TED4ga2wck4I/8rCYP/VmmGt3&#10;4R2di2BEhLDPUUEVQptL6cuKLPqha4mj9+s6iyHKzkjd4SXCbSNHSTKWFmuOCxW2tKqoPBYnq+B7&#10;kH1u1+nEvBVm846rQ/azXWZK9Z/T5BVEoGt4hO/ttVYwHcHtS/wBcv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JMZ+/&#10;AAAA2wAAAA8AAAAAAAAAAQAgAAAAIgAAAGRycy9kb3ducmV2LnhtbFBLAQIUABQAAAAIAIdO4kAz&#10;LwWeOwAAADkAAAAQAAAAAAAAAAEAIAAAAA4BAABkcnMvc2hhcGV4bWwueG1sUEsFBgAAAAAGAAYA&#10;WwEAALgDAAAAAA==&#10;">
                        <v:fill on="f" focussize="0,0"/>
                        <v:stroke color="#000000" joinstyle="round" endarrow="classic" endarrowlength="long"/>
                        <v:imagedata o:title=""/>
                        <o:lock v:ext="edit" aspectratio="f"/>
                      </v:line>
                      <v:line id="Line 1022" o:spid="_x0000_s1026" o:spt="20" style="position:absolute;left:4320;top:244;flip:x;height:1;width:900;" filled="f" stroked="t" coordsize="21600,21600" o:gfxdata="UEsDBAoAAAAAAIdO4kAAAAAAAAAAAAAAAAAEAAAAZHJzL1BLAwQUAAAACACHTuJAXcWUBL8AAADb&#10;AAAADwAAAGRycy9kb3ducmV2LnhtbEWPQWvCQBSE7wX/w/KEXopu0gaV1FWspWBBBKP2/Jp93QSz&#10;b0N2q/bfu0LB4zAz3zDT+cU24kSdrx0rSIcJCOLS6ZqNgv3uYzAB4QOyxsYxKfgjD/NZ72GKuXZn&#10;3tKpCEZECPscFVQhtLmUvqzIoh+6ljh6P66zGKLsjNQdniPcNvI5SUbSYs1xocKWlhWVx+LXKvh6&#10;yj43q3Rs3gqzfsflIfveLDKlHvtp8goi0CXcw//tlVYweYHbl/gD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FlAS/&#10;AAAA2wAAAA8AAAAAAAAAAQAgAAAAIgAAAGRycy9kb3ducmV2LnhtbFBLAQIUABQAAAAIAIdO4kAz&#10;LwWeOwAAADkAAAAQAAAAAAAAAAEAIAAAAA4BAABkcnMvc2hhcGV4bWwueG1sUEsFBgAAAAAGAAYA&#10;WwEAALgDAAAAAA==&#10;">
                        <v:fill on="f" focussize="0,0"/>
                        <v:stroke color="#000000" joinstyle="round" endarrow="classic" endarrowlength="long"/>
                        <v:imagedata o:title=""/>
                        <o:lock v:ext="edit" aspectratio="f"/>
                      </v:line>
                      <v:rect id="Rectangle 1010" o:spid="_x0000_s1026" o:spt="1" style="position:absolute;left:5221;top:0;height:468;width:1980;" filled="f" stroked="t" coordsize="21600,21600" o:gfxdata="UEsDBAoAAAAAAIdO4kAAAAAAAAAAAAAAAAAEAAAAZHJzL1BLAwQUAAAACACHTuJAr9/dPr4AAADb&#10;AAAADwAAAGRycy9kb3ducmV2LnhtbEWPQWvCQBSE70L/w/IKvZmNVktMXT0UC81FMG3x+si+bEKz&#10;b0N2o+m/d4VCj8PMfMNs95PtxIUG3zpWsEhSEMSV0y0bBV+f7/MMhA/IGjvHpOCXPOx3D7Mt5tpd&#10;+USXMhgRIexzVNCE0OdS+qohiz5xPXH0ajdYDFEORuoBrxFuO7lM0xdpseW40GBPbw1VP+VoFZy+&#10;D8aY9YjL4vkwZufNcVUXo1JPj4v0FUSgKfyH/9ofWkG2hvuX+APk7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dPr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7.19992125984252pt,3.59992125984252pt,7.19992125984252pt,3.59992125984252pt"/>
                      </v:rect>
                      <v:shape id="Text Box 1009" o:spid="_x0000_s1026" o:spt="202" type="#_x0000_t202" style="position:absolute;left:3015;top:28;height:468;width:900;" fillcolor="#FFFFFF" filled="t" stroked="f" coordsize="21600,21600" o:gfxdata="UEsDBAoAAAAAAIdO4kAAAAAAAAAAAAAAAAAEAAAAZHJzL1BLAwQUAAAACACHTuJAbjJdLLwAAADb&#10;AAAADwAAAGRycy9kb3ducmV2LnhtbEWPT4vCMBTE78J+h/AWvNm0HqR0jR6EbqV40RXPz+ZtW2xe&#10;uk38++mNIOxxmJnfMPPlzXTiQoNrLStIohgEcWV1y7WC/U8+SUE4j6yxs0wK7uRgufgYzTHT9spb&#10;uux8LQKEXYYKGu/7TEpXNWTQRbYnDt6vHQz6IIda6gGvAW46OY3jmTTYclhosKdVQ9VpdzYKimRz&#10;2JZH/n6UR0r/ko7zfVkoNf5M4i8Qnm7+P/xur7WCdAa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yXSy8AAAA&#10;2wAAAA8AAAAAAAAAAQAgAAAAIgAAAGRycy9kb3ducmV2LnhtbFBLAQIUABQAAAAIAIdO4kAzLwWe&#10;OwAAADkAAAAQAAAAAAAAAAEAIAAAAAsBAABkcnMvc2hhcGV4bWwueG1sUEsFBgAAAAAGAAYAWwEA&#10;ALUDAAAAAA==&#10;">
                        <v:fill on="t" opacity="0f" focussize="0,0"/>
                        <v:stroke on="f"/>
                        <v:imagedata o:title=""/>
                        <o:lock v:ext="edit" aspectratio="f"/>
                        <v:textbox inset="7.19992125984252pt,3.59992125984252pt,7.19992125984252pt,3.59992125984252pt">
                          <w:txbxContent>
                            <w:p w14:paraId="35393B88">
                              <w:pPr>
                                <w:spacing w:line="300" w:lineRule="exact"/>
                                <w:rPr>
                                  <w:szCs w:val="21"/>
                                </w:rPr>
                              </w:pPr>
                              <w:r>
                                <w:rPr>
                                  <w:rFonts w:hint="eastAsia"/>
                                  <w:szCs w:val="21"/>
                                </w:rPr>
                                <w:t xml:space="preserve">扬尘 </w:t>
                              </w:r>
                            </w:p>
                            <w:p w14:paraId="20619966"/>
                            <w:p w14:paraId="63A748F3"/>
                            <w:p w14:paraId="5D59A40E"/>
                          </w:txbxContent>
                        </v:textbox>
                      </v:shape>
                      <v:shape id="Oval 1008" o:spid="_x0000_s1026" o:spt="3" type="#_x0000_t3" style="position:absolute;left:2520;top:28;height:468;width:1800;" filled="f" stroked="t" coordsize="21600,21600" o:gfxdata="UEsDBAoAAAAAAIdO4kAAAAAAAAAAAAAAAAAEAAAAZHJzL1BLAwQUAAAACACHTuJAzhUZZb8AAADb&#10;AAAADwAAAGRycy9kb3ducmV2LnhtbEWPQUsDMRSE74L/ITzBm012D7VsmxaqaHuooFVaentsXjer&#10;m5clid323xtB8DjMzDfMbHF2nThRiK1nDcVIgSCuvWm50fDx/nQ3ARETssHOM2m4UITF/PpqhpXx&#10;A7/RaZsakSEcK9RgU+orKWNtyWEc+Z44e0cfHKYsQyNNwCHDXSdLpcbSYct5wWJPD5bqr+2301C+&#10;1I/P+yJ+btQhvF6GVblMdqf17U2hpiASndN/+K+9Nhom9/D7Jf8AO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VGWW/&#10;AAAA2wAAAA8AAAAAAAAAAQAgAAAAIgAAAGRycy9kb3ducmV2LnhtbFBLAQIUABQAAAAIAIdO4kAz&#10;LwWeOwAAADkAAAAQAAAAAAAAAAEAIAAAAA4BAABkcnMvc2hhcGV4bWwueG1sUEsFBgAAAAAGAAYA&#10;WwEAALgDAAAAAA==&#10;">
                        <v:fill on="f" focussize="0,0"/>
                        <v:stroke color="#000000" joinstyle="round"/>
                        <v:imagedata o:title=""/>
                        <o:lock v:ext="edit" aspectratio="f"/>
                        <v:textbox inset="7.19992125984252pt,3.59992125984252pt,7.19992125984252pt,3.59992125984252pt"/>
                      </v:shape>
                      <v:shape id="Text Box 1007" o:spid="_x0000_s1026" o:spt="202" type="#_x0000_t202" style="position:absolute;left:540;top:28;height:468;width:900;" fillcolor="#FFFFFF" filled="t" stroked="f" coordsize="21600,21600" o:gfxdata="UEsDBAoAAAAAAIdO4kAAAAAAAAAAAAAAAAAEAAAAZHJzL1BLAwQUAAAACACHTuJAZAJThb4AAADb&#10;AAAADwAAAGRycy9kb3ducmV2LnhtbEWPQWvCQBSE70L/w/IKvelmeyhp6uqhYC3BS2zw/My+JqHZ&#10;t2l2a1J/vSsIHoeZ+YZZrifbiRMNvnWsQS0SEMSVMy3XGsqvzTwF4QOywc4xafgnD+vVw2yJmXEj&#10;F3Tah1pECPsMNTQh9JmUvmrIol+4njh6326wGKIcamkGHCPcdvI5SV6kxZbjQoM9vTdU/ez/rIat&#10;2h2K/Mgf5/xI6a/qeFPmW62fHlXyBiLQFO7hW/vTaHhVcP0Sf4BcX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AJThb4A&#10;AADbAAAADwAAAAAAAAABACAAAAAiAAAAZHJzL2Rvd25yZXYueG1sUEsBAhQAFAAAAAgAh07iQDMv&#10;BZ47AAAAOQAAABAAAAAAAAAAAQAgAAAADQEAAGRycy9zaGFwZXhtbC54bWxQSwUGAAAAAAYABgBb&#10;AQAAtwMAAAAA&#10;">
                        <v:fill on="t" opacity="0f" focussize="0,0"/>
                        <v:stroke on="f"/>
                        <v:imagedata o:title=""/>
                        <o:lock v:ext="edit" aspectratio="f"/>
                        <v:textbox inset="7.19992125984252pt,3.59992125984252pt,7.19992125984252pt,3.59992125984252pt">
                          <w:txbxContent>
                            <w:p w14:paraId="0F3FE049">
                              <w:pPr>
                                <w:spacing w:line="300" w:lineRule="exact"/>
                                <w:rPr>
                                  <w:szCs w:val="21"/>
                                </w:rPr>
                              </w:pPr>
                              <w:r>
                                <w:rPr>
                                  <w:rFonts w:hint="eastAsia"/>
                                  <w:szCs w:val="21"/>
                                </w:rPr>
                                <w:t>噪 声</w:t>
                              </w:r>
                            </w:p>
                          </w:txbxContent>
                        </v:textbox>
                      </v:shape>
                      <v:shape id="Oval 1006" o:spid="_x0000_s1026" o:spt="3" type="#_x0000_t3" style="position:absolute;left:0;top:28;height:468;width:1800;" filled="f" stroked="t" coordsize="21600,21600" o:gfxdata="UEsDBAoAAAAAAIdO4kAAAAAAAAAAAAAAAAAEAAAAZHJzL1BLAwQUAAAACACHTuJAW7ssIL8AAADb&#10;AAAADwAAAGRycy9kb3ducmV2LnhtbEWPT0sDMRTE70K/Q3gFbzbZPYiuTQut+OegYFtp8fbYPDfb&#10;bl6WJHbbb28EocdhZn7DTOcn14kjhdh61lBMFAji2puWGw2fm6ebOxAxIRvsPJOGM0WYz0ZXU6yM&#10;H3hFx3VqRIZwrFCDTamvpIy1JYdx4nvi7H374DBlGRppAg4Z7jpZKnUrHbacFyz2tLRUH9Y/TkP5&#10;Xj8+74q4f1Nf4eM8vJSLZLdaX48L9QAi0Sldwv/tV6PhvoS/L/kH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7LCC/&#10;AAAA2wAAAA8AAAAAAAAAAQAgAAAAIgAAAGRycy9kb3ducmV2LnhtbFBLAQIUABQAAAAIAIdO4kAz&#10;LwWeOwAAADkAAAAQAAAAAAAAAAEAIAAAAA4BAABkcnMvc2hhcGV4bWwueG1sUEsFBgAAAAAGAAYA&#10;WwEAALgDAAAAAA==&#10;">
                        <v:fill on="f" focussize="0,0"/>
                        <v:stroke color="#000000" joinstyle="round"/>
                        <v:imagedata o:title=""/>
                        <o:lock v:ext="edit" aspectratio="f"/>
                        <v:textbox inset="7.19992125984252pt,3.59992125984252pt,7.19992125984252pt,3.59992125984252pt"/>
                      </v:shape>
                      <v:shape id="Text Box 1004" o:spid="_x0000_s1026" o:spt="202" type="#_x0000_t202" style="position:absolute;left:4996;top:30;height:468;width:2700;" fillcolor="#FFFFFF" filled="t" stroked="f" coordsize="21600,21600" o:gfxdata="UEsDBAoAAAAAAIdO4kAAAAAAAAAAAAAAAAAEAAAAZHJzL1BLAwQUAAAACACHTuJA+5xoab4AAADb&#10;AAAADwAAAGRycy9kb3ducmV2LnhtbEWPQWvCQBSE74L/YXmF3uomLYimbnIoWEvwEpWen9nXJDT7&#10;Nma3SfTXdwsFj8PMfMNsssm0YqDeNZYVxIsIBHFpdcOVgtNx+7QC4TyyxtYyKbiSgyydzzaYaDty&#10;QcPBVyJA2CWooPa+S6R0ZU0G3cJ2xMH7sr1BH2RfSd3jGOCmlc9RtJQGGw4LNXb0VlP5ffgxCnbx&#10;/rPIz/x+y8+0usQtb0/5TqnHhzh6BeFp8vfwf/tDK1i/wN+X8AN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xoab4A&#10;AADbAAAADwAAAAAAAAABACAAAAAiAAAAZHJzL2Rvd25yZXYueG1sUEsBAhQAFAAAAAgAh07iQDMv&#10;BZ47AAAAOQAAABAAAAAAAAAAAQAgAAAADQEAAGRycy9zaGFwZXhtbC54bWxQSwUGAAAAAAYABgBb&#10;AQAAtwMAAAAA&#10;">
                        <v:fill on="t" opacity="0f" focussize="0,0"/>
                        <v:stroke on="f"/>
                        <v:imagedata o:title=""/>
                        <o:lock v:ext="edit" aspectratio="f"/>
                        <v:textbox inset="7.19992125984252pt,3.59992125984252pt,7.19992125984252pt,3.59992125984252pt">
                          <w:txbxContent>
                            <w:p w14:paraId="3B9B713C">
                              <w:pPr>
                                <w:spacing w:line="300" w:lineRule="exact"/>
                                <w:ind w:firstLine="315" w:firstLineChars="150"/>
                                <w:rPr>
                                  <w:szCs w:val="21"/>
                                </w:rPr>
                              </w:pPr>
                              <w:r>
                                <w:rPr>
                                  <w:rFonts w:hint="eastAsia"/>
                                  <w:szCs w:val="21"/>
                                </w:rPr>
                                <w:t>物料堆放、运输</w:t>
                              </w:r>
                            </w:p>
                          </w:txbxContent>
                        </v:textbox>
                      </v:shape>
                      <v:line id="Line 1031" o:spid="_x0000_s1026" o:spt="20" style="position:absolute;left:3695;top:448;flip:x y;height:1130;width:1007;" filled="f" stroked="t" coordsize="21600,21600" o:gfxdata="UEsDBAoAAAAAAIdO4kAAAAAAAAAAAAAAAAAEAAAAZHJzL1BLAwQUAAAACACHTuJAkhP0SLwAAADb&#10;AAAADwAAAGRycy9kb3ducmV2LnhtbEWPQYvCMBSE74L/IbwFb5q6StFq9CAu60EEdWGvj+bZ1m1e&#10;apNt7b83guBxmJlvmOX6bkrRUO0KywrGowgEcWp1wZmCn/PXcAbCeWSNpWVS0JGD9arfW2KibctH&#10;ak4+EwHCLkEFufdVIqVLczLoRrYiDt7F1gZ9kHUmdY1tgJtSfkZRLA0WHBZyrGiTU/p3+jcK7HTy&#10;e2gO2++u21/b2OtbYTBWavAxjhYgPN39O/xq77SC+RSeX8IP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T9Ei8AAAA&#10;2wAAAA8AAAAAAAAAAQAgAAAAIgAAAGRycy9kb3ducmV2LnhtbFBLAQIUABQAAAAIAIdO4kAzLwWe&#10;OwAAADkAAAAQAAAAAAAAAAEAIAAAAAsBAABkcnMvc2hhcGV4bWwueG1sUEsFBgAAAAAGAAYAWwEA&#10;ALUDAAAAAA==&#10;">
                        <v:fill on="f" focussize="0,0"/>
                        <v:stroke color="#000000" joinstyle="round" endarrow="classic" endarrowlength="long"/>
                        <v:imagedata o:title=""/>
                        <o:lock v:ext="edit" aspectratio="f"/>
                      </v:line>
                      <v:line id="Line 1029" o:spid="_x0000_s1026" o:spt="20" style="position:absolute;left:900;top:495;flip:x y;height:1048;width:350;" filled="f" stroked="t" coordsize="21600,21600" o:gfxdata="UEsDBAoAAAAAAIdO4kAAAAAAAAAAAAAAAAAEAAAAZHJzL1BLAwQUAAAACACHTuJA/V9R070AAADb&#10;AAAADwAAAGRycy9kb3ducmV2LnhtbEWPQWvCQBSE7wX/w/IEb3Wj1mBTVw+itIciGIVeH9nXJJp9&#10;G7NrYv59tyB4HGbmG2a5vptKtNS40rKCyTgCQZxZXXKu4HTcvS5AOI+ssbJMCnpysF4NXpaYaNvx&#10;gdrU5yJA2CWooPC+TqR0WUEG3djWxMH7tY1BH2STS91gF+CmktMoiqXBksNCgTVtCsou6c0osG+z&#10;n3273372/fe5i72+lgZjpUbDSfQBwtPdP8OP9pdW8D6H/y/h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1HTvQAA&#10;ANsAAAAPAAAAAAAAAAEAIAAAACIAAABkcnMvZG93bnJldi54bWxQSwECFAAUAAAACACHTuJAMy8F&#10;njsAAAA5AAAAEAAAAAAAAAABACAAAAAMAQAAZHJzL3NoYXBleG1sLnhtbFBLBQYAAAAABgAGAFsB&#10;AAC2AwAAAAA=&#10;">
                        <v:fill on="f" focussize="0,0"/>
                        <v:stroke color="#000000" joinstyle="round" endarrow="classic" endarrowlength="long"/>
                        <v:imagedata o:title=""/>
                        <o:lock v:ext="edit" aspectratio="f"/>
                      </v:line>
                      <v:line id="Line 1027" o:spid="_x0000_s1026" o:spt="20" style="position:absolute;left:1080;top:496;flip:x y;height:1077;width:1980;" filled="f" stroked="t" coordsize="21600,21600" o:gfxdata="UEsDBAoAAAAAAIdO4kAAAAAAAAAAAAAAAAAEAAAAZHJzL1BLAwQUAAAACACHTuJADY3PpL0AAADb&#10;AAAADwAAAGRycy9kb3ducmV2LnhtbEWPT4vCMBTE74LfITxhb5q6LkWr0YOsuIdF8A94fTTPttq8&#10;1Ca29ttvFgSPw8z8hlmsnqYUDdWusKxgPIpAEKdWF5wpOB03wykI55E1lpZJQUcOVst+b4GJti3v&#10;qTn4TAQIuwQV5N5XiZQuzcmgG9mKOHgXWxv0QdaZ1DW2AW5K+RlFsTRYcFjIsaJ1Tunt8DAK7Nfk&#10;vGt239uu+722sdf3wmCs1MdgHM1BeHr6d/jV/tEKZjH8fw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jc+kvQAA&#10;ANsAAAAPAAAAAAAAAAEAIAAAACIAAABkcnMvZG93bnJldi54bWxQSwECFAAUAAAACACHTuJAMy8F&#10;njsAAAA5AAAAEAAAAAAAAAABACAAAAAMAQAAZHJzL3NoYXBleG1sLnhtbFBLBQYAAAAABgAGAFsB&#10;AAC2AwAAAAA=&#10;">
                        <v:fill on="f" focussize="0,0"/>
                        <v:stroke color="#000000" joinstyle="round" endarrow="classic" endarrowlength="long"/>
                        <v:imagedata o:title=""/>
                        <o:lock v:ext="edit" aspectratio="f"/>
                      </v:line>
                      <v:line id="Line 1026" o:spid="_x0000_s1026" o:spt="20" style="position:absolute;left:3050;top:496;flip:y;height:1092;width:369;" filled="f" stroked="t" coordsize="21600,21600" o:gfxdata="UEsDBAoAAAAAAIdO4kAAAAAAAAAAAAAAAAAEAAAAZHJzL1BLAwQUAAAACACHTuJApycE2r8AAADb&#10;AAAADwAAAGRycy9kb3ducmV2LnhtbEWPQWvCQBSE7wX/w/KEXopuUkLV1FXUUrAggtH2/Jp9boLZ&#10;tyG7VfvvuwXB4zAz3zDT+dU24kydrx0rSIcJCOLS6ZqNgsP+fTAG4QOyxsYxKfglD/NZ72GKuXYX&#10;3tG5CEZECPscFVQhtLmUvqzIoh+6ljh6R9dZDFF2RuoOLxFuG/mcJC/SYs1xocKWVhWVp+LHKvh6&#10;yj6263RkloXZvOHqM/veLjKlHvtp8goi0DXcw7f2WiuYjOD/S/wB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nBNq/&#10;AAAA2wAAAA8AAAAAAAAAAQAgAAAAIgAAAGRycy9kb3ducmV2LnhtbFBLAQIUABQAAAAIAIdO4kAz&#10;LwWeOwAAADkAAAAQAAAAAAAAAAEAIAAAAA4BAABkcnMvc2hhcGV4bWwueG1sUEsFBgAAAAAGAAYA&#10;WwEAALgDAAAAAA==&#10;">
                        <v:fill on="f" focussize="0,0"/>
                        <v:stroke color="#000000" joinstyle="round" endarrow="classic" endarrowlength="long"/>
                        <v:imagedata o:title=""/>
                        <o:lock v:ext="edit" aspectratio="f"/>
                      </v:line>
                      <v:line id="Line 1025" o:spid="_x0000_s1026" o:spt="20" style="position:absolute;left:1440;top:481;flip:x y;height:1092;width:3240;" filled="f" stroked="t" coordsize="21600,21600" o:gfxdata="UEsDBAoAAAAAAIdO4kAAAAAAAAAAAAAAAAAEAAAAZHJzL1BLAwQUAAAACACHTuJAE17+TbkAAADb&#10;AAAADwAAAGRycy9kb3ducmV2LnhtbEVPy4rCMBTdD/gP4QruxtRRilajCxnRhQg+wO2lubbV5qY2&#10;sbV/P1kMuDyc92L1NqVoqHaFZQWjYQSCOLW64EzB5bz5noJwHlljaZkUdORgtex9LTDRtuUjNSef&#10;iRDCLkEFufdVIqVLczLohrYiDtzN1gZ9gHUmdY1tCDel/ImiWBosODTkWNE6p/RxehkFdjK+HprD&#10;77br9vc29vpZGIyVGvRH0RyEp7f/iP/dO61gFsaGL+EHyO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Ne/k25AAAA2wAA&#10;AA8AAAAAAAAAAQAgAAAAIgAAAGRycy9kb3ducmV2LnhtbFBLAQIUABQAAAAIAIdO4kAzLwWeOwAA&#10;ADkAAAAQAAAAAAAAAAEAIAAAAAgBAABkcnMvc2hhcGV4bWwueG1sUEsFBgAAAAAGAAYAWwEAALID&#10;AAAAAA==&#10;">
                        <v:fill on="f" focussize="0,0"/>
                        <v:stroke color="#000000" joinstyle="round" endarrow="classic" endarrowlength="long"/>
                        <v:imagedata o:title=""/>
                        <o:lock v:ext="edit" aspectratio="f"/>
                      </v:line>
                      <v:line id="Line 1034" o:spid="_x0000_s1026" o:spt="20" style="position:absolute;left:1115;top:2038;height:665;width:1164;" filled="f" stroked="t" coordsize="21600,21600" o:gfxdata="UEsDBAoAAAAAAIdO4kAAAAAAAAAAAAAAAAAEAAAAZHJzL1BLAwQUAAAACACHTuJA1q+qgb4AAADb&#10;AAAADwAAAGRycy9kb3ducmV2LnhtbEWPzW7CMBCE70h9B2sr9QYOPZSQxuFQFQnohZ+0XFfxNoka&#10;ryPbBHj7GgmJ42hmvtHki4vpxEDOt5YVTCcJCOLK6pZrBeVhOU5B+ICssbNMCq7kYVE8jXLMtD3z&#10;joZ9qEWEsM9QQRNCn0npq4YM+ontiaP3a53BEKWrpXZ4jnDTydckeZMGW44LDfb00VD1tz8ZBevy&#10;Z7Psyq/T1g0zfbTf6efsmCr18jxN3kEEuoRH+N5eaQXzOdy+xB8g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qgb4A&#10;AADbAAAADwAAAAAAAAABACAAAAAiAAAAZHJzL2Rvd25yZXYueG1sUEsBAhQAFAAAAAgAh07iQDMv&#10;BZ47AAAAOQAAABAAAAAAAAAAAQAgAAAADQEAAGRycy9zaGFwZXhtbC54bWxQSwUGAAAAAAYABgBb&#10;AQAAtwMAAAAA&#10;">
                        <v:fill on="f" focussize="0,0"/>
                        <v:stroke color="#000000" joinstyle="round" endarrow="classic" endarrowlength="long"/>
                        <v:imagedata o:title=""/>
                        <o:lock v:ext="edit" aspectratio="f"/>
                      </v:line>
                      <v:line id="Line 1035" o:spid="_x0000_s1026" o:spt="20" style="position:absolute;left:3071;top:2058;height:630;width:103;" filled="f" stroked="t" coordsize="21600,21600" o:gfxdata="UEsDBAoAAAAAAIdO4kAAAAAAAAAAAAAAAAAEAAAAZHJzL1BLAwQUAAAACACHTuJAI1HGWb8AAADc&#10;AAAADwAAAGRycy9kb3ducmV2LnhtbEWPQW/CMAyF75P4D5GRdhsJO4yqI3BAILHtskE3rlbjtRWN&#10;UyWhsH8/HybtZus9v/d5ub75Xo0UUxfYwnxmQBHXwXXcWKiOu4cCVMrIDvvAZOGHEqxXk7slli5c&#10;+YPGQ26UhHAq0UKb81BqneqWPKZZGIhF+w7RY5Y1NtpFvEq47/WjMU/aY8fS0OJAm5bq8+HiLbxU&#10;X6+7vnq7vMdx4U7hs9guToW199O5eQaV6Zb/zX/Xeyf4RvDlGZl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Rxlm/&#10;AAAA3AAAAA8AAAAAAAAAAQAgAAAAIgAAAGRycy9kb3ducmV2LnhtbFBLAQIUABQAAAAIAIdO4kAz&#10;LwWeOwAAADkAAAAQAAAAAAAAAAEAIAAAAA4BAABkcnMvc2hhcGV4bWwueG1sUEsFBgAAAAAGAAYA&#10;WwEAALgDAAAAAA==&#10;">
                        <v:fill on="f" focussize="0,0"/>
                        <v:stroke color="#000000" joinstyle="round" endarrow="classic" endarrowlength="long"/>
                        <v:imagedata o:title=""/>
                        <o:lock v:ext="edit" aspectratio="f"/>
                      </v:line>
                      <v:line id="Line 1037" o:spid="_x0000_s1026" o:spt="20" style="position:absolute;left:5325;top:2052;flip:x;height:591;width:686;" filled="f" stroked="t" coordsize="21600,21600" o:gfxdata="UEsDBAoAAAAAAIdO4kAAAAAAAAAAAAAAAAAEAAAAZHJzL1BLAwQUAAAACACHTuJA3v7cH70AAADc&#10;AAAADwAAAGRycy9kb3ducmV2LnhtbEVP32vCMBB+F/wfwgl7kZl0FCfVKJtj4GAIq9uez+ZMi82l&#10;NJm6/34ZCL7dx/fzFquLa8WJ+tB41pBNFAjiypuGrYbP3ev9DESIyAZbz6ThlwKslsPBAgvjz/xB&#10;pzJakUI4FKihjrErpAxVTQ7DxHfEiTv43mFMsLfS9HhO4a6VD0pNpcOGU0ONHa1rqo7lj9PwPc7f&#10;tpvs0T6X9v0F11/5fvuUa303ytQcRKRLvImv7o1J81UG/8+kC+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twfvQAA&#10;ANwAAAAPAAAAAAAAAAEAIAAAACIAAABkcnMvZG93bnJldi54bWxQSwECFAAUAAAACACHTuJAMy8F&#10;njsAAAA5AAAAEAAAAAAAAAABACAAAAAMAQAAZHJzL3NoYXBleG1sLnhtbFBLBQYAAAAABgAGAFsB&#10;AAC2AwAAAAA=&#10;">
                        <v:fill on="f" focussize="0,0"/>
                        <v:stroke color="#000000" joinstyle="round" endarrow="classic" endarrowlength="long"/>
                        <v:imagedata o:title=""/>
                        <o:lock v:ext="edit" aspectratio="f"/>
                      </v:line>
                      <v:line id="Line 1036" o:spid="_x0000_s1026" o:spt="20" style="position:absolute;left:4522;top:2054;flip:x;height:665;width:196;" filled="f" stroked="t" coordsize="21600,21600" o:gfxdata="UEsDBAoAAAAAAIdO4kAAAAAAAAAAAAAAAAAEAAAAZHJzL1BLAwQUAAAACACHTuJALixCaL4AAADc&#10;AAAADwAAAGRycy9kb3ducmV2LnhtbEVP22oCMRB9F/yHMEJfpCYri5atUVqLYKEIrm2fp5tpdulm&#10;smxSL3/fFATf5nCus1idXSuO1IfGs4ZsokAQV940bDW8Hzb3DyBCRDbYeiYNFwqwWg4HCyyMP/Ge&#10;jmW0IoVwKFBDHWNXSBmqmhyGie+IE/fte4cxwd5K0+MphbtWTpWaSYcNp4YaO1rXVP2Uv07D5zh/&#10;3W2zuX0u7dsLrj/yr91TrvXdKFOPICKd4018dW9Nmq+m8P9Muk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xCaL4A&#10;AADcAAAADwAAAAAAAAABACAAAAAiAAAAZHJzL2Rvd25yZXYueG1sUEsBAhQAFAAAAAgAh07iQDMv&#10;BZ47AAAAOQAAABAAAAAAAAAAAQAgAAAADQEAAGRycy9zaGFwZXhtbC54bWxQSwUGAAAAAAYABgBb&#10;AQAAtwMAAAAA&#10;">
                        <v:fill on="f" focussize="0,0"/>
                        <v:stroke color="#000000" joinstyle="round" endarrow="classic" endarrowlength="long"/>
                        <v:imagedata o:title=""/>
                        <o:lock v:ext="edit" aspectratio="f"/>
                      </v:line>
                      <v:shape id="Text Box 1012" o:spid="_x0000_s1026" o:spt="202" type="#_x0000_t202" style="position:absolute;left:738;top:1573;height:468;width:1260;" filled="f" stroked="f" coordsize="21600,21600" o:gfxdata="UEsDBAoAAAAAAIdO4kAAAAAAAAAAAAAAAAAEAAAAZHJzL1BLAwQUAAAACACHTuJAcm77M7sAAADc&#10;AAAADwAAAGRycy9kb3ducmV2LnhtbEVP32vCMBB+F/Y/hBvsTZM6HK4zipYVlD2pY89Hc2vKmktt&#10;Mq3/vRkMfLuP7+ctVoNrxZn60HjWkE0UCOLKm4ZrDZ/HcjwHESKywdYzabhSgNXyYbTA3PgL7+l8&#10;iLVIIRxy1GBj7HIpQ2XJYZj4jjhx3753GBPsa2l6vKRw18qpUi/SYcOpwWJHhaXq5/DrNJRUrjfb&#10;8BpO869ZVtj34mPYFVo/PWbqDUSkId7F/+6tSfPVM/w9ky6Qy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77M7sAAADc&#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14:paraId="324DFA28">
                              <w:pPr>
                                <w:spacing w:line="300" w:lineRule="exact"/>
                                <w:rPr>
                                  <w:szCs w:val="21"/>
                                </w:rPr>
                              </w:pPr>
                              <w:r>
                                <w:rPr>
                                  <w:rFonts w:hint="eastAsia"/>
                                  <w:szCs w:val="21"/>
                                </w:rPr>
                                <w:t>场地施工</w:t>
                              </w:r>
                            </w:p>
                            <w:p w14:paraId="7C9C6C65"/>
                          </w:txbxContent>
                        </v:textbox>
                      </v:shape>
                      <v:rect id="Rectangle 1013" o:spid="_x0000_s1026" o:spt="1" style="position:absolute;left:558;top:1573;height:468;width:1440;" filled="f" stroked="t" coordsize="21600,21600" o:gfxdata="UEsDBAoAAAAAAIdO4kAAAAAAAAAAAAAAAAAEAAAAZHJzL1BLAwQUAAAACACHTuJAOYwTdLwAAADc&#10;AAAADwAAAGRycy9kb3ducmV2LnhtbEVPTWvCQBC9F/wPywje6m40LTZ140EU6qWgVXodsuMmNDsb&#10;shtN/323UOhtHu9z1pvRteJGfWg8a8jmCgRx5U3DVsP5Y/+4AhEissHWM2n4pgCbcvKwxsL4Ox/p&#10;dopWpBAOBWqoY+wKKUNVk8Mw9x1x4q6+dxgT7K00Pd5TuGvlQqln6bDh1FBjR9uaqq/T4DQcLztr&#10;7dOAi8NyN6w+X97z62HQejbN1CuISGP8F/+530yar3L4fSZdI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ME3S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7.19992125984252pt,3.59992125984252pt,7.19992125984252pt,3.59992125984252pt"/>
                      </v:rect>
                      <v:shape id="Text Box 1014" o:spid="_x0000_s1026" o:spt="202" type="#_x0000_t202" style="position:absolute;left:2478;top:1573;height:468;width:1260;" filled="f" stroked="f" coordsize="21600,21600" o:gfxdata="UEsDBAoAAAAAAIdO4kAAAAAAAAAAAAAAAAAEAAAAZHJzL1BLAwQUAAAACACHTuJAksvG3LsAAADc&#10;AAAADwAAAGRycy9kb3ducmV2LnhtbEVP32vCMBB+H/g/hBN8m0kHDu2MosWCsqep7Plobk1Zc+ma&#10;qPW/N4PB3u7j+3nL9eBacaU+NJ41ZFMFgrjypuFaw/lUPs9BhIhssPVMGu4UYL0aPS0xN/7GH3Q9&#10;xlqkEA45arAxdrmUobLkMEx9R5y4L987jAn2tTQ93lK4a+WLUq/SYcOpwWJHhaXq+3hxGkoqN9t9&#10;WISf+ecsK+yueB8OhdaTcabeQEQa4r/4z703ab6awe8z6QK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svG3LsAAADc&#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14:paraId="5D825BB7">
                              <w:pPr>
                                <w:spacing w:line="300" w:lineRule="exact"/>
                                <w:rPr>
                                  <w:rFonts w:hint="eastAsia" w:eastAsia="宋体"/>
                                  <w:szCs w:val="21"/>
                                  <w:lang w:eastAsia="zh-CN"/>
                                </w:rPr>
                              </w:pPr>
                              <w:r>
                                <w:rPr>
                                  <w:rFonts w:hint="eastAsia"/>
                                  <w:szCs w:val="21"/>
                                  <w:lang w:eastAsia="zh-CN"/>
                                </w:rPr>
                                <w:t>主体施工</w:t>
                              </w:r>
                            </w:p>
                          </w:txbxContent>
                        </v:textbox>
                      </v:shape>
                      <v:shape id="Text Box 1015" o:spid="_x0000_s1026" o:spt="202" type="#_x0000_t202" style="position:absolute;left:4098;top:1573;height:468;width:1260;" filled="f" stroked="f" coordsize="21600,21600" o:gfxdata="UEsDBAoAAAAAAIdO4kAAAAAAAAAAAAAAAAAEAAAAZHJzL1BLAwQUAAAACACHTuJAYhlYq7sAAADc&#10;AAAADwAAAGRycy9kb3ducmV2LnhtbEVP32vCMBB+H/g/hBN8m0kFRTujaFnB4dNU9nw0t6asudQm&#10;0+6/XwbC3u7j+3nr7eBacaM+NJ41ZFMFgrjypuFaw+VcPi9BhIhssPVMGn4owHYzelpjbvyd3+l2&#10;irVIIRxy1GBj7HIpQ2XJYZj6jjhxn753GBPsa2l6vKdw18qZUgvpsOHUYLGjwlL1dfp2Gkoqd/tD&#10;WIXr8mOeFfa1OA5vhdaTcaZeQEQa4r/44T6YNF8t4O+ZdIH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lYq7sAAADc&#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14:paraId="1953254C">
                              <w:pPr>
                                <w:spacing w:line="300" w:lineRule="exact"/>
                                <w:rPr>
                                  <w:szCs w:val="21"/>
                                </w:rPr>
                              </w:pPr>
                              <w:r>
                                <w:rPr>
                                  <w:rFonts w:hint="eastAsia"/>
                                  <w:szCs w:val="21"/>
                                </w:rPr>
                                <w:t>道路修筑</w:t>
                              </w:r>
                            </w:p>
                          </w:txbxContent>
                        </v:textbox>
                      </v:shape>
                      <v:shape id="Text Box 1016" o:spid="_x0000_s1026" o:spt="202" type="#_x0000_t202" style="position:absolute;left:5718;top:1573;height:468;width:1260;" filled="f" stroked="f" coordsize="21600,21600" o:gfxdata="UEsDBAoAAAAAAIdO4kAAAAAAAAAAAAAAAAAEAAAAZHJzL1BLAwQUAAAACACHTuJADVX9MLsAAADc&#10;AAAADwAAAGRycy9kb3ducmV2LnhtbEVP32vCMBB+F/Y/hBvsTZMKc64zipYVlD2pY89Hc2vKmktt&#10;Mq3/vRkMfLuP7+ctVoNrxZn60HjWkE0UCOLKm4ZrDZ/HcjwHESKywdYzabhSgNXyYbTA3PgL7+l8&#10;iLVIIRxy1GBj7HIpQ2XJYZj4jjhx3753GBPsa2l6vKRw18qpUjPpsOHUYLGjwlL1c/h1Gkoq15tt&#10;eA2n+ddzVtj34mPYFVo/PWbqDUSkId7F/+6tSfPVC/w9ky6Qy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VX9MLsAAADc&#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14:paraId="3F7F9018">
                              <w:pPr>
                                <w:spacing w:line="300" w:lineRule="exact"/>
                                <w:rPr>
                                  <w:rFonts w:hint="eastAsia" w:eastAsia="宋体"/>
                                  <w:szCs w:val="21"/>
                                  <w:lang w:eastAsia="zh-CN"/>
                                </w:rPr>
                              </w:pPr>
                              <w:r>
                                <w:rPr>
                                  <w:rFonts w:hint="eastAsia"/>
                                  <w:szCs w:val="21"/>
                                </w:rPr>
                                <w:t>房屋</w:t>
                              </w:r>
                              <w:r>
                                <w:rPr>
                                  <w:rFonts w:hint="eastAsia"/>
                                  <w:szCs w:val="21"/>
                                  <w:lang w:eastAsia="zh-CN"/>
                                </w:rPr>
                                <w:t>装修</w:t>
                              </w:r>
                            </w:p>
                          </w:txbxContent>
                        </v:textbox>
                      </v:shape>
                      <v:rect id="Rectangle 1019" o:spid="_x0000_s1026" o:spt="1" style="position:absolute;left:5658;top:1573;height:468;width:1260;" filled="f" stroked="t" coordsize="21600,21600" o:gfxdata="UEsDBAoAAAAAAIdO4kAAAAAAAAAAAAAAAAAEAAAAZHJzL1BLAwQUAAAACACHTuJAuMEZcb4AAADc&#10;AAAADwAAAGRycy9kb3ducmV2LnhtbEWPQWsCMRCF70L/Q5hCb5poa9HV6KFYqJeCVvE6bMbs4may&#10;bLJq/33nUPA2w3vz3jfL9T006kpdqiNbGI8MKOIyupq9hcPP53AGKmVkh01ksvBLCdarp8ESCxdv&#10;vKPrPnslIZwKtFDl3BZap7KigGkUW2LRzrELmGXtvHYd3iQ8NHpizLsOWLM0VNjSR0XlZd8HC7vj&#10;xns/7XGyfd30s9P8++287a19eR6bBahM9/ww/19/OcE3QivPyAR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EZcb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7.19992125984252pt,3.59992125984252pt,7.19992125984252pt,3.59992125984252pt"/>
                      </v:rect>
                      <v:rect id="Rectangle 1020" o:spid="_x0000_s1026" o:spt="1" style="position:absolute;left:4038;top:1573;height:468;width:1260;" filled="f" stroked="t" coordsize="21600,21600" o:gfxdata="UEsDBAoAAAAAAIdO4kAAAAAAAAAAAAAAAAAEAAAAZHJzL1BLAwQUAAAACACHTuJA14286rwAAADc&#10;AAAADwAAAGRycy9kb3ducmV2LnhtbEVPTWvCQBC9F/oflhF6q7tJa9HoJodioV4EbYvXITtugtnZ&#10;kN2o/ffdguBtHu9zVtXVdeJMQ2g9a8imCgRx7U3LVsP318fzHESIyAY7z6ThlwJU5ePDCgvjL7yj&#10;8z5akUI4FKihibEvpAx1Qw7D1PfEiTv6wWFMcLDSDHhJ4a6TuVJv0mHLqaHBnt4bqk/70WnY/ayt&#10;tbMR883LepwfFtvX42bU+mmSqSWISNd4F9/cnybNVwv4fyZdI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NvOq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7.19992125984252pt,3.59992125984252pt,7.19992125984252pt,3.59992125984252pt"/>
                      </v:rect>
                      <v:rect id="Rectangle 1021" o:spid="_x0000_s1026" o:spt="1" style="position:absolute;left:2418;top:1573;height:468;width:1260;" filled="f" stroked="t" coordsize="21600,21600" o:gfxdata="UEsDBAoAAAAAAIdO4kAAAAAAAAAAAAAAAAAEAAAAZHJzL1BLAwQUAAAACACHTuJAw26Dqr8AAADc&#10;AAAADwAAAGRycy9kb3ducmV2LnhtbEWPT2vDMAzF74N+B6NCb6uTdhtdFqeH0UF7KbTb2FXEqhMW&#10;yyF2+ufbT4fCbhLv6b2fyvXVd+pMQ2wDG8jnGSjiOtiWnYGvz4/HFaiYkC12gcnAjSKsq8lDiYUN&#10;Fz7Q+ZickhCOBRpoUuoLrWPdkMc4Dz2xaKcweEyyDk7bAS8S7ju9yLIX7bFlaWiwp/eG6t/j6A0c&#10;vjfOuecRF7vlZlz9vO6fTrvRmNk0z95AJbqmf/P9emsFPxd8eUYm0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ug6q/&#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7.19992125984252pt,3.59992125984252pt,7.19992125984252pt,3.59992125984252pt"/>
                      </v:rect>
                      <v:line id="Line 1038" o:spid="_x0000_s1026" o:spt="20" style="position:absolute;left:1998;top:1789;height:1;width:425;" filled="f" stroked="t" coordsize="21600,21600" o:gfxdata="UEsDBAoAAAAAAIdO4kAAAAAAAAAAAAAAAAAEAAAAZHJzL1BLAwQUAAAACACHTuJATItiFb4AAADc&#10;AAAADwAAAGRycy9kb3ducmV2LnhtbEVPS2vCQBC+F/oflil4q5sI1Zq6CgoWKV6MLdrbNDt51Oxs&#10;yG41+utdQehtPr7nTGadqcWRWldZVhD3IxDEmdUVFwo+t8vnVxDOI2usLZOCMzmYTR8fJphoe+IN&#10;HVNfiBDCLkEFpfdNIqXLSjLo+rYhDlxuW4M+wLaQusVTCDe1HETRUBqsODSU2NCipOyQ/hkF6+49&#10;9S8fl6/9/Pd7txyPR3nufpTqPcXRGwhPnf8X390rHebHMdyeCRfI6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tiFb4A&#10;AADcAAAADwAAAAAAAAABACAAAAAiAAAAZHJzL2Rvd25yZXYueG1sUEsBAhQAFAAAAAgAh07iQDMv&#10;BZ47AAAAOQAAABAAAAAAAAAAAQAgAAAADQEAAGRycy9zaGFwZXhtbC54bWxQSwUGAAAAAAYABgBb&#10;AQAAtwMAAAAA&#10;">
                        <v:fill on="f" focussize="0,0"/>
                        <v:stroke weight="1pt" color="#000000" joinstyle="round" dashstyle="1 1" endcap="round" endarrow="block"/>
                        <v:imagedata o:title=""/>
                        <o:lock v:ext="edit" aspectratio="f"/>
                      </v:line>
                      <v:line id="Line 1039" o:spid="_x0000_s1026" o:spt="20" style="position:absolute;left:3670;top:1804;height:1;width:369;" filled="f" stroked="t" coordsize="21600,21600" o:gfxdata="UEsDBAoAAAAAAIdO4kAAAAAAAAAAAAAAAAAEAAAAZHJzL1BLAwQUAAAACACHTuJAvFn8Yr4AAADc&#10;AAAADwAAAGRycy9kb3ducmV2LnhtbEVPS2vCQBC+F/oflil4q5sI9ZG6CgoWES+NFfU2zU4ebXY2&#10;ZFdN++vdgtDbfHzPmc47U4sLta6yrCDuRyCIM6srLhR87FbPYxDOI2usLZOCH3Iwnz0+TDHR9srv&#10;dEl9IUIIuwQVlN43iZQuK8mg69uGOHC5bQ36ANtC6havIdzUchBFQ2mw4tBQYkPLkrLv9GwUbLu3&#10;1L9sfvfHxdfpsJpMRnnuPpXqPcXRKwhPnf8X391rHebHA/h7Jlw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n8Yr4A&#10;AADcAAAADwAAAAAAAAABACAAAAAiAAAAZHJzL2Rvd25yZXYueG1sUEsBAhQAFAAAAAgAh07iQDMv&#10;BZ47AAAAOQAAABAAAAAAAAAAAQAgAAAADQEAAGRycy9zaGFwZXhtbC54bWxQSwUGAAAAAAYABgBb&#10;AQAAtwMAAAAA&#10;">
                        <v:fill on="f" focussize="0,0"/>
                        <v:stroke weight="1pt" color="#000000" joinstyle="round" dashstyle="1 1" endcap="round" endarrow="block"/>
                        <v:imagedata o:title=""/>
                        <o:lock v:ext="edit" aspectratio="f"/>
                      </v:line>
                      <v:line id="Line 1040" o:spid="_x0000_s1026" o:spt="20" style="position:absolute;left:5283;top:1789;height:1;width:369;" filled="f" stroked="t" coordsize="21600,21600" o:gfxdata="UEsDBAoAAAAAAIdO4kAAAAAAAAAAAAAAAAAEAAAAZHJzL1BLAwQUAAAACACHTuJA0xVZ+b8AAADc&#10;AAAADwAAAGRycy9kb3ducmV2LnhtbEVPS2vCQBC+C/6HZQq96SYtrTV1FVpQRHoxbWm9jdnJw2Zn&#10;Q3bV6K/vCoK3+fieM5l1phYHal1lWUE8jEAQZ1ZXXCj4+pwPXkA4j6yxtkwKTuRgNu33Jphoe+Q1&#10;HVJfiBDCLkEFpfdNIqXLSjLohrYhDlxuW4M+wLaQusVjCDe1fIiiZ2mw4tBQYkPvJWV/6d4o+OgW&#10;qX9anb9/33abn/l4PMpzt1Xq/i6OXkF46vxNfHUvdZgfP8LlmXCBn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VWfm/&#10;AAAA3AAAAA8AAAAAAAAAAQAgAAAAIgAAAGRycy9kb3ducmV2LnhtbFBLAQIUABQAAAAIAIdO4kAz&#10;LwWeOwAAADkAAAAQAAAAAAAAAAEAIAAAAA4BAABkcnMvc2hhcGV4bWwueG1sUEsFBgAAAAAGAAYA&#10;WwEAALgDAAAAAA==&#10;">
                        <v:fill on="f" focussize="0,0"/>
                        <v:stroke weight="1pt" color="#000000" joinstyle="round" dashstyle="1 1" endcap="round" endarrow="block"/>
                        <v:imagedata o:title=""/>
                        <o:lock v:ext="edit" aspectratio="f"/>
                      </v:line>
                      <v:shape id="Text Box 1033" o:spid="_x0000_s1026" o:spt="202" type="#_x0000_t202" style="position:absolute;left:672;top:2746;height:468;width:6248;" fillcolor="#FFFFFF" filled="t" stroked="f" coordsize="21600,21600" o:gfxdata="UEsDBAoAAAAAAIdO4kAAAAAAAAAAAAAAAAAEAAAAZHJzL1BLAwQUAAAACACHTuJAuUs++LoAAADc&#10;AAAADwAAAGRycy9kb3ducmV2LnhtbEVPS4vCMBC+L/gfwgje1jQiItXoQfBB8aIrnsdmbIvNpDbx&#10;+evNwsLe5uN7znT+tLW4U+srxxpUPwFBnDtTcaHh8LP8HoPwAdlg7Zg0vMjDfNb5mmJq3IN3dN+H&#10;QsQQ9ilqKENoUil9XpJF33cNceTOrrUYImwLaVp8xHBby0GSjKTFimNDiQ0tSsov+5vVsFbb4y47&#10;8eqdnWh8VTUvD9la615XJRMQgZ7hX/zn3pg4Xw3h95l4gZ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Sz74ugAAANwA&#10;AAAPAAAAAAAAAAEAIAAAACIAAABkcnMvZG93bnJldi54bWxQSwECFAAUAAAACACHTuJAMy8FnjsA&#10;AAA5AAAAEAAAAAAAAAABACAAAAAJAQAAZHJzL3NoYXBleG1sLnhtbFBLBQYAAAAABgAGAFsBAACz&#10;AwAAAAA=&#10;">
                        <v:fill on="t" opacity="0f" focussize="0,0"/>
                        <v:stroke on="f"/>
                        <v:imagedata o:title=""/>
                        <o:lock v:ext="edit" aspectratio="f"/>
                        <v:textbox inset="7.19992125984252pt,3.59992125984252pt,7.19992125984252pt,3.59992125984252pt">
                          <w:txbxContent>
                            <w:p w14:paraId="447E8DBC">
                              <w:pPr>
                                <w:spacing w:line="300" w:lineRule="exact"/>
                                <w:ind w:firstLine="315" w:firstLineChars="150"/>
                                <w:rPr>
                                  <w:szCs w:val="21"/>
                                </w:rPr>
                              </w:pPr>
                              <w:r>
                                <w:rPr>
                                  <w:rFonts w:hint="eastAsia"/>
                                  <w:szCs w:val="21"/>
                                </w:rPr>
                                <w:t>建筑垃圾、施工废水、生活垃圾、</w:t>
                              </w:r>
                              <w:r>
                                <w:rPr>
                                  <w:rFonts w:hint="eastAsia"/>
                                  <w:szCs w:val="21"/>
                                  <w:lang w:eastAsia="zh-CN"/>
                                </w:rPr>
                                <w:t>生活废水</w:t>
                              </w:r>
                              <w:r>
                                <w:rPr>
                                  <w:rFonts w:hint="eastAsia"/>
                                  <w:szCs w:val="21"/>
                                </w:rPr>
                                <w:t>、冲洗废水</w:t>
                              </w:r>
                            </w:p>
                          </w:txbxContent>
                        </v:textbox>
                      </v:shape>
                      <v:rect id="Rectangle 1032" o:spid="_x0000_s1026" o:spt="1" style="position:absolute;left:1082;top:2713;height:468;width:5374;" fillcolor="#FFFFFF" filled="t" stroked="t" coordsize="21600,21600" o:gfxdata="UEsDBAoAAAAAAIdO4kAAAAAAAAAAAAAAAAAEAAAAZHJzL1BLAwQUAAAACACHTuJArfgAbrUAAADc&#10;AAAADwAAAGRycy9kb3ducmV2LnhtbEVPSwrCMBDdC94hjOBGNK2oSDWKCKLu/B1gaMam2ExKE3+3&#10;N4Lgbh7vO/Ply1biQY0vHStIBwkI4tzpkgsFl/OmPwXhA7LGyjEpeJOH5aLdmmOm3ZOP9DiFQsQQ&#10;9hkqMCHUmZQ+N2TRD1xNHLmrayyGCJtC6gafMdxWcpgkE2mx5NhgsKa1ofx2ulsFZ3/H1Jrbvrcf&#10;Hbab44p5iKxUt5MmMxCBXuEv/rl3Os5Px/B9Jl4gF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fgAbrUAAADcAAAADwAA&#10;AAAAAAABACAAAAAiAAAAZHJzL2Rvd25yZXYueG1sUEsBAhQAFAAAAAgAh07iQDMvBZ47AAAAOQAA&#10;ABAAAAAAAAAAAQAgAAAABAEAAGRycy9zaGFwZXhtbC54bWxQSwUGAAAAAAYABgBbAQAArgMAAAAA&#10;">
                        <v:fill on="t" opacity="0f" focussize="0,0"/>
                        <v:stroke color="#000000" miterlimit="8" joinstyle="miter"/>
                        <v:imagedata o:title=""/>
                        <o:lock v:ext="edit" aspectratio="f"/>
                        <v:textbox inset="7.19992125984252pt,3.59992125984252pt,7.19992125984252pt,3.59992125984252pt"/>
                      </v:rect>
                    </v:group>
                  </w:pict>
                </mc:Fallback>
              </mc:AlternateContent>
            </w:r>
          </w:p>
          <w:p w14:paraId="5C531E38">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kern w:val="2"/>
                <w:sz w:val="24"/>
                <w:szCs w:val="24"/>
                <w:lang w:val="en-US" w:eastAsia="zh-CN" w:bidi="ar-SA"/>
              </w:rPr>
            </w:pPr>
          </w:p>
          <w:p w14:paraId="57C50F07">
            <w:pPr>
              <w:pStyle w:val="32"/>
              <w:keepNext w:val="0"/>
              <w:keepLines w:val="0"/>
              <w:suppressLineNumbers w:val="0"/>
              <w:spacing w:before="0" w:beforeAutospacing="0" w:afterAutospacing="0"/>
              <w:ind w:right="0"/>
              <w:rPr>
                <w:rFonts w:hint="default" w:ascii="Times New Roman" w:hAnsi="Times New Roman" w:eastAsia="宋体" w:cs="Times New Roman"/>
                <w:b w:val="0"/>
                <w:bCs/>
                <w:color w:val="auto"/>
                <w:kern w:val="2"/>
                <w:sz w:val="24"/>
                <w:szCs w:val="24"/>
                <w:lang w:val="en-US" w:eastAsia="zh-CN" w:bidi="ar-SA"/>
              </w:rPr>
            </w:pPr>
          </w:p>
          <w:p w14:paraId="2C56FED0">
            <w:pPr>
              <w:keepNext w:val="0"/>
              <w:keepLines w:val="0"/>
              <w:suppressLineNumbers w:val="0"/>
              <w:spacing w:before="0" w:beforeAutospacing="0" w:after="0" w:afterAutospacing="0"/>
              <w:ind w:left="0" w:right="0"/>
              <w:rPr>
                <w:rFonts w:hint="default"/>
                <w:color w:val="auto"/>
                <w:lang w:val="en-US" w:eastAsia="zh-CN"/>
              </w:rPr>
            </w:pPr>
          </w:p>
          <w:p w14:paraId="5211EED2">
            <w:pPr>
              <w:pStyle w:val="32"/>
              <w:keepNext w:val="0"/>
              <w:keepLines w:val="0"/>
              <w:suppressLineNumbers w:val="0"/>
              <w:spacing w:before="0" w:beforeAutospacing="0" w:afterAutospacing="0"/>
              <w:ind w:right="0"/>
              <w:rPr>
                <w:rFonts w:hint="default" w:ascii="Times New Roman" w:hAnsi="Times New Roman" w:eastAsia="宋体" w:cs="Times New Roman"/>
                <w:b w:val="0"/>
                <w:bCs/>
                <w:color w:val="auto"/>
                <w:kern w:val="2"/>
                <w:sz w:val="24"/>
                <w:szCs w:val="24"/>
                <w:lang w:val="en-US" w:eastAsia="zh-CN" w:bidi="ar-SA"/>
              </w:rPr>
            </w:pPr>
          </w:p>
          <w:p w14:paraId="649F12C4">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kern w:val="2"/>
                <w:sz w:val="24"/>
                <w:szCs w:val="24"/>
                <w:lang w:val="en-US" w:eastAsia="zh-CN" w:bidi="ar-SA"/>
              </w:rPr>
            </w:pPr>
          </w:p>
          <w:p w14:paraId="27FB47A9">
            <w:pPr>
              <w:pStyle w:val="32"/>
              <w:keepNext w:val="0"/>
              <w:keepLines w:val="0"/>
              <w:suppressLineNumbers w:val="0"/>
              <w:spacing w:before="0" w:beforeAutospacing="0" w:afterAutospacing="0"/>
              <w:ind w:right="0"/>
              <w:rPr>
                <w:rFonts w:hint="default" w:ascii="Times New Roman" w:hAnsi="Times New Roman" w:eastAsia="宋体" w:cs="Times New Roman"/>
                <w:b w:val="0"/>
                <w:bCs/>
                <w:color w:val="auto"/>
                <w:kern w:val="2"/>
                <w:sz w:val="24"/>
                <w:szCs w:val="24"/>
                <w:lang w:val="en-US" w:eastAsia="zh-CN" w:bidi="ar-SA"/>
              </w:rPr>
            </w:pPr>
          </w:p>
          <w:p w14:paraId="44174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b/>
                <w:color w:val="auto"/>
                <w:sz w:val="21"/>
                <w:szCs w:val="21"/>
              </w:rPr>
            </w:pPr>
          </w:p>
          <w:p w14:paraId="4763F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b/>
                <w:color w:val="auto"/>
                <w:sz w:val="21"/>
                <w:szCs w:val="21"/>
              </w:rPr>
            </w:pPr>
          </w:p>
          <w:p w14:paraId="5A9D7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 w:val="24"/>
                <w:szCs w:val="32"/>
              </w:rPr>
            </w:pPr>
            <w:r>
              <w:rPr>
                <w:rFonts w:hint="eastAsia" w:ascii="Times New Roman"/>
                <w:b/>
                <w:color w:val="auto"/>
                <w:sz w:val="24"/>
                <w:szCs w:val="24"/>
              </w:rPr>
              <w:t>图2</w:t>
            </w:r>
            <w:r>
              <w:rPr>
                <w:rFonts w:hint="eastAsia" w:ascii="Times New Roman"/>
                <w:b/>
                <w:color w:val="auto"/>
                <w:sz w:val="24"/>
                <w:szCs w:val="24"/>
                <w:lang w:val="en-US" w:eastAsia="zh-CN"/>
              </w:rPr>
              <w:t>-2</w:t>
            </w:r>
            <w:r>
              <w:rPr>
                <w:rFonts w:hint="default" w:ascii="Times New Roman"/>
                <w:b/>
                <w:color w:val="auto"/>
                <w:sz w:val="24"/>
                <w:szCs w:val="24"/>
              </w:rPr>
              <w:t xml:space="preserve">  </w:t>
            </w:r>
            <w:r>
              <w:rPr>
                <w:rFonts w:hint="eastAsia" w:ascii="Times New Roman"/>
                <w:b/>
                <w:color w:val="auto"/>
                <w:sz w:val="24"/>
                <w:szCs w:val="24"/>
              </w:rPr>
              <w:t>项目施工作业流程及排污节点图</w:t>
            </w:r>
          </w:p>
          <w:p w14:paraId="30506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05" w:leftChars="50" w:right="0" w:rightChars="0" w:firstLine="482" w:firstLineChars="200"/>
              <w:jc w:val="left"/>
              <w:textAlignment w:val="auto"/>
              <w:rPr>
                <w:rFonts w:hint="default" w:ascii="Times New Roman" w:hAnsi="Times New Roman" w:eastAsia="宋体" w:cs="Times New Roman"/>
                <w:b/>
                <w:bCs/>
                <w:color w:val="auto"/>
                <w:kern w:val="44"/>
                <w:sz w:val="24"/>
                <w:szCs w:val="24"/>
                <w:lang w:eastAsia="zh-CN"/>
              </w:rPr>
            </w:pPr>
            <w:r>
              <w:rPr>
                <w:rFonts w:hint="default" w:ascii="Times New Roman" w:hAnsi="Times New Roman" w:eastAsia="宋体" w:cs="Times New Roman"/>
                <w:b/>
                <w:bCs/>
                <w:color w:val="auto"/>
                <w:kern w:val="44"/>
                <w:sz w:val="24"/>
                <w:szCs w:val="24"/>
                <w:lang w:val="en-US" w:eastAsia="zh-CN"/>
              </w:rPr>
              <w:t>2</w:t>
            </w:r>
            <w:r>
              <w:rPr>
                <w:rFonts w:hint="default" w:ascii="Times New Roman" w:hAnsi="Times New Roman" w:eastAsia="宋体" w:cs="Times New Roman"/>
                <w:b/>
                <w:bCs w:val="0"/>
                <w:color w:val="auto"/>
                <w:kern w:val="2"/>
                <w:sz w:val="24"/>
                <w:szCs w:val="24"/>
                <w:lang w:val="en-US" w:eastAsia="zh-CN" w:bidi="ar-SA"/>
              </w:rPr>
              <w:t>、营运期</w:t>
            </w:r>
          </w:p>
          <w:p w14:paraId="5C8594BA">
            <w:pPr>
              <w:pStyle w:val="5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eastAsia" w:ascii="Times New Roman" w:hAnsi="Times New Roman" w:cs="Times New Roman"/>
                <w:b w:val="0"/>
                <w:bCs/>
                <w:color w:val="auto"/>
                <w:kern w:val="2"/>
                <w:sz w:val="24"/>
                <w:szCs w:val="24"/>
                <w:lang w:val="en-US" w:eastAsia="zh-CN" w:bidi="ar-SA"/>
              </w:rPr>
              <w:t>各生产线主要生产工艺流程及排污节点如下：</w:t>
            </w:r>
          </w:p>
          <w:p w14:paraId="381AD750">
            <w:pPr>
              <w:pStyle w:val="5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cs="Times New Roman"/>
                <w:b/>
                <w:bCs w:val="0"/>
                <w:color w:val="auto"/>
                <w:kern w:val="2"/>
                <w:sz w:val="24"/>
                <w:szCs w:val="24"/>
                <w:lang w:val="en-US" w:eastAsia="zh-CN" w:bidi="ar-SA"/>
              </w:rPr>
            </w:pPr>
            <w:r>
              <w:rPr>
                <w:rFonts w:hint="eastAsia" w:ascii="Times New Roman" w:hAnsi="Times New Roman" w:cs="Times New Roman"/>
                <w:b/>
                <w:bCs w:val="0"/>
                <w:color w:val="auto"/>
                <w:kern w:val="2"/>
                <w:sz w:val="24"/>
                <w:szCs w:val="24"/>
                <w:lang w:val="en-US" w:eastAsia="zh-CN" w:bidi="ar-SA"/>
              </w:rPr>
              <w:t>2.1</w:t>
            </w:r>
            <w:r>
              <w:rPr>
                <w:rFonts w:hint="eastAsia"/>
                <w:b/>
                <w:bCs/>
                <w:color w:val="auto"/>
                <w:sz w:val="24"/>
                <w:szCs w:val="24"/>
                <w:lang w:eastAsia="zh-CN"/>
              </w:rPr>
              <w:t>干面筋、即食面筋</w:t>
            </w:r>
            <w:r>
              <w:rPr>
                <w:rFonts w:hint="eastAsia" w:ascii="Times New Roman" w:hAnsi="Times New Roman" w:cs="Times New Roman"/>
                <w:b/>
                <w:bCs w:val="0"/>
                <w:color w:val="auto"/>
                <w:kern w:val="2"/>
                <w:sz w:val="24"/>
                <w:szCs w:val="24"/>
                <w:lang w:val="en-US" w:eastAsia="zh-CN" w:bidi="ar-SA"/>
              </w:rPr>
              <w:t>生产</w:t>
            </w:r>
            <w:r>
              <w:rPr>
                <w:rFonts w:hint="default" w:ascii="Times New Roman" w:hAnsi="Times New Roman" w:eastAsia="宋体" w:cs="Times New Roman"/>
                <w:b/>
                <w:bCs w:val="0"/>
                <w:color w:val="auto"/>
                <w:kern w:val="2"/>
                <w:sz w:val="24"/>
                <w:szCs w:val="24"/>
                <w:lang w:val="en-US" w:eastAsia="zh-CN" w:bidi="ar-SA"/>
              </w:rPr>
              <w:t>工艺流程</w:t>
            </w:r>
            <w:r>
              <w:rPr>
                <w:rFonts w:hint="eastAsia" w:ascii="Times New Roman" w:hAnsi="Times New Roman" w:cs="Times New Roman"/>
                <w:b/>
                <w:bCs w:val="0"/>
                <w:color w:val="auto"/>
                <w:kern w:val="2"/>
                <w:sz w:val="24"/>
                <w:szCs w:val="24"/>
                <w:lang w:val="en-US" w:eastAsia="zh-CN" w:bidi="ar-SA"/>
              </w:rPr>
              <w:t>及排污节点</w:t>
            </w:r>
          </w:p>
          <w:p w14:paraId="7415A0CC">
            <w:pPr>
              <w:pStyle w:val="5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b w:val="0"/>
                <w:bCs/>
                <w:color w:val="auto"/>
                <w:kern w:val="2"/>
                <w:sz w:val="24"/>
                <w:szCs w:val="24"/>
                <w:lang w:val="en-US" w:eastAsia="zh-CN" w:bidi="ar-SA"/>
              </w:rPr>
            </w:pPr>
            <w:r>
              <w:rPr>
                <w:rFonts w:hint="eastAsia" w:ascii="Times New Roman" w:hAnsi="Times New Roman" w:cs="Times New Roman"/>
                <w:b w:val="0"/>
                <w:bCs/>
                <w:color w:val="auto"/>
                <w:kern w:val="2"/>
                <w:sz w:val="24"/>
                <w:szCs w:val="24"/>
                <w:lang w:val="en-US" w:eastAsia="zh-CN" w:bidi="ar-SA"/>
              </w:rPr>
              <w:t>干面筋造生产</w:t>
            </w:r>
            <w:r>
              <w:rPr>
                <w:rFonts w:hint="default" w:ascii="Times New Roman" w:hAnsi="Times New Roman" w:eastAsia="宋体" w:cs="Times New Roman"/>
                <w:b w:val="0"/>
                <w:bCs/>
                <w:color w:val="auto"/>
                <w:kern w:val="2"/>
                <w:sz w:val="24"/>
                <w:szCs w:val="24"/>
                <w:lang w:val="en-US" w:eastAsia="zh-CN" w:bidi="ar-SA"/>
              </w:rPr>
              <w:t>工艺流程</w:t>
            </w:r>
            <w:r>
              <w:rPr>
                <w:rFonts w:hint="eastAsia" w:ascii="Times New Roman" w:hAnsi="Times New Roman" w:cs="Times New Roman"/>
                <w:b w:val="0"/>
                <w:bCs/>
                <w:color w:val="auto"/>
                <w:kern w:val="2"/>
                <w:sz w:val="24"/>
                <w:szCs w:val="24"/>
                <w:lang w:val="en-US" w:eastAsia="zh-CN" w:bidi="ar-SA"/>
              </w:rPr>
              <w:t>及排污节点</w:t>
            </w:r>
            <w:r>
              <w:rPr>
                <w:rFonts w:hint="default" w:ascii="Times New Roman" w:hAnsi="Times New Roman" w:eastAsia="宋体" w:cs="Times New Roman"/>
                <w:b w:val="0"/>
                <w:bCs/>
                <w:color w:val="auto"/>
                <w:kern w:val="2"/>
                <w:sz w:val="24"/>
                <w:szCs w:val="24"/>
                <w:lang w:val="en-US" w:eastAsia="zh-CN" w:bidi="ar-SA"/>
              </w:rPr>
              <w:t>见图</w:t>
            </w:r>
            <w:r>
              <w:rPr>
                <w:rFonts w:hint="eastAsia" w:ascii="Times New Roman" w:hAnsi="Times New Roman" w:cs="Times New Roman"/>
                <w:b w:val="0"/>
                <w:bCs/>
                <w:color w:val="auto"/>
                <w:kern w:val="2"/>
                <w:sz w:val="24"/>
                <w:szCs w:val="24"/>
                <w:lang w:val="en-US" w:eastAsia="zh-CN" w:bidi="ar-SA"/>
              </w:rPr>
              <w:t>2-3。</w:t>
            </w:r>
          </w:p>
          <w:p w14:paraId="6FA408A0">
            <w:pPr>
              <w:pStyle w:val="5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b w:val="0"/>
                <w:bCs/>
                <w:color w:val="auto"/>
                <w:kern w:val="2"/>
                <w:sz w:val="24"/>
                <w:szCs w:val="24"/>
                <w:lang w:val="en-US" w:eastAsia="zh-CN" w:bidi="ar-SA"/>
              </w:rPr>
            </w:pPr>
          </w:p>
          <w:p w14:paraId="6F0B0C41">
            <w:pPr>
              <w:pStyle w:val="5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b w:val="0"/>
                <w:bCs/>
                <w:color w:val="auto"/>
                <w:kern w:val="2"/>
                <w:sz w:val="24"/>
                <w:szCs w:val="24"/>
                <w:lang w:val="en-US" w:eastAsia="zh-CN" w:bidi="ar-SA"/>
              </w:rPr>
            </w:pPr>
          </w:p>
          <w:p w14:paraId="07045709">
            <w:pPr>
              <w:pStyle w:val="5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b w:val="0"/>
                <w:bCs/>
                <w:color w:val="auto"/>
                <w:kern w:val="2"/>
                <w:sz w:val="24"/>
                <w:szCs w:val="24"/>
                <w:lang w:val="en-US" w:eastAsia="zh-CN" w:bidi="ar-SA"/>
              </w:rPr>
            </w:pPr>
          </w:p>
          <w:p w14:paraId="6569E55C">
            <w:pPr>
              <w:pStyle w:val="5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b w:val="0"/>
                <w:bCs/>
                <w:color w:val="auto"/>
                <w:kern w:val="2"/>
                <w:sz w:val="24"/>
                <w:szCs w:val="24"/>
                <w:lang w:val="en-US" w:eastAsia="zh-CN" w:bidi="ar-SA"/>
              </w:rPr>
            </w:pPr>
          </w:p>
          <w:p w14:paraId="047BB127">
            <w:pPr>
              <w:pStyle w:val="5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黑体" w:eastAsia="黑体"/>
                <w:color w:val="auto"/>
                <w:sz w:val="24"/>
                <w:szCs w:val="24"/>
              </w:rPr>
            </w:pPr>
            <w:bookmarkStart w:id="60" w:name="_1409147230"/>
            <w:bookmarkEnd w:id="60"/>
            <w:bookmarkStart w:id="61" w:name="_1403940040"/>
            <w:bookmarkEnd w:id="61"/>
            <w:bookmarkStart w:id="62" w:name="_1409147276"/>
            <w:bookmarkEnd w:id="62"/>
            <w:bookmarkStart w:id="63" w:name="_1409579018"/>
            <w:bookmarkEnd w:id="63"/>
            <w:bookmarkStart w:id="64" w:name="_1409581245"/>
            <w:bookmarkEnd w:id="64"/>
            <w:bookmarkStart w:id="65" w:name="_1426080051"/>
            <w:bookmarkEnd w:id="65"/>
            <w:bookmarkStart w:id="66" w:name="_1409147375"/>
            <w:bookmarkEnd w:id="66"/>
            <w:bookmarkStart w:id="67" w:name="_1426077775"/>
            <w:bookmarkEnd w:id="67"/>
            <w:bookmarkStart w:id="68" w:name="_1396338118"/>
            <w:bookmarkEnd w:id="68"/>
            <w:bookmarkStart w:id="69" w:name="_1426063038"/>
            <w:bookmarkEnd w:id="69"/>
            <w:bookmarkStart w:id="70" w:name="_1415724221"/>
            <w:bookmarkEnd w:id="70"/>
            <w:bookmarkStart w:id="71" w:name="_1426063422"/>
            <w:bookmarkEnd w:id="71"/>
            <w:bookmarkStart w:id="72" w:name="_1396358983"/>
            <w:bookmarkEnd w:id="72"/>
            <w:bookmarkStart w:id="73" w:name="_1426062021"/>
            <w:bookmarkEnd w:id="73"/>
            <w:bookmarkStart w:id="74" w:name="_1409147695"/>
            <w:bookmarkEnd w:id="74"/>
            <w:bookmarkStart w:id="75" w:name="_1426078921"/>
            <w:bookmarkEnd w:id="75"/>
            <w:bookmarkStart w:id="76" w:name="_1386076032"/>
            <w:bookmarkEnd w:id="76"/>
            <w:bookmarkStart w:id="77" w:name="_1420445942"/>
            <w:bookmarkEnd w:id="77"/>
            <w:bookmarkStart w:id="78" w:name="_1366179199"/>
            <w:bookmarkEnd w:id="78"/>
            <w:bookmarkStart w:id="79" w:name="_1396361785"/>
            <w:bookmarkEnd w:id="79"/>
            <w:bookmarkStart w:id="80" w:name="_1426055057"/>
            <w:bookmarkEnd w:id="80"/>
            <w:bookmarkStart w:id="81" w:name="_1409472776"/>
            <w:bookmarkEnd w:id="81"/>
            <w:bookmarkStart w:id="82" w:name="_1425803522"/>
            <w:bookmarkEnd w:id="82"/>
            <w:bookmarkStart w:id="83" w:name="_1386077096"/>
            <w:bookmarkEnd w:id="83"/>
            <w:bookmarkStart w:id="84" w:name="_1386076601"/>
            <w:bookmarkEnd w:id="84"/>
            <w:bookmarkStart w:id="85" w:name="_1425800971"/>
            <w:bookmarkEnd w:id="85"/>
            <w:bookmarkStart w:id="86" w:name="_1407337753"/>
            <w:bookmarkEnd w:id="86"/>
            <w:bookmarkStart w:id="87" w:name="_1409127870"/>
            <w:bookmarkEnd w:id="87"/>
            <w:bookmarkStart w:id="88" w:name="_1386077160"/>
            <w:bookmarkEnd w:id="88"/>
            <w:bookmarkStart w:id="89" w:name="_1366815803"/>
            <w:bookmarkEnd w:id="89"/>
            <w:bookmarkStart w:id="90" w:name="_1420525084"/>
            <w:bookmarkEnd w:id="90"/>
            <w:bookmarkStart w:id="91" w:name="_1396849474"/>
            <w:bookmarkEnd w:id="91"/>
            <w:bookmarkStart w:id="92" w:name="_1412400466"/>
            <w:bookmarkEnd w:id="92"/>
            <w:bookmarkStart w:id="93" w:name="_1412400427"/>
            <w:bookmarkEnd w:id="93"/>
            <w:bookmarkStart w:id="94" w:name="_1426062980"/>
            <w:bookmarkEnd w:id="94"/>
            <w:bookmarkStart w:id="95" w:name="_1402900605"/>
            <w:bookmarkEnd w:id="95"/>
            <w:bookmarkStart w:id="96" w:name="_1409148219"/>
            <w:bookmarkEnd w:id="96"/>
            <w:bookmarkStart w:id="97" w:name="_1423634751"/>
            <w:bookmarkEnd w:id="97"/>
            <w:bookmarkStart w:id="98" w:name="_1391438673"/>
            <w:bookmarkEnd w:id="98"/>
            <w:bookmarkStart w:id="99" w:name="_1426077534"/>
            <w:bookmarkEnd w:id="99"/>
            <w:bookmarkStart w:id="100" w:name="_1396439822"/>
            <w:bookmarkEnd w:id="100"/>
            <w:bookmarkStart w:id="101" w:name="_1409580922"/>
            <w:bookmarkEnd w:id="101"/>
            <w:bookmarkStart w:id="102" w:name="_1403936092"/>
            <w:bookmarkEnd w:id="102"/>
            <w:bookmarkStart w:id="103" w:name="_1412400257"/>
            <w:bookmarkEnd w:id="103"/>
            <w:bookmarkStart w:id="104" w:name="_1412400507"/>
            <w:bookmarkEnd w:id="104"/>
            <w:bookmarkStart w:id="105" w:name="_1386076792"/>
            <w:bookmarkEnd w:id="105"/>
            <w:bookmarkStart w:id="106" w:name="_1396340291"/>
            <w:bookmarkEnd w:id="106"/>
            <w:bookmarkStart w:id="107" w:name="_1420457562"/>
            <w:bookmarkEnd w:id="107"/>
            <w:bookmarkStart w:id="108" w:name="_1420524314"/>
            <w:bookmarkEnd w:id="108"/>
            <w:bookmarkStart w:id="109" w:name="_1402837410"/>
            <w:bookmarkEnd w:id="109"/>
            <w:bookmarkStart w:id="110" w:name="_1387862818"/>
            <w:bookmarkEnd w:id="110"/>
            <w:bookmarkStart w:id="111" w:name="_1396361756"/>
            <w:bookmarkEnd w:id="111"/>
            <w:bookmarkStart w:id="112" w:name="_1409148041"/>
            <w:bookmarkEnd w:id="112"/>
            <w:bookmarkStart w:id="113" w:name="_1396358608"/>
            <w:bookmarkEnd w:id="113"/>
            <w:bookmarkStart w:id="114" w:name="_1426057899"/>
            <w:bookmarkEnd w:id="114"/>
            <w:bookmarkStart w:id="115" w:name="_1409127853"/>
            <w:bookmarkEnd w:id="115"/>
            <w:bookmarkStart w:id="116" w:name="_1409124547"/>
            <w:bookmarkEnd w:id="116"/>
            <w:bookmarkStart w:id="117" w:name="_1409128958"/>
            <w:bookmarkEnd w:id="117"/>
            <w:bookmarkStart w:id="118" w:name="_1377929447"/>
            <w:bookmarkEnd w:id="118"/>
            <w:bookmarkStart w:id="119" w:name="_1396445059"/>
            <w:bookmarkEnd w:id="119"/>
            <w:bookmarkStart w:id="120" w:name="_1409147139"/>
            <w:bookmarkEnd w:id="120"/>
            <w:bookmarkStart w:id="121" w:name="_1396353057"/>
            <w:bookmarkEnd w:id="121"/>
            <w:bookmarkStart w:id="122" w:name="_1403537087"/>
            <w:bookmarkEnd w:id="122"/>
            <w:bookmarkStart w:id="123" w:name="_1416563789"/>
            <w:bookmarkEnd w:id="123"/>
            <w:bookmarkStart w:id="124" w:name="_1420524012"/>
            <w:bookmarkEnd w:id="124"/>
            <w:bookmarkStart w:id="125" w:name="_1426077025"/>
            <w:bookmarkEnd w:id="125"/>
            <w:bookmarkStart w:id="126" w:name="_1426061323"/>
            <w:bookmarkEnd w:id="126"/>
            <w:bookmarkStart w:id="127" w:name="_1396698543"/>
            <w:bookmarkEnd w:id="127"/>
            <w:bookmarkStart w:id="128" w:name="_1409145275"/>
            <w:bookmarkEnd w:id="128"/>
            <w:bookmarkStart w:id="129" w:name="_1386073755"/>
            <w:bookmarkEnd w:id="129"/>
            <w:bookmarkStart w:id="130" w:name="_1426077830"/>
            <w:bookmarkEnd w:id="130"/>
            <w:bookmarkStart w:id="131" w:name="_1386167054"/>
            <w:bookmarkEnd w:id="131"/>
            <w:bookmarkStart w:id="132" w:name="_1420447144"/>
            <w:bookmarkEnd w:id="132"/>
            <w:bookmarkStart w:id="133" w:name="_1409579740"/>
            <w:bookmarkEnd w:id="133"/>
            <w:bookmarkStart w:id="134" w:name="_1387862865"/>
            <w:bookmarkEnd w:id="134"/>
            <w:bookmarkStart w:id="135" w:name="_1426057939"/>
            <w:bookmarkEnd w:id="135"/>
            <w:bookmarkStart w:id="136" w:name="_1391435919"/>
            <w:bookmarkEnd w:id="136"/>
            <w:bookmarkStart w:id="137" w:name="_1426063103"/>
            <w:bookmarkEnd w:id="137"/>
            <w:bookmarkStart w:id="138" w:name="_1396438599"/>
            <w:bookmarkEnd w:id="138"/>
            <w:bookmarkStart w:id="139" w:name="_1396363888"/>
            <w:bookmarkEnd w:id="139"/>
            <w:bookmarkStart w:id="140" w:name="_1391438635"/>
            <w:bookmarkEnd w:id="140"/>
            <w:bookmarkStart w:id="141" w:name="_1403535778"/>
            <w:bookmarkEnd w:id="141"/>
            <w:bookmarkStart w:id="142" w:name="_1409146265"/>
            <w:bookmarkEnd w:id="142"/>
            <w:bookmarkStart w:id="143" w:name="_1377929283"/>
            <w:bookmarkEnd w:id="143"/>
            <w:bookmarkStart w:id="144" w:name="_1396444988"/>
            <w:bookmarkEnd w:id="144"/>
            <w:bookmarkStart w:id="145" w:name="_1366815404"/>
            <w:bookmarkEnd w:id="145"/>
            <w:bookmarkStart w:id="146" w:name="_1409148570"/>
            <w:bookmarkEnd w:id="146"/>
            <w:bookmarkStart w:id="147" w:name="_1426063272"/>
            <w:bookmarkEnd w:id="147"/>
            <w:bookmarkStart w:id="148" w:name="_1396352508"/>
            <w:bookmarkEnd w:id="148"/>
            <w:bookmarkStart w:id="149" w:name="_1426080939"/>
            <w:bookmarkEnd w:id="149"/>
            <w:bookmarkStart w:id="150" w:name="_1366178893"/>
            <w:bookmarkEnd w:id="150"/>
            <w:bookmarkStart w:id="151" w:name="_1426060423"/>
            <w:bookmarkEnd w:id="151"/>
            <w:bookmarkStart w:id="152" w:name="_1409578967"/>
            <w:bookmarkEnd w:id="152"/>
            <w:bookmarkStart w:id="153" w:name="_1409578420"/>
            <w:bookmarkEnd w:id="153"/>
            <w:bookmarkStart w:id="154" w:name="_1426077380"/>
            <w:bookmarkEnd w:id="154"/>
            <w:bookmarkStart w:id="155" w:name="_1371478581"/>
            <w:bookmarkEnd w:id="155"/>
            <w:bookmarkStart w:id="156" w:name="_1420454798"/>
            <w:bookmarkEnd w:id="156"/>
            <w:bookmarkStart w:id="157" w:name="_1406098832"/>
            <w:bookmarkEnd w:id="157"/>
            <w:r>
              <w:rPr>
                <w:rFonts w:hint="default" w:ascii="黑体" w:eastAsia="黑体"/>
                <w:color w:val="auto"/>
                <w:sz w:val="24"/>
                <w:szCs w:val="24"/>
              </w:rPr>
              <w:object>
                <v:shape id="_x0000_i1025" o:spt="75" type="#_x0000_t75" style="height:218.55pt;width:399.35pt;" o:ole="t" filled="f" o:preferrelative="t" stroked="f" coordsize="21600,21600">
                  <v:path/>
                  <v:fill on="f" focussize="0,0"/>
                  <v:stroke on="f"/>
                  <v:imagedata r:id="rId11" cropbottom="21422f" o:title=""/>
                  <o:lock v:ext="edit" aspectratio="t"/>
                  <w10:wrap type="none"/>
                  <w10:anchorlock/>
                </v:shape>
                <o:OLEObject Type="Embed" ProgID="Word.Document.8" ShapeID="_x0000_i1025" DrawAspect="Content" ObjectID="_1468075726" r:id="rId10">
                  <o:LockedField>false</o:LockedField>
                </o:OLEObject>
              </w:object>
            </w:r>
          </w:p>
          <w:p w14:paraId="45A55B8F">
            <w:pPr>
              <w:pStyle w:val="5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imes New Roman" w:hAnsi="Times New Roman" w:eastAsia="黑体" w:cs="Times New Roman"/>
                <w:b w:val="0"/>
                <w:bCs/>
                <w:color w:val="auto"/>
                <w:kern w:val="2"/>
                <w:sz w:val="24"/>
                <w:szCs w:val="24"/>
                <w:lang w:val="en-US" w:eastAsia="zh-CN" w:bidi="ar-SA"/>
              </w:rPr>
            </w:pPr>
            <w:r>
              <w:rPr>
                <w:rFonts w:hint="default" w:ascii="Times New Roman" w:hAnsi="Times New Roman" w:eastAsia="宋体" w:cs="Times New Roman"/>
                <w:b/>
                <w:bCs/>
                <w:color w:val="auto"/>
                <w:sz w:val="24"/>
                <w:szCs w:val="24"/>
                <w:lang w:eastAsia="zh-CN"/>
              </w:rPr>
              <w:t>图</w:t>
            </w:r>
            <w:r>
              <w:rPr>
                <w:rFonts w:hint="default" w:ascii="Times New Roman" w:hAnsi="Times New Roman" w:eastAsia="宋体" w:cs="Times New Roman"/>
                <w:b/>
                <w:bCs/>
                <w:color w:val="auto"/>
                <w:sz w:val="24"/>
                <w:szCs w:val="24"/>
                <w:lang w:val="en-US" w:eastAsia="zh-CN"/>
              </w:rPr>
              <w:t xml:space="preserve">2-3 </w:t>
            </w:r>
            <w:r>
              <w:rPr>
                <w:rFonts w:hint="eastAsia" w:ascii="黑体" w:eastAsia="黑体"/>
                <w:color w:val="auto"/>
                <w:sz w:val="24"/>
                <w:szCs w:val="24"/>
                <w:lang w:val="en-US" w:eastAsia="zh-CN"/>
              </w:rPr>
              <w:t xml:space="preserve"> </w:t>
            </w:r>
            <w:r>
              <w:rPr>
                <w:rFonts w:hint="eastAsia" w:ascii="Times New Roman" w:hAnsi="Times New Roman" w:cs="Times New Roman"/>
                <w:b/>
                <w:bCs w:val="0"/>
                <w:color w:val="auto"/>
                <w:kern w:val="2"/>
                <w:sz w:val="24"/>
                <w:szCs w:val="24"/>
                <w:lang w:val="en-US" w:eastAsia="zh-CN" w:bidi="ar-SA"/>
              </w:rPr>
              <w:t>生产</w:t>
            </w:r>
            <w:r>
              <w:rPr>
                <w:rFonts w:hint="default" w:ascii="Times New Roman" w:hAnsi="Times New Roman" w:eastAsia="宋体" w:cs="Times New Roman"/>
                <w:b/>
                <w:bCs w:val="0"/>
                <w:color w:val="auto"/>
                <w:kern w:val="2"/>
                <w:sz w:val="24"/>
                <w:szCs w:val="24"/>
                <w:lang w:val="en-US" w:eastAsia="zh-CN" w:bidi="ar-SA"/>
              </w:rPr>
              <w:t>工艺流程</w:t>
            </w:r>
            <w:r>
              <w:rPr>
                <w:rFonts w:hint="eastAsia" w:ascii="Times New Roman" w:hAnsi="Times New Roman" w:cs="Times New Roman"/>
                <w:b/>
                <w:bCs w:val="0"/>
                <w:color w:val="auto"/>
                <w:kern w:val="2"/>
                <w:sz w:val="24"/>
                <w:szCs w:val="24"/>
                <w:lang w:val="en-US" w:eastAsia="zh-CN" w:bidi="ar-SA"/>
              </w:rPr>
              <w:t>及排污节点图</w:t>
            </w:r>
          </w:p>
          <w:p w14:paraId="2E80B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（1）干</w:t>
            </w:r>
            <w:r>
              <w:rPr>
                <w:rFonts w:hint="eastAsia"/>
                <w:b w:val="0"/>
                <w:bCs w:val="0"/>
                <w:color w:val="auto"/>
                <w:sz w:val="24"/>
                <w:szCs w:val="22"/>
                <w:lang w:eastAsia="zh-CN"/>
              </w:rPr>
              <w:t>面筋</w:t>
            </w:r>
            <w:r>
              <w:rPr>
                <w:rFonts w:hint="eastAsia" w:ascii="Times New Roman" w:hAnsi="Times New Roman" w:cs="Times New Roman"/>
                <w:b w:val="0"/>
                <w:bCs w:val="0"/>
                <w:color w:val="auto"/>
                <w:kern w:val="2"/>
                <w:sz w:val="24"/>
                <w:szCs w:val="24"/>
                <w:lang w:val="en-US" w:eastAsia="zh-CN" w:bidi="ar-SA"/>
              </w:rPr>
              <w:t>生产</w:t>
            </w:r>
            <w:r>
              <w:rPr>
                <w:rFonts w:hint="default" w:ascii="Times New Roman" w:hAnsi="Times New Roman" w:eastAsia="宋体" w:cs="Times New Roman"/>
                <w:b w:val="0"/>
                <w:bCs w:val="0"/>
                <w:color w:val="auto"/>
                <w:kern w:val="2"/>
                <w:sz w:val="24"/>
                <w:szCs w:val="24"/>
                <w:lang w:val="en-US" w:eastAsia="zh-CN" w:bidi="ar-SA"/>
              </w:rPr>
              <w:t>工艺流程</w:t>
            </w:r>
            <w:r>
              <w:rPr>
                <w:rFonts w:hint="eastAsia" w:ascii="Times New Roman" w:hAnsi="Times New Roman" w:cs="Times New Roman"/>
                <w:b w:val="0"/>
                <w:bCs w:val="0"/>
                <w:color w:val="auto"/>
                <w:kern w:val="2"/>
                <w:sz w:val="24"/>
                <w:szCs w:val="24"/>
                <w:lang w:val="en-US" w:eastAsia="zh-CN" w:bidi="ar-SA"/>
              </w:rPr>
              <w:t>及排污节点</w:t>
            </w:r>
            <w:r>
              <w:rPr>
                <w:rFonts w:hint="eastAsia" w:cs="Times New Roman"/>
                <w:b w:val="0"/>
                <w:bCs w:val="0"/>
                <w:color w:val="auto"/>
                <w:kern w:val="2"/>
                <w:sz w:val="24"/>
                <w:szCs w:val="24"/>
                <w:lang w:val="en-US" w:eastAsia="zh-CN" w:bidi="ar-SA"/>
              </w:rPr>
              <w:t>叙述</w:t>
            </w:r>
          </w:p>
          <w:p w14:paraId="69FED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color w:val="auto"/>
                <w:sz w:val="24"/>
              </w:rPr>
            </w:pPr>
            <w:r>
              <w:rPr>
                <w:rFonts w:hint="eastAsia" w:ascii="微软雅黑" w:hAnsi="微软雅黑" w:eastAsia="微软雅黑" w:cs="微软雅黑"/>
                <w:color w:val="auto"/>
                <w:sz w:val="24"/>
              </w:rPr>
              <w:t>①</w:t>
            </w:r>
            <w:r>
              <w:rPr>
                <w:rFonts w:hint="default" w:ascii="Times New Roman" w:hAnsi="Times New Roman" w:cs="Times New Roman"/>
                <w:color w:val="auto"/>
                <w:sz w:val="24"/>
              </w:rPr>
              <w:t>原料</w:t>
            </w:r>
          </w:p>
          <w:p w14:paraId="35FA3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本项目生产所用</w:t>
            </w:r>
            <w:r>
              <w:rPr>
                <w:rFonts w:hint="eastAsia"/>
                <w:sz w:val="24"/>
                <w:lang w:eastAsia="zh-CN"/>
              </w:rPr>
              <w:t>谷朊粉、面粉、食用盐</w:t>
            </w:r>
            <w:r>
              <w:rPr>
                <w:rFonts w:hint="eastAsia" w:ascii="Times New Roman" w:hAnsi="Times New Roman" w:cs="Times New Roman"/>
                <w:color w:val="auto"/>
                <w:sz w:val="24"/>
                <w:lang w:eastAsia="zh-CN"/>
              </w:rPr>
              <w:t>等原辅材料均</w:t>
            </w:r>
            <w:r>
              <w:rPr>
                <w:rFonts w:hint="default" w:ascii="Times New Roman" w:hAnsi="Times New Roman" w:cs="Times New Roman"/>
                <w:color w:val="auto"/>
                <w:sz w:val="24"/>
              </w:rPr>
              <w:t>由</w:t>
            </w:r>
            <w:r>
              <w:rPr>
                <w:rFonts w:hint="eastAsia" w:ascii="Times New Roman" w:hAnsi="Times New Roman" w:cs="Times New Roman"/>
                <w:color w:val="auto"/>
                <w:sz w:val="24"/>
                <w:lang w:eastAsia="zh-CN"/>
              </w:rPr>
              <w:t>市场</w:t>
            </w:r>
            <w:r>
              <w:rPr>
                <w:rFonts w:hint="default" w:ascii="Times New Roman" w:hAnsi="Times New Roman" w:cs="Times New Roman"/>
                <w:color w:val="auto"/>
                <w:sz w:val="24"/>
              </w:rPr>
              <w:t>外购，通过</w:t>
            </w:r>
            <w:r>
              <w:rPr>
                <w:rFonts w:hint="default" w:ascii="Times New Roman" w:hAnsi="Times New Roman" w:cs="Times New Roman"/>
                <w:color w:val="auto"/>
                <w:spacing w:val="-3"/>
                <w:sz w:val="24"/>
              </w:rPr>
              <w:t>汽车运输进厂，</w:t>
            </w:r>
            <w:r>
              <w:rPr>
                <w:rFonts w:hint="eastAsia" w:ascii="Times New Roman" w:hAnsi="Times New Roman" w:cs="Times New Roman"/>
                <w:color w:val="auto"/>
                <w:spacing w:val="-3"/>
                <w:sz w:val="24"/>
                <w:lang w:eastAsia="zh-CN"/>
              </w:rPr>
              <w:t>在厂区仓库中</w:t>
            </w:r>
            <w:r>
              <w:rPr>
                <w:rFonts w:hint="default" w:ascii="Times New Roman" w:hAnsi="Times New Roman" w:cs="Times New Roman"/>
                <w:color w:val="auto"/>
                <w:spacing w:val="-3"/>
                <w:sz w:val="24"/>
              </w:rPr>
              <w:t>暂存</w:t>
            </w:r>
            <w:r>
              <w:rPr>
                <w:rFonts w:hint="default" w:ascii="Times New Roman" w:hAnsi="Times New Roman" w:cs="Times New Roman"/>
                <w:color w:val="auto"/>
                <w:sz w:val="24"/>
              </w:rPr>
              <w:t>。</w:t>
            </w:r>
          </w:p>
          <w:p w14:paraId="3D30B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auto"/>
                <w:sz w:val="24"/>
                <w:szCs w:val="22"/>
                <w:lang w:val="en-US" w:eastAsia="zh-CN"/>
              </w:rPr>
            </w:pPr>
            <w:r>
              <w:rPr>
                <w:rFonts w:hint="eastAsia" w:ascii="微软雅黑" w:hAnsi="微软雅黑" w:eastAsia="微软雅黑" w:cs="微软雅黑"/>
                <w:color w:val="auto"/>
                <w:sz w:val="24"/>
                <w:szCs w:val="22"/>
                <w:lang w:val="en-US" w:eastAsia="zh-CN"/>
              </w:rPr>
              <w:t>②</w:t>
            </w:r>
            <w:r>
              <w:rPr>
                <w:rFonts w:hint="eastAsia"/>
                <w:color w:val="auto"/>
                <w:sz w:val="24"/>
                <w:szCs w:val="22"/>
                <w:lang w:val="en-US" w:eastAsia="zh-CN"/>
              </w:rPr>
              <w:t>配料和面</w:t>
            </w:r>
          </w:p>
          <w:p w14:paraId="3C675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eastAsia="宋体"/>
                <w:color w:val="auto"/>
                <w:sz w:val="24"/>
                <w:highlight w:val="green"/>
                <w:lang w:eastAsia="zh-CN"/>
              </w:rPr>
            </w:pPr>
            <w:r>
              <w:rPr>
                <w:rFonts w:hint="eastAsia"/>
                <w:color w:val="auto"/>
                <w:sz w:val="24"/>
                <w:szCs w:val="22"/>
              </w:rPr>
              <w:t>将外购的</w:t>
            </w:r>
            <w:r>
              <w:rPr>
                <w:rFonts w:hint="eastAsia"/>
                <w:color w:val="auto"/>
                <w:sz w:val="24"/>
                <w:szCs w:val="22"/>
                <w:lang w:eastAsia="zh-CN"/>
              </w:rPr>
              <w:t>谷朊粉、面粉</w:t>
            </w:r>
            <w:r>
              <w:rPr>
                <w:rFonts w:hint="eastAsia"/>
                <w:color w:val="auto"/>
                <w:sz w:val="24"/>
                <w:szCs w:val="22"/>
              </w:rPr>
              <w:t>和</w:t>
            </w:r>
            <w:r>
              <w:rPr>
                <w:rFonts w:hint="eastAsia"/>
                <w:color w:val="auto"/>
                <w:sz w:val="24"/>
                <w:szCs w:val="22"/>
                <w:lang w:eastAsia="zh-CN"/>
              </w:rPr>
              <w:t>水</w:t>
            </w:r>
            <w:r>
              <w:rPr>
                <w:rFonts w:hint="eastAsia"/>
                <w:color w:val="auto"/>
                <w:sz w:val="24"/>
                <w:szCs w:val="22"/>
              </w:rPr>
              <w:t>按照</w:t>
            </w:r>
            <w:r>
              <w:rPr>
                <w:rFonts w:hint="eastAsia"/>
                <w:color w:val="auto"/>
                <w:sz w:val="24"/>
                <w:szCs w:val="22"/>
                <w:lang w:eastAsia="zh-CN"/>
              </w:rPr>
              <w:t>产品要求的</w:t>
            </w:r>
            <w:r>
              <w:rPr>
                <w:rFonts w:hint="eastAsia"/>
                <w:color w:val="auto"/>
                <w:sz w:val="24"/>
                <w:szCs w:val="22"/>
              </w:rPr>
              <w:t>比例</w:t>
            </w:r>
            <w:r>
              <w:rPr>
                <w:rFonts w:hint="eastAsia"/>
                <w:color w:val="auto"/>
                <w:sz w:val="24"/>
                <w:szCs w:val="22"/>
                <w:lang w:eastAsia="zh-CN"/>
              </w:rPr>
              <w:t>，</w:t>
            </w:r>
            <w:r>
              <w:rPr>
                <w:rFonts w:hint="eastAsia"/>
                <w:color w:val="auto"/>
                <w:sz w:val="24"/>
                <w:szCs w:val="22"/>
              </w:rPr>
              <w:t>通过人工</w:t>
            </w:r>
            <w:r>
              <w:rPr>
                <w:rFonts w:hint="eastAsia"/>
                <w:color w:val="auto"/>
                <w:sz w:val="24"/>
                <w:szCs w:val="22"/>
                <w:lang w:eastAsia="zh-CN"/>
              </w:rPr>
              <w:t>计量拆包</w:t>
            </w:r>
            <w:r>
              <w:rPr>
                <w:rFonts w:hint="eastAsia"/>
                <w:color w:val="auto"/>
                <w:sz w:val="24"/>
                <w:szCs w:val="22"/>
              </w:rPr>
              <w:t>投入</w:t>
            </w:r>
            <w:r>
              <w:rPr>
                <w:rFonts w:hint="eastAsia"/>
                <w:color w:val="auto"/>
                <w:sz w:val="24"/>
                <w:szCs w:val="22"/>
                <w:lang w:eastAsia="zh-CN"/>
              </w:rPr>
              <w:t>和</w:t>
            </w:r>
            <w:r>
              <w:rPr>
                <w:rFonts w:hint="eastAsia"/>
                <w:color w:val="auto"/>
                <w:sz w:val="24"/>
                <w:szCs w:val="22"/>
                <w:lang w:val="en-US" w:eastAsia="zh-CN"/>
              </w:rPr>
              <w:t>面机</w:t>
            </w:r>
            <w:r>
              <w:rPr>
                <w:rFonts w:hint="eastAsia"/>
                <w:color w:val="auto"/>
                <w:sz w:val="24"/>
                <w:szCs w:val="22"/>
              </w:rPr>
              <w:t>内</w:t>
            </w:r>
            <w:r>
              <w:rPr>
                <w:rFonts w:hint="eastAsia"/>
                <w:color w:val="auto"/>
                <w:sz w:val="24"/>
                <w:szCs w:val="22"/>
                <w:lang w:eastAsia="zh-CN"/>
              </w:rPr>
              <w:t>，</w:t>
            </w:r>
            <w:r>
              <w:rPr>
                <w:rFonts w:hint="eastAsia"/>
                <w:color w:val="auto"/>
                <w:sz w:val="24"/>
                <w:szCs w:val="22"/>
                <w:lang w:val="en-US" w:eastAsia="zh-CN"/>
              </w:rPr>
              <w:t>同时加入少量食用盐，进行搅拌（时间约为5min），搅拌后的物料呈团状</w:t>
            </w:r>
            <w:r>
              <w:rPr>
                <w:rFonts w:hint="eastAsia"/>
                <w:color w:val="auto"/>
                <w:sz w:val="24"/>
                <w:szCs w:val="22"/>
                <w:lang w:eastAsia="zh-CN"/>
              </w:rPr>
              <w:t>。</w:t>
            </w:r>
          </w:p>
          <w:p w14:paraId="65C3C3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default"/>
                <w:color w:val="auto"/>
                <w:sz w:val="24"/>
                <w:szCs w:val="22"/>
              </w:rPr>
            </w:pPr>
            <w:r>
              <w:rPr>
                <w:rFonts w:hint="default"/>
                <w:b/>
                <w:bCs/>
                <w:color w:val="auto"/>
                <w:sz w:val="24"/>
                <w:szCs w:val="22"/>
              </w:rPr>
              <w:t>该工序</w:t>
            </w:r>
            <w:r>
              <w:rPr>
                <w:rFonts w:hint="eastAsia"/>
                <w:b/>
                <w:bCs/>
                <w:color w:val="auto"/>
                <w:sz w:val="24"/>
                <w:szCs w:val="22"/>
                <w:lang w:eastAsia="zh-CN"/>
              </w:rPr>
              <w:t>主要废气为投料过程</w:t>
            </w:r>
            <w:r>
              <w:rPr>
                <w:rFonts w:hint="default"/>
                <w:b/>
                <w:bCs/>
                <w:color w:val="auto"/>
                <w:sz w:val="24"/>
                <w:szCs w:val="22"/>
              </w:rPr>
              <w:t>产生</w:t>
            </w:r>
            <w:r>
              <w:rPr>
                <w:rFonts w:hint="eastAsia"/>
                <w:b/>
                <w:bCs/>
                <w:color w:val="auto"/>
                <w:sz w:val="24"/>
                <w:szCs w:val="22"/>
                <w:lang w:eastAsia="zh-CN"/>
              </w:rPr>
              <w:t>的粉尘</w:t>
            </w:r>
            <w:r>
              <w:rPr>
                <w:rFonts w:hint="eastAsia"/>
                <w:b/>
                <w:bCs/>
                <w:color w:val="auto"/>
                <w:sz w:val="24"/>
                <w:highlight w:val="none"/>
                <w:lang w:eastAsia="zh-CN"/>
              </w:rPr>
              <w:t>；噪声为设备噪声</w:t>
            </w:r>
            <w:r>
              <w:rPr>
                <w:rFonts w:hint="default"/>
                <w:b/>
                <w:bCs/>
                <w:color w:val="auto"/>
                <w:sz w:val="24"/>
                <w:szCs w:val="22"/>
              </w:rPr>
              <w:t>。</w:t>
            </w:r>
          </w:p>
          <w:p w14:paraId="25AB1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eastAsia="宋体"/>
                <w:color w:val="auto"/>
                <w:sz w:val="24"/>
                <w:szCs w:val="22"/>
                <w:highlight w:val="none"/>
                <w:lang w:eastAsia="zh-CN"/>
              </w:rPr>
            </w:pPr>
            <w:r>
              <w:rPr>
                <w:rFonts w:hint="eastAsia" w:ascii="微软雅黑" w:hAnsi="微软雅黑" w:eastAsia="微软雅黑" w:cs="微软雅黑"/>
                <w:color w:val="auto"/>
                <w:sz w:val="24"/>
                <w:szCs w:val="22"/>
                <w:highlight w:val="none"/>
              </w:rPr>
              <w:t>③</w:t>
            </w:r>
            <w:r>
              <w:rPr>
                <w:rFonts w:hint="eastAsia"/>
                <w:color w:val="auto"/>
                <w:sz w:val="24"/>
                <w:szCs w:val="22"/>
                <w:highlight w:val="none"/>
                <w:lang w:eastAsia="zh-CN"/>
              </w:rPr>
              <w:t>成型熟化</w:t>
            </w:r>
          </w:p>
          <w:p w14:paraId="051C6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auto"/>
                <w:sz w:val="24"/>
                <w:szCs w:val="22"/>
                <w:highlight w:val="none"/>
                <w:lang w:val="en-US" w:eastAsia="zh-CN"/>
              </w:rPr>
            </w:pPr>
            <w:r>
              <w:rPr>
                <w:rFonts w:hint="eastAsia"/>
                <w:color w:val="auto"/>
                <w:sz w:val="24"/>
                <w:szCs w:val="22"/>
                <w:highlight w:val="none"/>
                <w:lang w:eastAsia="zh-CN"/>
              </w:rPr>
              <w:t>将团状面团送入挤压机，根据产品需求，在一定温度压力下挤压成型，由于挤压机采用蒸汽发生器产生的蒸汽加热一定时间，达到熟化的目的。</w:t>
            </w:r>
            <w:r>
              <w:rPr>
                <w:rFonts w:hint="eastAsia"/>
                <w:color w:val="auto"/>
                <w:sz w:val="24"/>
                <w:szCs w:val="22"/>
                <w:highlight w:val="none"/>
                <w:lang w:val="en-US" w:eastAsia="zh-CN"/>
              </w:rPr>
              <w:t xml:space="preserve">  </w:t>
            </w:r>
          </w:p>
          <w:p w14:paraId="47AF2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default"/>
                <w:color w:val="auto"/>
                <w:sz w:val="24"/>
                <w:szCs w:val="22"/>
                <w:highlight w:val="none"/>
              </w:rPr>
            </w:pPr>
            <w:r>
              <w:rPr>
                <w:rFonts w:hint="default"/>
                <w:b/>
                <w:bCs/>
                <w:color w:val="auto"/>
                <w:sz w:val="24"/>
                <w:szCs w:val="22"/>
                <w:highlight w:val="none"/>
              </w:rPr>
              <w:t>该工序</w:t>
            </w:r>
            <w:r>
              <w:rPr>
                <w:rFonts w:hint="eastAsia"/>
                <w:b/>
                <w:bCs/>
                <w:color w:val="auto"/>
                <w:sz w:val="24"/>
                <w:szCs w:val="22"/>
                <w:highlight w:val="none"/>
                <w:lang w:eastAsia="zh-CN"/>
              </w:rPr>
              <w:t>主要污染源为蒸汽发生器燃料天然气燃烧废气，主要污染物为烟尘、</w:t>
            </w:r>
            <w:r>
              <w:rPr>
                <w:rFonts w:hint="eastAsia"/>
                <w:b/>
                <w:bCs/>
                <w:color w:val="auto"/>
                <w:sz w:val="24"/>
                <w:szCs w:val="22"/>
                <w:highlight w:val="none"/>
                <w:lang w:val="en-US" w:eastAsia="zh-CN"/>
              </w:rPr>
              <w:t>SO</w:t>
            </w:r>
            <w:r>
              <w:rPr>
                <w:rFonts w:hint="eastAsia"/>
                <w:b/>
                <w:bCs/>
                <w:color w:val="auto"/>
                <w:sz w:val="24"/>
                <w:szCs w:val="22"/>
                <w:highlight w:val="none"/>
                <w:vertAlign w:val="subscript"/>
                <w:lang w:val="en-US" w:eastAsia="zh-CN"/>
              </w:rPr>
              <w:t>2</w:t>
            </w:r>
            <w:r>
              <w:rPr>
                <w:rFonts w:hint="eastAsia"/>
                <w:b/>
                <w:bCs/>
                <w:color w:val="auto"/>
                <w:sz w:val="24"/>
                <w:szCs w:val="22"/>
                <w:highlight w:val="none"/>
                <w:lang w:val="en-US" w:eastAsia="zh-CN"/>
              </w:rPr>
              <w:t>、NO</w:t>
            </w:r>
            <w:r>
              <w:rPr>
                <w:rFonts w:hint="eastAsia"/>
                <w:b/>
                <w:bCs/>
                <w:color w:val="auto"/>
                <w:sz w:val="24"/>
                <w:szCs w:val="22"/>
                <w:highlight w:val="none"/>
                <w:vertAlign w:val="subscript"/>
                <w:lang w:val="en-US" w:eastAsia="zh-CN"/>
              </w:rPr>
              <w:t>X</w:t>
            </w:r>
            <w:r>
              <w:rPr>
                <w:rFonts w:hint="eastAsia"/>
                <w:b/>
                <w:bCs/>
                <w:color w:val="auto"/>
                <w:sz w:val="24"/>
                <w:szCs w:val="22"/>
                <w:highlight w:val="none"/>
                <w:vertAlign w:val="baseline"/>
                <w:lang w:val="en-US" w:eastAsia="zh-CN"/>
              </w:rPr>
              <w:t>；</w:t>
            </w:r>
            <w:r>
              <w:rPr>
                <w:rFonts w:hint="eastAsia"/>
                <w:b/>
                <w:bCs/>
                <w:color w:val="auto"/>
                <w:sz w:val="24"/>
                <w:szCs w:val="22"/>
                <w:highlight w:val="none"/>
                <w:lang w:eastAsia="zh-CN"/>
              </w:rPr>
              <w:t>噪声为设备</w:t>
            </w:r>
            <w:r>
              <w:rPr>
                <w:rFonts w:hint="eastAsia"/>
                <w:b/>
                <w:bCs/>
                <w:color w:val="auto"/>
                <w:sz w:val="24"/>
                <w:szCs w:val="22"/>
                <w:highlight w:val="none"/>
              </w:rPr>
              <w:t>噪声</w:t>
            </w:r>
            <w:r>
              <w:rPr>
                <w:rFonts w:hint="default"/>
                <w:b/>
                <w:bCs/>
                <w:color w:val="auto"/>
                <w:sz w:val="24"/>
                <w:szCs w:val="22"/>
                <w:highlight w:val="none"/>
              </w:rPr>
              <w:t>。</w:t>
            </w:r>
          </w:p>
          <w:p w14:paraId="74E3E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color w:val="auto"/>
                <w:sz w:val="24"/>
                <w:szCs w:val="22"/>
                <w:highlight w:val="none"/>
              </w:rPr>
            </w:pPr>
            <w:r>
              <w:rPr>
                <w:rFonts w:hint="eastAsia" w:ascii="微软雅黑" w:hAnsi="微软雅黑" w:eastAsia="微软雅黑" w:cs="微软雅黑"/>
                <w:color w:val="auto"/>
                <w:sz w:val="24"/>
                <w:szCs w:val="22"/>
                <w:highlight w:val="none"/>
              </w:rPr>
              <w:t>④</w:t>
            </w:r>
            <w:r>
              <w:rPr>
                <w:rFonts w:hint="eastAsia"/>
                <w:color w:val="auto"/>
                <w:sz w:val="24"/>
                <w:szCs w:val="22"/>
                <w:highlight w:val="none"/>
                <w:lang w:eastAsia="zh-CN"/>
              </w:rPr>
              <w:t>高温烘干</w:t>
            </w:r>
          </w:p>
          <w:p w14:paraId="4B645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eastAsia="宋体"/>
                <w:color w:val="auto"/>
                <w:sz w:val="24"/>
                <w:szCs w:val="22"/>
                <w:lang w:val="en-US" w:eastAsia="zh-CN"/>
              </w:rPr>
            </w:pPr>
            <w:r>
              <w:rPr>
                <w:rFonts w:hint="eastAsia"/>
                <w:color w:val="auto"/>
                <w:sz w:val="24"/>
                <w:szCs w:val="22"/>
                <w:highlight w:val="none"/>
                <w:lang w:eastAsia="zh-CN"/>
              </w:rPr>
              <w:t>成型熟化的面筋经密闭输送管道输送至烤箱内，烤箱（</w:t>
            </w:r>
            <w:r>
              <w:rPr>
                <w:rFonts w:hint="eastAsia"/>
                <w:color w:val="auto"/>
                <w:sz w:val="24"/>
                <w:szCs w:val="22"/>
                <w:highlight w:val="none"/>
                <w:lang w:val="en-US" w:eastAsia="zh-CN"/>
              </w:rPr>
              <w:t>7m蒸汽</w:t>
            </w:r>
            <w:r>
              <w:rPr>
                <w:rFonts w:hint="eastAsia"/>
                <w:color w:val="auto"/>
                <w:sz w:val="24"/>
                <w:szCs w:val="22"/>
                <w:lang w:val="en-US" w:eastAsia="zh-CN"/>
              </w:rPr>
              <w:t>烤箱</w:t>
            </w:r>
            <w:r>
              <w:rPr>
                <w:rFonts w:hint="eastAsia"/>
                <w:color w:val="auto"/>
                <w:sz w:val="24"/>
                <w:szCs w:val="22"/>
                <w:lang w:eastAsia="zh-CN"/>
              </w:rPr>
              <w:t>）采用热风炉（间接加热热风）循环烘干。</w:t>
            </w:r>
            <w:r>
              <w:rPr>
                <w:rFonts w:hint="eastAsia"/>
                <w:color w:val="auto"/>
                <w:sz w:val="24"/>
                <w:szCs w:val="22"/>
                <w:lang w:val="en-US" w:eastAsia="zh-CN"/>
              </w:rPr>
              <w:t>热源燃料为天然气，由园区天然气管网供给。</w:t>
            </w:r>
          </w:p>
          <w:p w14:paraId="705B33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b/>
                <w:bCs/>
                <w:color w:val="auto"/>
                <w:sz w:val="24"/>
                <w:szCs w:val="22"/>
                <w:highlight w:val="none"/>
              </w:rPr>
            </w:pPr>
            <w:r>
              <w:rPr>
                <w:rFonts w:hint="eastAsia"/>
                <w:b/>
                <w:bCs/>
                <w:color w:val="auto"/>
                <w:sz w:val="24"/>
                <w:szCs w:val="22"/>
                <w:highlight w:val="none"/>
                <w:lang w:eastAsia="zh-CN"/>
              </w:rPr>
              <w:t>该</w:t>
            </w:r>
            <w:r>
              <w:rPr>
                <w:rFonts w:hint="default"/>
                <w:b/>
                <w:bCs/>
                <w:color w:val="auto"/>
                <w:sz w:val="24"/>
                <w:szCs w:val="22"/>
                <w:highlight w:val="none"/>
              </w:rPr>
              <w:t>工序</w:t>
            </w:r>
            <w:r>
              <w:rPr>
                <w:rFonts w:hint="eastAsia"/>
                <w:b/>
                <w:bCs/>
                <w:color w:val="auto"/>
                <w:sz w:val="24"/>
                <w:szCs w:val="22"/>
                <w:highlight w:val="none"/>
                <w:lang w:eastAsia="zh-CN"/>
              </w:rPr>
              <w:t>主要污染源废气为工艺烘干蒸发水蒸气和热风炉燃料天然气燃烧废气，主要污染物为烟尘、</w:t>
            </w:r>
            <w:r>
              <w:rPr>
                <w:rFonts w:hint="eastAsia"/>
                <w:b/>
                <w:bCs/>
                <w:color w:val="auto"/>
                <w:sz w:val="24"/>
                <w:szCs w:val="22"/>
                <w:highlight w:val="none"/>
                <w:lang w:val="en-US" w:eastAsia="zh-CN"/>
              </w:rPr>
              <w:t>SO</w:t>
            </w:r>
            <w:r>
              <w:rPr>
                <w:rFonts w:hint="eastAsia"/>
                <w:b/>
                <w:bCs/>
                <w:color w:val="auto"/>
                <w:sz w:val="24"/>
                <w:szCs w:val="22"/>
                <w:highlight w:val="none"/>
                <w:vertAlign w:val="subscript"/>
                <w:lang w:val="en-US" w:eastAsia="zh-CN"/>
              </w:rPr>
              <w:t>2</w:t>
            </w:r>
            <w:r>
              <w:rPr>
                <w:rFonts w:hint="eastAsia"/>
                <w:b/>
                <w:bCs/>
                <w:color w:val="auto"/>
                <w:sz w:val="24"/>
                <w:szCs w:val="22"/>
                <w:highlight w:val="none"/>
                <w:lang w:val="en-US" w:eastAsia="zh-CN"/>
              </w:rPr>
              <w:t>、NO</w:t>
            </w:r>
            <w:r>
              <w:rPr>
                <w:rFonts w:hint="eastAsia"/>
                <w:b/>
                <w:bCs/>
                <w:color w:val="auto"/>
                <w:sz w:val="24"/>
                <w:szCs w:val="22"/>
                <w:highlight w:val="none"/>
                <w:vertAlign w:val="subscript"/>
                <w:lang w:val="en-US" w:eastAsia="zh-CN"/>
              </w:rPr>
              <w:t>X</w:t>
            </w:r>
            <w:r>
              <w:rPr>
                <w:rFonts w:hint="eastAsia"/>
                <w:b/>
                <w:bCs/>
                <w:color w:val="auto"/>
                <w:sz w:val="24"/>
                <w:szCs w:val="22"/>
                <w:highlight w:val="none"/>
                <w:vertAlign w:val="baseline"/>
                <w:lang w:val="en-US" w:eastAsia="zh-CN"/>
              </w:rPr>
              <w:t>；噪声为</w:t>
            </w:r>
            <w:r>
              <w:rPr>
                <w:rFonts w:hint="eastAsia"/>
                <w:b/>
                <w:bCs/>
                <w:color w:val="auto"/>
                <w:sz w:val="24"/>
                <w:szCs w:val="22"/>
                <w:highlight w:val="none"/>
                <w:lang w:eastAsia="zh-CN"/>
              </w:rPr>
              <w:t>设备</w:t>
            </w:r>
            <w:r>
              <w:rPr>
                <w:rFonts w:hint="eastAsia"/>
                <w:b/>
                <w:bCs/>
                <w:color w:val="auto"/>
                <w:sz w:val="24"/>
                <w:szCs w:val="22"/>
                <w:highlight w:val="none"/>
              </w:rPr>
              <w:t>噪声</w:t>
            </w:r>
            <w:r>
              <w:rPr>
                <w:rFonts w:hint="default"/>
                <w:b/>
                <w:bCs/>
                <w:color w:val="auto"/>
                <w:sz w:val="24"/>
                <w:szCs w:val="22"/>
                <w:highlight w:val="none"/>
              </w:rPr>
              <w:t>。</w:t>
            </w:r>
          </w:p>
          <w:p w14:paraId="48AEA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eastAsia="宋体"/>
                <w:color w:val="auto"/>
                <w:sz w:val="24"/>
                <w:szCs w:val="22"/>
                <w:lang w:eastAsia="zh-CN"/>
              </w:rPr>
            </w:pPr>
            <w:r>
              <w:rPr>
                <w:rFonts w:hint="eastAsia" w:ascii="微软雅黑" w:hAnsi="微软雅黑" w:eastAsia="微软雅黑" w:cs="微软雅黑"/>
                <w:color w:val="auto"/>
                <w:sz w:val="24"/>
                <w:szCs w:val="22"/>
              </w:rPr>
              <w:t>⑤</w:t>
            </w:r>
            <w:r>
              <w:rPr>
                <w:rFonts w:hint="eastAsia"/>
                <w:color w:val="auto"/>
                <w:sz w:val="24"/>
                <w:szCs w:val="22"/>
                <w:lang w:eastAsia="zh-CN"/>
              </w:rPr>
              <w:t>冷却</w:t>
            </w:r>
          </w:p>
          <w:p w14:paraId="4208E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auto"/>
                <w:sz w:val="24"/>
                <w:szCs w:val="22"/>
                <w:lang w:eastAsia="zh-CN"/>
              </w:rPr>
            </w:pPr>
            <w:r>
              <w:rPr>
                <w:rFonts w:hint="eastAsia"/>
                <w:color w:val="auto"/>
                <w:sz w:val="24"/>
                <w:szCs w:val="22"/>
                <w:lang w:eastAsia="zh-CN"/>
              </w:rPr>
              <w:t>烘干</w:t>
            </w:r>
            <w:r>
              <w:rPr>
                <w:rFonts w:hint="default"/>
                <w:color w:val="auto"/>
                <w:sz w:val="24"/>
                <w:szCs w:val="22"/>
              </w:rPr>
              <w:t>后的</w:t>
            </w:r>
            <w:r>
              <w:rPr>
                <w:rFonts w:hint="eastAsia"/>
                <w:color w:val="auto"/>
                <w:sz w:val="24"/>
                <w:szCs w:val="22"/>
                <w:lang w:eastAsia="zh-CN"/>
              </w:rPr>
              <w:t>干面筋密闭输送冷却箱，采用空气冷却（</w:t>
            </w:r>
            <w:r>
              <w:rPr>
                <w:rFonts w:hint="eastAsia"/>
                <w:color w:val="auto"/>
                <w:sz w:val="24"/>
                <w:szCs w:val="22"/>
                <w:lang w:val="en-US" w:eastAsia="zh-CN"/>
              </w:rPr>
              <w:t>循环冷空气）</w:t>
            </w:r>
            <w:r>
              <w:rPr>
                <w:rFonts w:hint="eastAsia"/>
                <w:color w:val="auto"/>
                <w:sz w:val="24"/>
                <w:szCs w:val="22"/>
                <w:lang w:eastAsia="zh-CN"/>
              </w:rPr>
              <w:t>。</w:t>
            </w:r>
          </w:p>
          <w:p w14:paraId="277D5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default"/>
                <w:b/>
                <w:bCs/>
                <w:color w:val="auto"/>
                <w:sz w:val="24"/>
                <w:szCs w:val="22"/>
              </w:rPr>
            </w:pPr>
            <w:r>
              <w:rPr>
                <w:rFonts w:hint="default"/>
                <w:b/>
                <w:bCs/>
                <w:color w:val="auto"/>
                <w:sz w:val="24"/>
                <w:szCs w:val="22"/>
              </w:rPr>
              <w:t>此工序</w:t>
            </w:r>
            <w:r>
              <w:rPr>
                <w:rFonts w:hint="eastAsia"/>
                <w:b/>
                <w:bCs/>
                <w:color w:val="auto"/>
                <w:sz w:val="24"/>
                <w:szCs w:val="22"/>
                <w:lang w:eastAsia="zh-CN"/>
              </w:rPr>
              <w:t>污染源噪声为设备噪声</w:t>
            </w:r>
            <w:r>
              <w:rPr>
                <w:rFonts w:hint="default"/>
                <w:b/>
                <w:bCs/>
                <w:color w:val="auto"/>
                <w:sz w:val="24"/>
                <w:szCs w:val="22"/>
              </w:rPr>
              <w:t>。</w:t>
            </w:r>
          </w:p>
          <w:p w14:paraId="5194BA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color w:val="auto"/>
                <w:sz w:val="24"/>
                <w:szCs w:val="22"/>
                <w:lang w:eastAsia="zh-CN"/>
              </w:rPr>
            </w:pPr>
            <w:r>
              <w:rPr>
                <w:rFonts w:hint="eastAsia" w:ascii="微软雅黑" w:hAnsi="微软雅黑" w:eastAsia="微软雅黑" w:cs="微软雅黑"/>
                <w:color w:val="auto"/>
                <w:sz w:val="24"/>
                <w:szCs w:val="22"/>
                <w:lang w:eastAsia="zh-CN"/>
              </w:rPr>
              <w:t>⑥</w:t>
            </w:r>
            <w:r>
              <w:rPr>
                <w:rFonts w:hint="eastAsia"/>
                <w:color w:val="auto"/>
                <w:sz w:val="24"/>
                <w:szCs w:val="22"/>
                <w:lang w:eastAsia="zh-CN"/>
              </w:rPr>
              <w:t>包装</w:t>
            </w:r>
          </w:p>
          <w:p w14:paraId="618572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color w:val="auto"/>
                <w:sz w:val="24"/>
                <w:szCs w:val="22"/>
                <w:lang w:eastAsia="zh-CN"/>
              </w:rPr>
            </w:pPr>
            <w:r>
              <w:rPr>
                <w:rFonts w:hint="eastAsia"/>
                <w:color w:val="auto"/>
                <w:sz w:val="24"/>
                <w:szCs w:val="22"/>
                <w:lang w:eastAsia="zh-CN"/>
              </w:rPr>
              <w:t>冷却后的成品按照客户要求，包装成不同规格的产品，入库待售。</w:t>
            </w:r>
          </w:p>
          <w:p w14:paraId="0685E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default"/>
                <w:b/>
                <w:bCs/>
                <w:color w:val="auto"/>
                <w:sz w:val="24"/>
                <w:szCs w:val="22"/>
              </w:rPr>
            </w:pPr>
            <w:r>
              <w:rPr>
                <w:rFonts w:hint="default"/>
                <w:b/>
                <w:bCs/>
                <w:color w:val="auto"/>
                <w:sz w:val="24"/>
                <w:szCs w:val="22"/>
              </w:rPr>
              <w:t>此工序</w:t>
            </w:r>
            <w:r>
              <w:rPr>
                <w:rFonts w:hint="eastAsia"/>
                <w:b/>
                <w:bCs/>
                <w:color w:val="auto"/>
                <w:sz w:val="24"/>
                <w:szCs w:val="22"/>
                <w:lang w:eastAsia="zh-CN"/>
              </w:rPr>
              <w:t>污染源噪声为设备噪声；固体废物为包装材料产生的废包装材料</w:t>
            </w:r>
            <w:r>
              <w:rPr>
                <w:rFonts w:hint="default"/>
                <w:b/>
                <w:bCs/>
                <w:color w:val="auto"/>
                <w:sz w:val="24"/>
                <w:szCs w:val="22"/>
              </w:rPr>
              <w:t>。</w:t>
            </w:r>
          </w:p>
          <w:p w14:paraId="37E1C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auto"/>
                <w:sz w:val="24"/>
                <w:szCs w:val="22"/>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）即食</w:t>
            </w:r>
            <w:r>
              <w:rPr>
                <w:rFonts w:hint="eastAsia"/>
                <w:color w:val="auto"/>
                <w:sz w:val="24"/>
                <w:szCs w:val="22"/>
                <w:lang w:eastAsia="zh-CN"/>
              </w:rPr>
              <w:t>面筋</w:t>
            </w:r>
            <w:r>
              <w:rPr>
                <w:rFonts w:hint="eastAsia" w:ascii="Times New Roman" w:hAnsi="Times New Roman" w:cs="Times New Roman"/>
                <w:b w:val="0"/>
                <w:bCs/>
                <w:color w:val="auto"/>
                <w:kern w:val="2"/>
                <w:sz w:val="24"/>
                <w:szCs w:val="24"/>
                <w:lang w:val="en-US" w:eastAsia="zh-CN" w:bidi="ar-SA"/>
              </w:rPr>
              <w:t>生产</w:t>
            </w:r>
            <w:r>
              <w:rPr>
                <w:rFonts w:hint="default" w:ascii="Times New Roman" w:hAnsi="Times New Roman" w:eastAsia="宋体" w:cs="Times New Roman"/>
                <w:b w:val="0"/>
                <w:bCs/>
                <w:color w:val="auto"/>
                <w:kern w:val="2"/>
                <w:sz w:val="24"/>
                <w:szCs w:val="24"/>
                <w:lang w:val="en-US" w:eastAsia="zh-CN" w:bidi="ar-SA"/>
              </w:rPr>
              <w:t>工艺流程</w:t>
            </w:r>
            <w:r>
              <w:rPr>
                <w:rFonts w:hint="eastAsia" w:ascii="Times New Roman" w:hAnsi="Times New Roman" w:cs="Times New Roman"/>
                <w:b w:val="0"/>
                <w:bCs/>
                <w:color w:val="auto"/>
                <w:kern w:val="2"/>
                <w:sz w:val="24"/>
                <w:szCs w:val="24"/>
                <w:lang w:val="en-US" w:eastAsia="zh-CN" w:bidi="ar-SA"/>
              </w:rPr>
              <w:t>及排污节点</w:t>
            </w:r>
          </w:p>
          <w:p w14:paraId="6717F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sz w:val="24"/>
                <w:szCs w:val="24"/>
                <w:lang w:eastAsia="zh-CN"/>
              </w:rPr>
            </w:pPr>
            <w:r>
              <w:rPr>
                <w:rFonts w:hint="eastAsia" w:ascii="微软雅黑" w:hAnsi="微软雅黑" w:eastAsia="微软雅黑" w:cs="微软雅黑"/>
                <w:sz w:val="24"/>
                <w:szCs w:val="24"/>
                <w:lang w:eastAsia="zh-CN"/>
              </w:rPr>
              <w:t>①</w:t>
            </w:r>
            <w:r>
              <w:rPr>
                <w:rFonts w:hint="eastAsia"/>
                <w:sz w:val="24"/>
                <w:szCs w:val="24"/>
                <w:lang w:eastAsia="zh-CN"/>
              </w:rPr>
              <w:t>浸泡清洗</w:t>
            </w:r>
          </w:p>
          <w:p w14:paraId="03D3D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sz w:val="24"/>
                <w:szCs w:val="24"/>
                <w:lang w:eastAsia="zh-CN"/>
              </w:rPr>
            </w:pPr>
            <w:r>
              <w:rPr>
                <w:rFonts w:hint="eastAsia"/>
                <w:sz w:val="24"/>
                <w:szCs w:val="24"/>
                <w:lang w:eastAsia="zh-CN"/>
              </w:rPr>
              <w:t>来自成型熟化后的成型面筋，采用新鲜水进行浸泡清洗二次，采用逆流浸泡清洗的方式，节省水源，可达到产品要求。</w:t>
            </w:r>
          </w:p>
          <w:p w14:paraId="7A530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default"/>
                <w:b/>
                <w:bCs/>
                <w:color w:val="auto"/>
                <w:sz w:val="24"/>
                <w:szCs w:val="22"/>
              </w:rPr>
            </w:pPr>
            <w:r>
              <w:rPr>
                <w:rFonts w:hint="default"/>
                <w:b/>
                <w:bCs/>
                <w:color w:val="auto"/>
                <w:sz w:val="24"/>
                <w:szCs w:val="22"/>
              </w:rPr>
              <w:t>此工序</w:t>
            </w:r>
            <w:r>
              <w:rPr>
                <w:rFonts w:hint="eastAsia"/>
                <w:b/>
                <w:bCs/>
                <w:color w:val="auto"/>
                <w:sz w:val="24"/>
                <w:szCs w:val="22"/>
                <w:lang w:eastAsia="zh-CN"/>
              </w:rPr>
              <w:t>污染源为废水，主要污染物为</w:t>
            </w:r>
            <w:r>
              <w:rPr>
                <w:rFonts w:hint="eastAsia" w:ascii="Times New Roman" w:hAnsi="Times New Roman" w:cs="Times New Roman"/>
                <w:b/>
                <w:bCs/>
                <w:color w:val="auto"/>
                <w:kern w:val="2"/>
                <w:sz w:val="24"/>
                <w:szCs w:val="24"/>
                <w:lang w:val="en-US" w:eastAsia="zh-CN" w:bidi="ar-SA"/>
              </w:rPr>
              <w:t>pH、</w:t>
            </w:r>
            <w:r>
              <w:rPr>
                <w:rFonts w:hint="default" w:ascii="Times New Roman" w:hAnsi="Times New Roman" w:cs="Times New Roman"/>
                <w:b/>
                <w:bCs/>
                <w:color w:val="auto"/>
                <w:kern w:val="2"/>
                <w:sz w:val="24"/>
                <w:szCs w:val="24"/>
                <w:lang w:val="en-US" w:bidi="ar-SA"/>
              </w:rPr>
              <w:t>COD、BOD</w:t>
            </w:r>
            <w:r>
              <w:rPr>
                <w:rFonts w:hint="default" w:ascii="Times New Roman" w:hAnsi="Times New Roman" w:cs="Times New Roman"/>
                <w:b/>
                <w:bCs/>
                <w:color w:val="auto"/>
                <w:kern w:val="2"/>
                <w:sz w:val="24"/>
                <w:szCs w:val="24"/>
                <w:vertAlign w:val="subscript"/>
                <w:lang w:val="en-US" w:bidi="ar-SA"/>
              </w:rPr>
              <w:t>5</w:t>
            </w:r>
            <w:r>
              <w:rPr>
                <w:rFonts w:hint="default" w:ascii="Times New Roman" w:hAnsi="Times New Roman" w:cs="Times New Roman"/>
                <w:b/>
                <w:bCs/>
                <w:color w:val="auto"/>
                <w:kern w:val="2"/>
                <w:sz w:val="24"/>
                <w:szCs w:val="24"/>
                <w:lang w:val="en-US" w:bidi="ar-SA"/>
              </w:rPr>
              <w:t>、SS、氨氮</w:t>
            </w:r>
            <w:r>
              <w:rPr>
                <w:rFonts w:hint="eastAsia" w:ascii="Times New Roman" w:hAnsi="Times New Roman" w:cs="Times New Roman"/>
                <w:b/>
                <w:bCs/>
                <w:color w:val="auto"/>
                <w:kern w:val="2"/>
                <w:sz w:val="24"/>
                <w:szCs w:val="24"/>
                <w:lang w:val="en-US" w:eastAsia="zh-CN" w:bidi="ar-SA"/>
              </w:rPr>
              <w:t>、总磷、动植物油</w:t>
            </w:r>
            <w:r>
              <w:rPr>
                <w:rFonts w:hint="eastAsia"/>
                <w:b/>
                <w:bCs/>
                <w:color w:val="auto"/>
                <w:sz w:val="24"/>
                <w:szCs w:val="22"/>
                <w:lang w:eastAsia="zh-CN"/>
              </w:rPr>
              <w:t>；固体废物为浸泡清洗产生的面筋废渣</w:t>
            </w:r>
            <w:r>
              <w:rPr>
                <w:rFonts w:hint="default"/>
                <w:b/>
                <w:bCs/>
                <w:color w:val="auto"/>
                <w:sz w:val="24"/>
                <w:szCs w:val="22"/>
              </w:rPr>
              <w:t>。</w:t>
            </w:r>
          </w:p>
          <w:p w14:paraId="224A6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②</w:t>
            </w:r>
            <w:r>
              <w:rPr>
                <w:rFonts w:hint="eastAsia"/>
                <w:color w:val="000000" w:themeColor="text1"/>
                <w:sz w:val="24"/>
                <w:szCs w:val="24"/>
                <w:lang w:eastAsia="zh-CN"/>
                <w14:textFill>
                  <w14:solidFill>
                    <w14:schemeClr w14:val="tx1"/>
                  </w14:solidFill>
                </w14:textFill>
              </w:rPr>
              <w:t>蒸煮</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卤制、检验</w:t>
            </w:r>
          </w:p>
          <w:p w14:paraId="7A3F54AB">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浸泡清洗合格的面筋，按照产品要求在蒸煮</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卤制锅中加入水和调味料，热源采用蒸汽发生器产生的蒸汽间接加热，按照产品要求加热卤制一定的时间，卤制成不同风味的卤面筋。</w:t>
            </w:r>
            <w:r>
              <w:rPr>
                <w:rFonts w:hint="eastAsia"/>
                <w:color w:val="000000" w:themeColor="text1"/>
                <w:sz w:val="24"/>
                <w:highlight w:val="none"/>
                <w14:textFill>
                  <w14:solidFill>
                    <w14:schemeClr w14:val="tx1"/>
                  </w14:solidFill>
                </w14:textFill>
              </w:rPr>
              <w:t>卤制加工好的产品需进行检验，由检验操作员工和品控员对出锅产品做感官检测，挑选出不合格品。</w:t>
            </w:r>
          </w:p>
          <w:p w14:paraId="51C5D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default"/>
                <w:b/>
                <w:bCs/>
                <w:color w:val="000000" w:themeColor="text1"/>
                <w:sz w:val="24"/>
                <w:szCs w:val="22"/>
                <w14:textFill>
                  <w14:solidFill>
                    <w14:schemeClr w14:val="tx1"/>
                  </w14:solidFill>
                </w14:textFill>
              </w:rPr>
            </w:pPr>
            <w:r>
              <w:rPr>
                <w:rFonts w:hint="default"/>
                <w:b/>
                <w:bCs/>
                <w:color w:val="000000" w:themeColor="text1"/>
                <w:sz w:val="24"/>
                <w:szCs w:val="22"/>
                <w14:textFill>
                  <w14:solidFill>
                    <w14:schemeClr w14:val="tx1"/>
                  </w14:solidFill>
                </w14:textFill>
              </w:rPr>
              <w:t>此工序</w:t>
            </w:r>
            <w:r>
              <w:rPr>
                <w:rFonts w:hint="eastAsia"/>
                <w:b/>
                <w:bCs/>
                <w:color w:val="000000" w:themeColor="text1"/>
                <w:sz w:val="24"/>
                <w:szCs w:val="22"/>
                <w:lang w:eastAsia="zh-CN"/>
                <w14:textFill>
                  <w14:solidFill>
                    <w14:schemeClr w14:val="tx1"/>
                  </w14:solidFill>
                </w14:textFill>
              </w:rPr>
              <w:t>污染源废气主要污染物为</w:t>
            </w:r>
            <w:r>
              <w:rPr>
                <w:rFonts w:hint="eastAsia"/>
                <w:b/>
                <w:bCs/>
                <w:color w:val="000000" w:themeColor="text1"/>
                <w:sz w:val="24"/>
                <w:szCs w:val="22"/>
                <w:lang w:val="en-US" w:eastAsia="zh-CN"/>
                <w14:textFill>
                  <w14:solidFill>
                    <w14:schemeClr w14:val="tx1"/>
                  </w14:solidFill>
                </w14:textFill>
              </w:rPr>
              <w:t>异味</w:t>
            </w:r>
            <w:r>
              <w:rPr>
                <w:rFonts w:hint="eastAsia"/>
                <w:b/>
                <w:bCs/>
                <w:color w:val="000000" w:themeColor="text1"/>
                <w:sz w:val="24"/>
                <w:szCs w:val="22"/>
                <w:lang w:eastAsia="zh-CN"/>
                <w14:textFill>
                  <w14:solidFill>
                    <w14:schemeClr w14:val="tx1"/>
                  </w14:solidFill>
                </w14:textFill>
              </w:rPr>
              <w:t>；废水为卤制工序、检验工序废水；噪声为设备噪声；固体废物为检验产生的不合格产品和卤制废料</w:t>
            </w:r>
            <w:r>
              <w:rPr>
                <w:rFonts w:hint="default"/>
                <w:b/>
                <w:bCs/>
                <w:color w:val="000000" w:themeColor="text1"/>
                <w:sz w:val="24"/>
                <w:szCs w:val="22"/>
                <w14:textFill>
                  <w14:solidFill>
                    <w14:schemeClr w14:val="tx1"/>
                  </w14:solidFill>
                </w14:textFill>
              </w:rPr>
              <w:t>。</w:t>
            </w:r>
          </w:p>
          <w:p w14:paraId="05FA7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2"/>
                <w:highlight w:val="none"/>
                <w14:textFill>
                  <w14:solidFill>
                    <w14:schemeClr w14:val="tx1"/>
                  </w14:solidFill>
                </w14:textFill>
              </w:rPr>
              <w:t>③</w:t>
            </w:r>
            <w:r>
              <w:rPr>
                <w:rFonts w:hint="eastAsia"/>
                <w:color w:val="000000" w:themeColor="text1"/>
                <w:sz w:val="24"/>
                <w:szCs w:val="24"/>
                <w:lang w:eastAsia="zh-CN"/>
                <w14:textFill>
                  <w14:solidFill>
                    <w14:schemeClr w14:val="tx1"/>
                  </w14:solidFill>
                </w14:textFill>
              </w:rPr>
              <w:t>包装、激光打码</w:t>
            </w:r>
          </w:p>
          <w:p w14:paraId="27240BE6">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56" w:firstLineChars="200"/>
              <w:jc w:val="both"/>
              <w:textAlignment w:val="auto"/>
              <w:rPr>
                <w:rFonts w:hint="eastAsia" w:eastAsia="宋体"/>
                <w:color w:val="000000" w:themeColor="text1"/>
                <w:spacing w:val="-6"/>
                <w:sz w:val="24"/>
                <w:lang w:eastAsia="zh-CN"/>
                <w14:textFill>
                  <w14:solidFill>
                    <w14:schemeClr w14:val="tx1"/>
                  </w14:solidFill>
                </w14:textFill>
              </w:rPr>
            </w:pPr>
            <w:r>
              <w:rPr>
                <w:rFonts w:hint="eastAsia"/>
                <w:color w:val="000000" w:themeColor="text1"/>
                <w:spacing w:val="-6"/>
                <w:sz w:val="24"/>
                <w:lang w:eastAsia="zh-CN"/>
                <w14:textFill>
                  <w14:solidFill>
                    <w14:schemeClr w14:val="tx1"/>
                  </w14:solidFill>
                </w14:textFill>
              </w:rPr>
              <w:t>包装工序分内包装和外包装，根据产品要求内包装需要进行高温杀菌（杀菌釜）处理，采用高温热水杀菌（电加热），</w:t>
            </w:r>
            <w:r>
              <w:rPr>
                <w:rFonts w:hint="eastAsia"/>
                <w:color w:val="000000" w:themeColor="text1"/>
                <w:sz w:val="24"/>
                <w:szCs w:val="32"/>
                <w:highlight w:val="none"/>
                <w14:textFill>
                  <w14:solidFill>
                    <w14:schemeClr w14:val="tx1"/>
                  </w14:solidFill>
                </w14:textFill>
              </w:rPr>
              <w:t>项目成品高温杀菌后，需使用水检验包装袋气密性，检验水循环使用</w:t>
            </w:r>
            <w:r>
              <w:rPr>
                <w:rFonts w:hint="eastAsia"/>
                <w:color w:val="000000" w:themeColor="text1"/>
                <w:sz w:val="24"/>
                <w:szCs w:val="32"/>
                <w:highlight w:val="none"/>
                <w:lang w:eastAsia="zh-CN"/>
                <w14:textFill>
                  <w14:solidFill>
                    <w14:schemeClr w14:val="tx1"/>
                  </w14:solidFill>
                </w14:textFill>
              </w:rPr>
              <w:t>，</w:t>
            </w:r>
            <w:r>
              <w:rPr>
                <w:rFonts w:hint="eastAsia"/>
                <w:color w:val="000000" w:themeColor="text1"/>
                <w:spacing w:val="-6"/>
                <w:sz w:val="24"/>
                <w:lang w:eastAsia="zh-CN"/>
                <w14:textFill>
                  <w14:solidFill>
                    <w14:schemeClr w14:val="tx1"/>
                  </w14:solidFill>
                </w14:textFill>
              </w:rPr>
              <w:t>外包装需要激光打印日期，包装后成品送入冷库（按照产品要求调节不同的温度进行冷冻或冷藏暂存）。</w:t>
            </w:r>
          </w:p>
          <w:p w14:paraId="38096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b/>
                <w:bCs/>
                <w:color w:val="000000" w:themeColor="text1"/>
                <w:sz w:val="24"/>
                <w:lang w:eastAsia="zh-CN"/>
                <w14:textFill>
                  <w14:solidFill>
                    <w14:schemeClr w14:val="tx1"/>
                  </w14:solidFill>
                </w14:textFill>
              </w:rPr>
            </w:pPr>
            <w:r>
              <w:rPr>
                <w:rFonts w:hint="eastAsia"/>
                <w:b/>
                <w:bCs/>
                <w:color w:val="000000" w:themeColor="text1"/>
                <w:sz w:val="24"/>
                <w:lang w:eastAsia="zh-CN"/>
                <w14:textFill>
                  <w14:solidFill>
                    <w14:schemeClr w14:val="tx1"/>
                  </w14:solidFill>
                </w14:textFill>
              </w:rPr>
              <w:t>此</w:t>
            </w:r>
            <w:r>
              <w:rPr>
                <w:rFonts w:hint="default"/>
                <w:b/>
                <w:bCs/>
                <w:color w:val="000000" w:themeColor="text1"/>
                <w:sz w:val="24"/>
                <w14:textFill>
                  <w14:solidFill>
                    <w14:schemeClr w14:val="tx1"/>
                  </w14:solidFill>
                </w14:textFill>
              </w:rPr>
              <w:t>工</w:t>
            </w:r>
            <w:r>
              <w:rPr>
                <w:rFonts w:hint="eastAsia"/>
                <w:b/>
                <w:bCs/>
                <w:color w:val="000000" w:themeColor="text1"/>
                <w:sz w:val="24"/>
                <w:lang w:eastAsia="zh-CN"/>
                <w14:textFill>
                  <w14:solidFill>
                    <w14:schemeClr w14:val="tx1"/>
                  </w14:solidFill>
                </w14:textFill>
              </w:rPr>
              <w:t>艺主要污染源噪声为设备噪声；固体废物为内外包装产生的废包装材料，高温消毒产生的废水、检验废水。</w:t>
            </w:r>
          </w:p>
          <w:p w14:paraId="68712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default" w:ascii="Times New Roman" w:hAnsi="Times New Roman" w:cs="Times New Roman"/>
                <w:color w:val="auto"/>
                <w:lang w:val="en-US" w:eastAsia="zh-CN"/>
              </w:rPr>
            </w:pPr>
          </w:p>
        </w:tc>
      </w:tr>
      <w:tr w14:paraId="0F62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329" w:type="dxa"/>
            <w:vAlign w:val="center"/>
          </w:tcPr>
          <w:p w14:paraId="6E40D4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与项目有关的原有环境污染问题</w:t>
            </w:r>
          </w:p>
        </w:tc>
        <w:tc>
          <w:tcPr>
            <w:tcW w:w="8802" w:type="dxa"/>
            <w:vAlign w:val="center"/>
          </w:tcPr>
          <w:p w14:paraId="2C21D12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r>
              <w:rPr>
                <w:rFonts w:hint="default"/>
                <w:color w:val="auto"/>
                <w:sz w:val="24"/>
                <w:szCs w:val="32"/>
              </w:rPr>
              <w:t>本项目为新建项目，</w:t>
            </w:r>
            <w:r>
              <w:rPr>
                <w:rFonts w:hint="eastAsia"/>
                <w:color w:val="auto"/>
                <w:sz w:val="24"/>
                <w:szCs w:val="32"/>
                <w:lang w:eastAsia="zh-CN"/>
              </w:rPr>
              <w:t>厂区现状为空地，占地为工业用地</w:t>
            </w:r>
            <w:r>
              <w:rPr>
                <w:rFonts w:hint="default"/>
                <w:color w:val="auto"/>
                <w:sz w:val="24"/>
                <w:szCs w:val="32"/>
              </w:rPr>
              <w:t>。不存在与本项目有关的原有环境污染问题</w:t>
            </w:r>
            <w:r>
              <w:rPr>
                <w:rFonts w:hint="eastAsia"/>
                <w:color w:val="auto"/>
                <w:sz w:val="24"/>
                <w:szCs w:val="32"/>
                <w:lang w:eastAsia="zh-CN"/>
              </w:rPr>
              <w:t>。</w:t>
            </w:r>
          </w:p>
          <w:p w14:paraId="56ABA2D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3F89FB8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523BD3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68B1CD8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6D8A0B9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56A4BC1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39C52D9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61E5C7C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3D7DB0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2EFBB00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07A7260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13D9EA1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26091F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444CCAE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0B437A8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62AB4E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6B4AB75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5AAD74F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5EB5903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0C6ECA4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1A0CC8F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4B052A0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1AD52DC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0B22DC7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rPr>
                <w:rFonts w:hint="eastAsia"/>
                <w:color w:val="auto"/>
                <w:sz w:val="24"/>
                <w:szCs w:val="32"/>
                <w:lang w:eastAsia="zh-CN"/>
              </w:rPr>
            </w:pPr>
          </w:p>
          <w:p w14:paraId="6F5F0D1F">
            <w:pPr>
              <w:pStyle w:val="32"/>
              <w:keepNext w:val="0"/>
              <w:keepLines w:val="0"/>
              <w:suppressLineNumbers w:val="0"/>
              <w:spacing w:before="0" w:beforeAutospacing="0" w:afterAutospacing="0"/>
              <w:ind w:left="0" w:leftChars="0" w:right="0" w:firstLine="0" w:firstLineChars="0"/>
              <w:rPr>
                <w:rFonts w:hint="default"/>
                <w:color w:val="auto"/>
                <w:lang w:val="en-US" w:eastAsia="zh-CN"/>
              </w:rPr>
            </w:pPr>
          </w:p>
        </w:tc>
      </w:tr>
    </w:tbl>
    <w:p w14:paraId="0FB9D957">
      <w:pPr>
        <w:pStyle w:val="2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86B773A">
      <w:pPr>
        <w:pStyle w:val="2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auto"/>
          <w:sz w:val="30"/>
          <w:szCs w:val="30"/>
        </w:rPr>
      </w:pPr>
      <w:r>
        <w:rPr>
          <w:rFonts w:ascii="Times New Roman" w:hAnsi="Times New Roman" w:eastAsia="黑体"/>
          <w:b/>
          <w:bCs/>
          <w:snapToGrid w:val="0"/>
          <w:color w:val="auto"/>
          <w:sz w:val="30"/>
          <w:szCs w:val="30"/>
        </w:rPr>
        <w:t>三、区域环境质量现状、环境保护目标及评价标准</w:t>
      </w:r>
    </w:p>
    <w:tbl>
      <w:tblPr>
        <w:tblStyle w:val="3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6"/>
        <w:gridCol w:w="8244"/>
      </w:tblGrid>
      <w:tr w14:paraId="761A1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30" w:hRule="atLeast"/>
          <w:jc w:val="center"/>
        </w:trPr>
        <w:tc>
          <w:tcPr>
            <w:tcW w:w="162" w:type="pct"/>
            <w:vAlign w:val="center"/>
          </w:tcPr>
          <w:p w14:paraId="15FB2476">
            <w:pPr>
              <w:keepNext w:val="0"/>
              <w:keepLines w:val="0"/>
              <w:pageBreakBefore w:val="0"/>
              <w:widowControl w:val="0"/>
              <w:suppressLineNumbers w:val="0"/>
              <w:kinsoku/>
              <w:wordWrap/>
              <w:overflowPunct/>
              <w:topLinePunct w:val="0"/>
              <w:bidi w:val="0"/>
              <w:adjustRightInd/>
              <w:snapToGrid w:val="0"/>
              <w:spacing w:before="0" w:beforeAutospacing="0" w:after="0" w:afterAutospacing="0"/>
              <w:ind w:left="-105" w:leftChars="-50" w:right="-105" w:rightChars="-5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 w:val="24"/>
                <w:szCs w:val="24"/>
              </w:rPr>
              <w:t>区域环境质量现状</w:t>
            </w:r>
          </w:p>
        </w:tc>
        <w:tc>
          <w:tcPr>
            <w:tcW w:w="4837" w:type="pct"/>
            <w:vAlign w:val="center"/>
          </w:tcPr>
          <w:p w14:paraId="37A31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1、环境空气质量现状</w:t>
            </w:r>
          </w:p>
          <w:p w14:paraId="66936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（1）常规污染物环境空气质量现状</w:t>
            </w:r>
          </w:p>
          <w:p w14:paraId="0F182F1B">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Times New Roman" w:cs="Times New Roman"/>
                <w:color w:val="auto"/>
                <w:sz w:val="24"/>
                <w:szCs w:val="32"/>
              </w:rPr>
            </w:pPr>
            <w:r>
              <w:rPr>
                <w:rFonts w:hint="default" w:ascii="Times New Roman" w:hAnsi="Times New Roman" w:cs="Times New Roman"/>
                <w:color w:val="auto"/>
                <w:sz w:val="24"/>
              </w:rPr>
              <w:t>大气环境：</w:t>
            </w:r>
            <w:r>
              <w:rPr>
                <w:rFonts w:hint="default" w:ascii="Times New Roman" w:hAnsi="Times New Roman" w:cs="Times New Roman"/>
                <w:color w:val="auto"/>
                <w:sz w:val="24"/>
                <w:szCs w:val="32"/>
              </w:rPr>
              <w:t>根据《建设项目环境影响报告表编制技术指南（污染影响类）（试行）》相关规定，本评价选用邯郸市生态环境局公布的《20</w:t>
            </w:r>
            <w:r>
              <w:rPr>
                <w:rFonts w:hint="default" w:ascii="Times New Roman" w:hAnsi="Times New Roman" w:eastAsia="Times New Roman" w:cs="Times New Roman"/>
                <w:color w:val="auto"/>
                <w:sz w:val="24"/>
                <w:szCs w:val="32"/>
              </w:rPr>
              <w:t>2</w:t>
            </w:r>
            <w:r>
              <w:rPr>
                <w:rFonts w:hint="default" w:ascii="Times New Roman" w:hAnsi="Times New Roman" w:eastAsia="宋体" w:cs="Times New Roman"/>
                <w:color w:val="auto"/>
                <w:sz w:val="24"/>
                <w:szCs w:val="32"/>
                <w:lang w:val="en-US" w:eastAsia="zh-CN"/>
              </w:rPr>
              <w:t>4</w:t>
            </w:r>
            <w:r>
              <w:rPr>
                <w:rFonts w:hint="default" w:ascii="Times New Roman" w:hAnsi="Times New Roman" w:cs="Times New Roman"/>
                <w:color w:val="auto"/>
                <w:sz w:val="24"/>
                <w:szCs w:val="32"/>
              </w:rPr>
              <w:t>年度邯郸市环境质量公报》作为基本污染物环境空气质量现状数据，并对各污染物的年评价指标进行环境质量现状评价。</w:t>
            </w:r>
          </w:p>
          <w:p w14:paraId="0A6B9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根据年报中数据可知，2024年全市优良天共248天，占总天数的67.8%；轻度和中度污染天共109天，占总天数的29.8%；重度污染及以上天共9天，占总天数的2.4%。其中，一级天数为 42天， 占比11.5%；二级天数为206天，占56.3%；三级天数为95天，占26.0%；四级天数为14天， 占3.8%；五级天数为7天， 占1.9%；六级天数为 2天，占比 0.5%。</w:t>
            </w:r>
          </w:p>
          <w:p w14:paraId="73211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细颗粒物、可吸入颗粒物、二氧化硫、二氧化氮、一氧化碳24小时平均浓度第95百分位数和臭氧最大 8小时平均浓度第90百分位数浓度分别为 46微克/立方米、76微克/立方米、6微克/立方米、23微克/立方米、1.2毫克/立方米、175微克/立方米；综合指数 4.47</w:t>
            </w:r>
            <w:r>
              <w:rPr>
                <w:rFonts w:hint="default" w:ascii="Times New Roman" w:hAnsi="Times New Roman" w:cs="Times New Roman"/>
                <w:color w:val="auto"/>
                <w:sz w:val="24"/>
                <w:szCs w:val="32"/>
                <w:lang w:eastAsia="zh-CN"/>
              </w:rPr>
              <w:t>，</w:t>
            </w:r>
            <w:r>
              <w:rPr>
                <w:rFonts w:hint="default" w:ascii="Times New Roman" w:hAnsi="Times New Roman" w:cs="Times New Roman"/>
                <w:color w:val="auto"/>
                <w:sz w:val="24"/>
                <w:szCs w:val="32"/>
              </w:rPr>
              <w:t>在全国168城市排名为第144位，同比前进5</w:t>
            </w:r>
            <w:r>
              <w:rPr>
                <w:rFonts w:hint="default" w:ascii="Times New Roman" w:hAnsi="Times New Roman" w:cs="Times New Roman"/>
                <w:color w:val="auto"/>
                <w:sz w:val="24"/>
                <w:szCs w:val="32"/>
                <w:lang w:val="en-US" w:eastAsia="zh-CN"/>
              </w:rPr>
              <w:t>个名次</w:t>
            </w:r>
            <w:r>
              <w:rPr>
                <w:rFonts w:hint="default" w:ascii="Times New Roman" w:hAnsi="Times New Roman" w:cs="Times New Roman"/>
                <w:color w:val="auto"/>
                <w:sz w:val="24"/>
                <w:szCs w:val="32"/>
                <w:lang w:eastAsia="zh-CN"/>
              </w:rPr>
              <w:t>。</w:t>
            </w:r>
            <w:r>
              <w:rPr>
                <w:rFonts w:hint="default" w:ascii="Times New Roman" w:hAnsi="Times New Roman" w:cs="Times New Roman"/>
                <w:color w:val="auto"/>
                <w:sz w:val="24"/>
                <w:szCs w:val="32"/>
              </w:rPr>
              <w:t>二氧化硫、二氧化氮和臭氧浓度三项污染物达到国家环境空气质量二级标准。</w:t>
            </w:r>
          </w:p>
          <w:p w14:paraId="20464E7F">
            <w:pPr>
              <w:keepNext w:val="0"/>
              <w:keepLines w:val="0"/>
              <w:suppressLineNumbers w:val="0"/>
              <w:spacing w:before="0" w:beforeAutospacing="0" w:after="0" w:afterAutospacing="0" w:line="480" w:lineRule="exact"/>
              <w:ind w:left="0" w:right="0" w:firstLine="480" w:firstLineChars="200"/>
              <w:rPr>
                <w:rFonts w:hint="default" w:ascii="Times New Roman" w:hAnsi="Times New Roman" w:cs="Times New Roman"/>
                <w:snapToGrid w:val="0"/>
                <w:color w:val="auto"/>
                <w:kern w:val="0"/>
                <w:sz w:val="24"/>
              </w:rPr>
            </w:pPr>
            <w:r>
              <w:rPr>
                <w:rFonts w:hint="default" w:ascii="Times New Roman" w:hAnsi="Times New Roman" w:cs="Times New Roman"/>
                <w:color w:val="auto"/>
                <w:sz w:val="24"/>
                <w:szCs w:val="32"/>
              </w:rPr>
              <w:t>臭氧（O</w:t>
            </w:r>
            <w:r>
              <w:rPr>
                <w:rFonts w:hint="default" w:ascii="Times New Roman" w:hAnsi="Times New Roman" w:cs="Times New Roman"/>
                <w:color w:val="auto"/>
                <w:sz w:val="24"/>
                <w:szCs w:val="32"/>
                <w:vertAlign w:val="subscript"/>
              </w:rPr>
              <w:t>3</w:t>
            </w:r>
            <w:r>
              <w:rPr>
                <w:rFonts w:hint="default" w:ascii="Times New Roman" w:hAnsi="Times New Roman" w:cs="Times New Roman"/>
                <w:color w:val="auto"/>
                <w:sz w:val="24"/>
                <w:szCs w:val="32"/>
              </w:rPr>
              <w:t>）日最大8小时平均浓度第90百分位数176微克/立方米、可吸入颗粒物（PM</w:t>
            </w:r>
            <w:r>
              <w:rPr>
                <w:rFonts w:hint="default" w:ascii="Times New Roman" w:hAnsi="Times New Roman" w:cs="Times New Roman"/>
                <w:color w:val="auto"/>
                <w:sz w:val="24"/>
                <w:szCs w:val="32"/>
                <w:vertAlign w:val="subscript"/>
              </w:rPr>
              <w:t>10</w:t>
            </w:r>
            <w:r>
              <w:rPr>
                <w:rFonts w:hint="default" w:ascii="Times New Roman" w:hAnsi="Times New Roman" w:cs="Times New Roman"/>
                <w:color w:val="auto"/>
                <w:sz w:val="24"/>
                <w:szCs w:val="32"/>
              </w:rPr>
              <w:t>）年平均浓度76微克/立方米、细颗粒物（PM</w:t>
            </w:r>
            <w:r>
              <w:rPr>
                <w:rFonts w:hint="default" w:ascii="Times New Roman" w:hAnsi="Times New Roman" w:cs="Times New Roman"/>
                <w:color w:val="auto"/>
                <w:sz w:val="24"/>
                <w:szCs w:val="32"/>
                <w:vertAlign w:val="subscript"/>
              </w:rPr>
              <w:t>2.5</w:t>
            </w:r>
            <w:r>
              <w:rPr>
                <w:rFonts w:hint="default" w:ascii="Times New Roman" w:hAnsi="Times New Roman" w:cs="Times New Roman"/>
                <w:color w:val="auto"/>
                <w:sz w:val="24"/>
                <w:szCs w:val="32"/>
              </w:rPr>
              <w:t>）年平均浓度47微克/立方米，分别超标0.10倍、0.09倍、0.34倍。细颗粒物（PM</w:t>
            </w:r>
            <w:r>
              <w:rPr>
                <w:rFonts w:hint="default" w:ascii="Times New Roman" w:hAnsi="Times New Roman" w:cs="Times New Roman"/>
                <w:color w:val="auto"/>
                <w:sz w:val="24"/>
                <w:szCs w:val="32"/>
                <w:vertAlign w:val="subscript"/>
              </w:rPr>
              <w:t>2.5</w:t>
            </w:r>
            <w:r>
              <w:rPr>
                <w:rFonts w:hint="default" w:ascii="Times New Roman" w:hAnsi="Times New Roman" w:cs="Times New Roman"/>
                <w:color w:val="auto"/>
                <w:sz w:val="24"/>
                <w:szCs w:val="32"/>
              </w:rPr>
              <w:t>）和臭氧（O</w:t>
            </w:r>
            <w:r>
              <w:rPr>
                <w:rFonts w:hint="default" w:ascii="Times New Roman" w:hAnsi="Times New Roman" w:cs="Times New Roman"/>
                <w:color w:val="auto"/>
                <w:sz w:val="24"/>
                <w:szCs w:val="32"/>
                <w:vertAlign w:val="subscript"/>
              </w:rPr>
              <w:t>3</w:t>
            </w:r>
            <w:r>
              <w:rPr>
                <w:rFonts w:hint="default" w:ascii="Times New Roman" w:hAnsi="Times New Roman" w:cs="Times New Roman"/>
                <w:color w:val="auto"/>
                <w:sz w:val="24"/>
                <w:szCs w:val="32"/>
              </w:rPr>
              <w:t>）是主要污染物</w:t>
            </w:r>
            <w:r>
              <w:rPr>
                <w:rFonts w:hint="default" w:ascii="Times New Roman" w:hAnsi="Times New Roman" w:cs="Times New Roman"/>
                <w:snapToGrid w:val="0"/>
                <w:color w:val="auto"/>
                <w:kern w:val="0"/>
                <w:sz w:val="24"/>
              </w:rPr>
              <w:t>。详见表</w:t>
            </w:r>
            <w:r>
              <w:rPr>
                <w:rFonts w:hint="default" w:ascii="Times New Roman" w:hAnsi="Times New Roman" w:cs="Times New Roman"/>
                <w:snapToGrid w:val="0"/>
                <w:color w:val="auto"/>
                <w:kern w:val="0"/>
                <w:sz w:val="24"/>
                <w:lang w:val="en-US" w:eastAsia="zh-CN"/>
              </w:rPr>
              <w:t>3-1</w:t>
            </w:r>
            <w:r>
              <w:rPr>
                <w:rFonts w:hint="default" w:ascii="Times New Roman" w:hAnsi="Times New Roman" w:cs="Times New Roman"/>
                <w:snapToGrid w:val="0"/>
                <w:color w:val="auto"/>
                <w:kern w:val="0"/>
                <w:sz w:val="24"/>
              </w:rPr>
              <w:t>。</w:t>
            </w:r>
          </w:p>
          <w:p w14:paraId="1A8718D9">
            <w:pPr>
              <w:keepNext w:val="0"/>
              <w:keepLines w:val="0"/>
              <w:suppressLineNumbers w:val="0"/>
              <w:spacing w:before="0" w:beforeAutospacing="0" w:after="0" w:afterAutospacing="0" w:line="480" w:lineRule="exact"/>
              <w:ind w:left="0" w:right="0"/>
              <w:jc w:val="center"/>
              <w:rPr>
                <w:rFonts w:hint="default" w:ascii="Times New Roman" w:hAnsi="Times New Roman" w:eastAsia="Times New Roman" w:cs="Times New Roman"/>
                <w:b/>
                <w:snapToGrid w:val="0"/>
                <w:color w:val="auto"/>
                <w:kern w:val="0"/>
              </w:rPr>
            </w:pPr>
            <w:r>
              <w:rPr>
                <w:rFonts w:hint="default" w:ascii="Times New Roman" w:hAnsi="Times New Roman" w:cs="Times New Roman"/>
                <w:b/>
                <w:snapToGrid w:val="0"/>
                <w:color w:val="auto"/>
                <w:kern w:val="0"/>
                <w:sz w:val="24"/>
              </w:rPr>
              <w:t>表</w:t>
            </w:r>
            <w:r>
              <w:rPr>
                <w:rFonts w:hint="default" w:ascii="Times New Roman" w:hAnsi="Times New Roman" w:cs="Times New Roman"/>
                <w:b/>
                <w:snapToGrid w:val="0"/>
                <w:color w:val="auto"/>
                <w:kern w:val="0"/>
                <w:sz w:val="24"/>
                <w:lang w:val="en-US" w:eastAsia="zh-CN"/>
              </w:rPr>
              <w:t>3-1</w:t>
            </w:r>
            <w:r>
              <w:rPr>
                <w:rFonts w:hint="default" w:ascii="Times New Roman" w:hAnsi="Times New Roman" w:cs="Times New Roman"/>
                <w:b/>
                <w:snapToGrid w:val="0"/>
                <w:color w:val="auto"/>
                <w:kern w:val="0"/>
                <w:sz w:val="24"/>
              </w:rPr>
              <w:t xml:space="preserve"> </w:t>
            </w:r>
            <w:r>
              <w:rPr>
                <w:rFonts w:hint="default" w:ascii="Times New Roman" w:hAnsi="Times New Roman" w:eastAsia="Times New Roman" w:cs="Times New Roman"/>
                <w:b/>
                <w:snapToGrid w:val="0"/>
                <w:color w:val="auto"/>
                <w:kern w:val="0"/>
                <w:sz w:val="24"/>
              </w:rPr>
              <w:t xml:space="preserve"> </w:t>
            </w:r>
            <w:r>
              <w:rPr>
                <w:rFonts w:hint="default" w:ascii="Times New Roman" w:hAnsi="Times New Roman" w:cs="Times New Roman"/>
                <w:b/>
                <w:snapToGrid w:val="0"/>
                <w:color w:val="auto"/>
                <w:kern w:val="0"/>
                <w:sz w:val="24"/>
              </w:rPr>
              <w:t>202</w:t>
            </w:r>
            <w:r>
              <w:rPr>
                <w:rFonts w:hint="default" w:ascii="Times New Roman" w:hAnsi="Times New Roman" w:cs="Times New Roman"/>
                <w:b/>
                <w:snapToGrid w:val="0"/>
                <w:color w:val="auto"/>
                <w:kern w:val="0"/>
                <w:sz w:val="24"/>
                <w:lang w:val="en-US" w:eastAsia="zh-CN"/>
              </w:rPr>
              <w:t>4</w:t>
            </w:r>
            <w:r>
              <w:rPr>
                <w:rFonts w:hint="default" w:ascii="Times New Roman" w:hAnsi="Times New Roman" w:cs="Times New Roman"/>
                <w:b/>
                <w:snapToGrid w:val="0"/>
                <w:color w:val="auto"/>
                <w:kern w:val="0"/>
                <w:sz w:val="24"/>
              </w:rPr>
              <w:t>年邯郸市</w:t>
            </w:r>
            <w:r>
              <w:rPr>
                <w:rFonts w:hint="default" w:ascii="Times New Roman" w:hAnsi="Times New Roman" w:cs="Times New Roman"/>
                <w:b/>
                <w:color w:val="auto"/>
                <w:sz w:val="24"/>
              </w:rPr>
              <w:t>环境空气质量</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03"/>
              <w:gridCol w:w="1027"/>
              <w:gridCol w:w="1018"/>
              <w:gridCol w:w="1109"/>
              <w:gridCol w:w="1153"/>
              <w:gridCol w:w="986"/>
              <w:gridCol w:w="1427"/>
            </w:tblGrid>
            <w:tr w14:paraId="3F53046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30" w:type="dxa"/>
                  <w:bottom w:w="0" w:type="dxa"/>
                  <w:right w:w="30" w:type="dxa"/>
                </w:tblCellMar>
              </w:tblPrEx>
              <w:trPr>
                <w:jc w:val="center"/>
              </w:trPr>
              <w:tc>
                <w:tcPr>
                  <w:tcW w:w="1272" w:type="dxa"/>
                  <w:tcBorders>
                    <w:tl2br w:val="nil"/>
                    <w:tr2bl w:val="nil"/>
                  </w:tcBorders>
                  <w:noWrap w:val="0"/>
                  <w:vAlign w:val="center"/>
                </w:tcPr>
                <w:p w14:paraId="63237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b/>
                      <w:bCs/>
                      <w:color w:val="auto"/>
                      <w:kern w:val="2"/>
                      <w:sz w:val="21"/>
                      <w:szCs w:val="24"/>
                    </w:rPr>
                  </w:pPr>
                  <w:r>
                    <w:rPr>
                      <w:rFonts w:hint="default" w:ascii="Times New Roman" w:hAnsi="Times New Roman" w:eastAsia="宋体" w:cs="Times New Roman"/>
                      <w:b/>
                      <w:bCs/>
                      <w:color w:val="auto"/>
                      <w:szCs w:val="21"/>
                    </w:rPr>
                    <w:t>指标</w:t>
                  </w:r>
                </w:p>
              </w:tc>
              <w:tc>
                <w:tcPr>
                  <w:tcW w:w="1003" w:type="dxa"/>
                  <w:tcBorders>
                    <w:tl2br w:val="nil"/>
                    <w:tr2bl w:val="nil"/>
                  </w:tcBorders>
                  <w:noWrap w:val="0"/>
                  <w:vAlign w:val="center"/>
                </w:tcPr>
                <w:p w14:paraId="00E17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SO</w:t>
                  </w:r>
                  <w:r>
                    <w:rPr>
                      <w:rFonts w:hint="default" w:ascii="Times New Roman" w:hAnsi="Times New Roman" w:eastAsia="宋体" w:cs="Times New Roman"/>
                      <w:b/>
                      <w:bCs/>
                      <w:color w:val="auto"/>
                      <w:szCs w:val="21"/>
                      <w:vertAlign w:val="subscript"/>
                    </w:rPr>
                    <w:t>2</w:t>
                  </w:r>
                </w:p>
                <w:p w14:paraId="69316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b/>
                      <w:bCs/>
                      <w:color w:val="auto"/>
                      <w:kern w:val="2"/>
                      <w:sz w:val="21"/>
                      <w:szCs w:val="24"/>
                    </w:rPr>
                  </w:pPr>
                  <w:r>
                    <w:rPr>
                      <w:rFonts w:hint="default" w:ascii="Times New Roman" w:hAnsi="Times New Roman" w:eastAsia="宋体" w:cs="Times New Roman"/>
                      <w:b/>
                      <w:bCs/>
                      <w:color w:val="auto"/>
                      <w:szCs w:val="21"/>
                    </w:rPr>
                    <w:t>(μg/m³)</w:t>
                  </w:r>
                </w:p>
              </w:tc>
              <w:tc>
                <w:tcPr>
                  <w:tcW w:w="994" w:type="dxa"/>
                  <w:tcBorders>
                    <w:tl2br w:val="nil"/>
                    <w:tr2bl w:val="nil"/>
                  </w:tcBorders>
                  <w:noWrap w:val="0"/>
                  <w:vAlign w:val="center"/>
                </w:tcPr>
                <w:p w14:paraId="7343D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NO</w:t>
                  </w:r>
                  <w:r>
                    <w:rPr>
                      <w:rFonts w:hint="default" w:ascii="Times New Roman" w:hAnsi="Times New Roman" w:eastAsia="宋体" w:cs="Times New Roman"/>
                      <w:b/>
                      <w:bCs/>
                      <w:color w:val="auto"/>
                      <w:szCs w:val="21"/>
                      <w:vertAlign w:val="subscript"/>
                    </w:rPr>
                    <w:t>2</w:t>
                  </w:r>
                </w:p>
                <w:p w14:paraId="5EC55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b/>
                      <w:bCs/>
                      <w:color w:val="auto"/>
                      <w:kern w:val="2"/>
                      <w:sz w:val="21"/>
                      <w:szCs w:val="24"/>
                    </w:rPr>
                  </w:pPr>
                  <w:r>
                    <w:rPr>
                      <w:rFonts w:hint="default" w:ascii="Times New Roman" w:hAnsi="Times New Roman" w:eastAsia="宋体" w:cs="Times New Roman"/>
                      <w:b/>
                      <w:bCs/>
                      <w:color w:val="auto"/>
                      <w:szCs w:val="21"/>
                    </w:rPr>
                    <w:t>(μg/m³)</w:t>
                  </w:r>
                </w:p>
              </w:tc>
              <w:tc>
                <w:tcPr>
                  <w:tcW w:w="1083" w:type="dxa"/>
                  <w:tcBorders>
                    <w:tl2br w:val="nil"/>
                    <w:tr2bl w:val="nil"/>
                  </w:tcBorders>
                  <w:noWrap w:val="0"/>
                  <w:vAlign w:val="center"/>
                </w:tcPr>
                <w:p w14:paraId="7CAED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PM</w:t>
                  </w:r>
                  <w:r>
                    <w:rPr>
                      <w:rFonts w:hint="default" w:ascii="Times New Roman" w:hAnsi="Times New Roman" w:eastAsia="宋体" w:cs="Times New Roman"/>
                      <w:b/>
                      <w:bCs/>
                      <w:color w:val="auto"/>
                      <w:szCs w:val="21"/>
                      <w:vertAlign w:val="subscript"/>
                    </w:rPr>
                    <w:t>10</w:t>
                  </w:r>
                </w:p>
                <w:p w14:paraId="32CC5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b/>
                      <w:bCs/>
                      <w:color w:val="auto"/>
                      <w:kern w:val="2"/>
                      <w:sz w:val="21"/>
                      <w:szCs w:val="24"/>
                    </w:rPr>
                  </w:pPr>
                  <w:r>
                    <w:rPr>
                      <w:rFonts w:hint="default" w:ascii="Times New Roman" w:hAnsi="Times New Roman" w:eastAsia="宋体" w:cs="Times New Roman"/>
                      <w:b/>
                      <w:bCs/>
                      <w:color w:val="auto"/>
                      <w:szCs w:val="21"/>
                    </w:rPr>
                    <w:t>(μg/m³)</w:t>
                  </w:r>
                </w:p>
              </w:tc>
              <w:tc>
                <w:tcPr>
                  <w:tcW w:w="1126" w:type="dxa"/>
                  <w:tcBorders>
                    <w:tl2br w:val="nil"/>
                    <w:tr2bl w:val="nil"/>
                  </w:tcBorders>
                  <w:noWrap w:val="0"/>
                  <w:vAlign w:val="center"/>
                </w:tcPr>
                <w:p w14:paraId="527273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PM</w:t>
                  </w:r>
                  <w:r>
                    <w:rPr>
                      <w:rFonts w:hint="default" w:ascii="Times New Roman" w:hAnsi="Times New Roman" w:eastAsia="宋体" w:cs="Times New Roman"/>
                      <w:b/>
                      <w:bCs/>
                      <w:color w:val="auto"/>
                      <w:szCs w:val="21"/>
                      <w:vertAlign w:val="subscript"/>
                    </w:rPr>
                    <w:t>2.5</w:t>
                  </w:r>
                </w:p>
                <w:p w14:paraId="02923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b/>
                      <w:bCs/>
                      <w:color w:val="auto"/>
                      <w:kern w:val="2"/>
                      <w:sz w:val="21"/>
                      <w:szCs w:val="24"/>
                    </w:rPr>
                  </w:pPr>
                  <w:r>
                    <w:rPr>
                      <w:rFonts w:hint="default" w:ascii="Times New Roman" w:hAnsi="Times New Roman" w:eastAsia="宋体" w:cs="Times New Roman"/>
                      <w:b/>
                      <w:bCs/>
                      <w:color w:val="auto"/>
                      <w:szCs w:val="21"/>
                    </w:rPr>
                    <w:t>(μg/m³)</w:t>
                  </w:r>
                </w:p>
              </w:tc>
              <w:tc>
                <w:tcPr>
                  <w:tcW w:w="963" w:type="dxa"/>
                  <w:tcBorders>
                    <w:tl2br w:val="nil"/>
                    <w:tr2bl w:val="nil"/>
                  </w:tcBorders>
                  <w:noWrap w:val="0"/>
                  <w:vAlign w:val="center"/>
                </w:tcPr>
                <w:p w14:paraId="4B026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CO</w:t>
                  </w:r>
                </w:p>
                <w:p w14:paraId="01AD9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b/>
                      <w:bCs/>
                      <w:color w:val="auto"/>
                      <w:kern w:val="2"/>
                      <w:sz w:val="21"/>
                      <w:szCs w:val="24"/>
                    </w:rPr>
                  </w:pPr>
                  <w:r>
                    <w:rPr>
                      <w:rFonts w:hint="default" w:ascii="Times New Roman" w:hAnsi="Times New Roman" w:eastAsia="宋体" w:cs="Times New Roman"/>
                      <w:b/>
                      <w:bCs/>
                      <w:color w:val="auto"/>
                      <w:szCs w:val="21"/>
                    </w:rPr>
                    <w:t>(mg/m³)</w:t>
                  </w:r>
                </w:p>
              </w:tc>
              <w:tc>
                <w:tcPr>
                  <w:tcW w:w="1392" w:type="dxa"/>
                  <w:tcBorders>
                    <w:tl2br w:val="nil"/>
                    <w:tr2bl w:val="nil"/>
                  </w:tcBorders>
                  <w:noWrap w:val="0"/>
                  <w:vAlign w:val="center"/>
                </w:tcPr>
                <w:p w14:paraId="489F7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O</w:t>
                  </w:r>
                  <w:r>
                    <w:rPr>
                      <w:rFonts w:hint="default" w:ascii="Times New Roman" w:hAnsi="Times New Roman" w:eastAsia="宋体" w:cs="Times New Roman"/>
                      <w:b/>
                      <w:bCs/>
                      <w:color w:val="auto"/>
                      <w:szCs w:val="21"/>
                      <w:vertAlign w:val="subscript"/>
                    </w:rPr>
                    <w:t>3</w:t>
                  </w:r>
                  <w:r>
                    <w:rPr>
                      <w:rFonts w:hint="default" w:ascii="Times New Roman" w:hAnsi="Times New Roman" w:eastAsia="宋体" w:cs="Times New Roman"/>
                      <w:b/>
                      <w:bCs/>
                      <w:color w:val="auto"/>
                      <w:szCs w:val="21"/>
                    </w:rPr>
                    <w:t>(μg/m³)</w:t>
                  </w:r>
                </w:p>
                <w:p w14:paraId="00B89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b/>
                      <w:bCs/>
                      <w:color w:val="auto"/>
                      <w:kern w:val="2"/>
                      <w:sz w:val="21"/>
                      <w:szCs w:val="24"/>
                    </w:rPr>
                  </w:pPr>
                  <w:r>
                    <w:rPr>
                      <w:rFonts w:hint="default" w:ascii="Times New Roman" w:hAnsi="Times New Roman" w:eastAsia="宋体" w:cs="Times New Roman"/>
                      <w:b/>
                      <w:bCs/>
                      <w:color w:val="auto"/>
                      <w:szCs w:val="21"/>
                    </w:rPr>
                    <w:t>（日最大8小时平均）</w:t>
                  </w:r>
                </w:p>
              </w:tc>
            </w:tr>
            <w:tr w14:paraId="21F67D9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37" w:hRule="atLeast"/>
                <w:jc w:val="center"/>
              </w:trPr>
              <w:tc>
                <w:tcPr>
                  <w:tcW w:w="1272" w:type="dxa"/>
                  <w:tcBorders>
                    <w:tl2br w:val="nil"/>
                    <w:tr2bl w:val="nil"/>
                  </w:tcBorders>
                  <w:noWrap w:val="0"/>
                  <w:vAlign w:val="center"/>
                </w:tcPr>
                <w:p w14:paraId="42672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Cs w:val="21"/>
                    </w:rPr>
                    <w:t>202</w:t>
                  </w: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年均值</w:t>
                  </w:r>
                </w:p>
              </w:tc>
              <w:tc>
                <w:tcPr>
                  <w:tcW w:w="1003" w:type="dxa"/>
                  <w:tcBorders>
                    <w:tl2br w:val="nil"/>
                    <w:tr2bl w:val="nil"/>
                  </w:tcBorders>
                  <w:noWrap w:val="0"/>
                  <w:vAlign w:val="center"/>
                </w:tcPr>
                <w:p w14:paraId="45494C4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 w:val="21"/>
                      <w:szCs w:val="21"/>
                      <w:highlight w:val="none"/>
                      <w:lang w:val="en-US" w:eastAsia="zh-CN"/>
                    </w:rPr>
                    <w:t>6</w:t>
                  </w:r>
                </w:p>
              </w:tc>
              <w:tc>
                <w:tcPr>
                  <w:tcW w:w="994" w:type="dxa"/>
                  <w:tcBorders>
                    <w:tl2br w:val="nil"/>
                    <w:tr2bl w:val="nil"/>
                  </w:tcBorders>
                  <w:noWrap w:val="0"/>
                  <w:vAlign w:val="center"/>
                </w:tcPr>
                <w:p w14:paraId="7AA5C83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 w:val="21"/>
                      <w:szCs w:val="21"/>
                      <w:highlight w:val="none"/>
                      <w:lang w:val="en-US" w:eastAsia="zh-CN"/>
                    </w:rPr>
                    <w:t>23</w:t>
                  </w:r>
                </w:p>
              </w:tc>
              <w:tc>
                <w:tcPr>
                  <w:tcW w:w="1083" w:type="dxa"/>
                  <w:tcBorders>
                    <w:tl2br w:val="nil"/>
                    <w:tr2bl w:val="nil"/>
                  </w:tcBorders>
                  <w:noWrap w:val="0"/>
                  <w:vAlign w:val="center"/>
                </w:tcPr>
                <w:p w14:paraId="18F7E4E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 w:val="21"/>
                      <w:szCs w:val="21"/>
                      <w:highlight w:val="none"/>
                      <w:lang w:val="en-US" w:eastAsia="zh-CN"/>
                    </w:rPr>
                    <w:t>76</w:t>
                  </w:r>
                </w:p>
              </w:tc>
              <w:tc>
                <w:tcPr>
                  <w:tcW w:w="1126" w:type="dxa"/>
                  <w:tcBorders>
                    <w:tl2br w:val="nil"/>
                    <w:tr2bl w:val="nil"/>
                  </w:tcBorders>
                  <w:noWrap w:val="0"/>
                  <w:vAlign w:val="center"/>
                </w:tcPr>
                <w:p w14:paraId="78E7DD1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 w:val="21"/>
                      <w:szCs w:val="21"/>
                      <w:highlight w:val="none"/>
                      <w:lang w:val="en-US" w:eastAsia="zh-CN"/>
                    </w:rPr>
                    <w:t>46</w:t>
                  </w:r>
                </w:p>
              </w:tc>
              <w:tc>
                <w:tcPr>
                  <w:tcW w:w="963" w:type="dxa"/>
                  <w:tcBorders>
                    <w:tl2br w:val="nil"/>
                    <w:tr2bl w:val="nil"/>
                  </w:tcBorders>
                  <w:noWrap w:val="0"/>
                  <w:vAlign w:val="center"/>
                </w:tcPr>
                <w:p w14:paraId="39C81A5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 w:val="21"/>
                      <w:szCs w:val="21"/>
                      <w:highlight w:val="none"/>
                      <w:lang w:val="en-US" w:eastAsia="zh-CN"/>
                    </w:rPr>
                    <w:t>1.2</w:t>
                  </w:r>
                </w:p>
              </w:tc>
              <w:tc>
                <w:tcPr>
                  <w:tcW w:w="1392" w:type="dxa"/>
                  <w:tcBorders>
                    <w:tl2br w:val="nil"/>
                    <w:tr2bl w:val="nil"/>
                  </w:tcBorders>
                  <w:noWrap w:val="0"/>
                  <w:vAlign w:val="center"/>
                </w:tcPr>
                <w:p w14:paraId="52BE97B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 w:val="21"/>
                      <w:szCs w:val="21"/>
                      <w:highlight w:val="none"/>
                      <w:lang w:val="en-US" w:eastAsia="zh-CN"/>
                    </w:rPr>
                    <w:t>175</w:t>
                  </w:r>
                </w:p>
              </w:tc>
            </w:tr>
            <w:tr w14:paraId="317F412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30" w:type="dxa"/>
                  <w:bottom w:w="0" w:type="dxa"/>
                  <w:right w:w="30" w:type="dxa"/>
                </w:tblCellMar>
              </w:tblPrEx>
              <w:trPr>
                <w:jc w:val="center"/>
              </w:trPr>
              <w:tc>
                <w:tcPr>
                  <w:tcW w:w="1272" w:type="dxa"/>
                  <w:tcBorders>
                    <w:tl2br w:val="nil"/>
                    <w:tr2bl w:val="nil"/>
                  </w:tcBorders>
                  <w:noWrap w:val="0"/>
                  <w:vAlign w:val="center"/>
                </w:tcPr>
                <w:p w14:paraId="10D43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Cs w:val="21"/>
                    </w:rPr>
                    <w:t>年均值标准</w:t>
                  </w:r>
                </w:p>
              </w:tc>
              <w:tc>
                <w:tcPr>
                  <w:tcW w:w="1003" w:type="dxa"/>
                  <w:tcBorders>
                    <w:tl2br w:val="nil"/>
                    <w:tr2bl w:val="nil"/>
                  </w:tcBorders>
                  <w:noWrap w:val="0"/>
                  <w:vAlign w:val="center"/>
                </w:tcPr>
                <w:p w14:paraId="32268892">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60</w:t>
                  </w:r>
                </w:p>
              </w:tc>
              <w:tc>
                <w:tcPr>
                  <w:tcW w:w="994" w:type="dxa"/>
                  <w:tcBorders>
                    <w:tl2br w:val="nil"/>
                    <w:tr2bl w:val="nil"/>
                  </w:tcBorders>
                  <w:noWrap w:val="0"/>
                  <w:vAlign w:val="center"/>
                </w:tcPr>
                <w:p w14:paraId="45E4427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40</w:t>
                  </w:r>
                </w:p>
              </w:tc>
              <w:tc>
                <w:tcPr>
                  <w:tcW w:w="1083" w:type="dxa"/>
                  <w:tcBorders>
                    <w:tl2br w:val="nil"/>
                    <w:tr2bl w:val="nil"/>
                  </w:tcBorders>
                  <w:noWrap w:val="0"/>
                  <w:vAlign w:val="center"/>
                </w:tcPr>
                <w:p w14:paraId="63FF8EC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70</w:t>
                  </w:r>
                </w:p>
              </w:tc>
              <w:tc>
                <w:tcPr>
                  <w:tcW w:w="1126" w:type="dxa"/>
                  <w:tcBorders>
                    <w:tl2br w:val="nil"/>
                    <w:tr2bl w:val="nil"/>
                  </w:tcBorders>
                  <w:noWrap w:val="0"/>
                  <w:vAlign w:val="center"/>
                </w:tcPr>
                <w:p w14:paraId="764705F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35</w:t>
                  </w:r>
                </w:p>
              </w:tc>
              <w:tc>
                <w:tcPr>
                  <w:tcW w:w="963" w:type="dxa"/>
                  <w:tcBorders>
                    <w:tl2br w:val="nil"/>
                    <w:tr2bl w:val="nil"/>
                  </w:tcBorders>
                  <w:noWrap w:val="0"/>
                  <w:vAlign w:val="center"/>
                </w:tcPr>
                <w:p w14:paraId="499E869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w:t>
                  </w:r>
                </w:p>
              </w:tc>
              <w:tc>
                <w:tcPr>
                  <w:tcW w:w="1392" w:type="dxa"/>
                  <w:tcBorders>
                    <w:tl2br w:val="nil"/>
                    <w:tr2bl w:val="nil"/>
                  </w:tcBorders>
                  <w:noWrap w:val="0"/>
                  <w:vAlign w:val="center"/>
                </w:tcPr>
                <w:p w14:paraId="07143B6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w:t>
                  </w:r>
                </w:p>
              </w:tc>
            </w:tr>
            <w:tr w14:paraId="3AACF4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30" w:type="dxa"/>
                  <w:bottom w:w="0" w:type="dxa"/>
                  <w:right w:w="30" w:type="dxa"/>
                </w:tblCellMar>
              </w:tblPrEx>
              <w:trPr>
                <w:jc w:val="center"/>
              </w:trPr>
              <w:tc>
                <w:tcPr>
                  <w:tcW w:w="1272" w:type="dxa"/>
                  <w:tcBorders>
                    <w:tl2br w:val="nil"/>
                    <w:tr2bl w:val="nil"/>
                  </w:tcBorders>
                  <w:noWrap w:val="0"/>
                  <w:vAlign w:val="center"/>
                </w:tcPr>
                <w:p w14:paraId="02029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Cs w:val="21"/>
                    </w:rPr>
                    <w:t>达标情况</w:t>
                  </w:r>
                </w:p>
              </w:tc>
              <w:tc>
                <w:tcPr>
                  <w:tcW w:w="1003" w:type="dxa"/>
                  <w:tcBorders>
                    <w:tl2br w:val="nil"/>
                    <w:tr2bl w:val="nil"/>
                  </w:tcBorders>
                  <w:noWrap w:val="0"/>
                  <w:vAlign w:val="center"/>
                </w:tcPr>
                <w:p w14:paraId="1D95241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达标</w:t>
                  </w:r>
                </w:p>
              </w:tc>
              <w:tc>
                <w:tcPr>
                  <w:tcW w:w="994" w:type="dxa"/>
                  <w:tcBorders>
                    <w:tl2br w:val="nil"/>
                    <w:tr2bl w:val="nil"/>
                  </w:tcBorders>
                  <w:noWrap w:val="0"/>
                  <w:vAlign w:val="center"/>
                </w:tcPr>
                <w:p w14:paraId="5F6296B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达标</w:t>
                  </w:r>
                </w:p>
              </w:tc>
              <w:tc>
                <w:tcPr>
                  <w:tcW w:w="1083" w:type="dxa"/>
                  <w:tcBorders>
                    <w:tl2br w:val="nil"/>
                    <w:tr2bl w:val="nil"/>
                  </w:tcBorders>
                  <w:noWrap w:val="0"/>
                  <w:vAlign w:val="center"/>
                </w:tcPr>
                <w:p w14:paraId="13FD5A22">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不达标</w:t>
                  </w:r>
                </w:p>
              </w:tc>
              <w:tc>
                <w:tcPr>
                  <w:tcW w:w="1126" w:type="dxa"/>
                  <w:tcBorders>
                    <w:tl2br w:val="nil"/>
                    <w:tr2bl w:val="nil"/>
                  </w:tcBorders>
                  <w:noWrap w:val="0"/>
                  <w:vAlign w:val="center"/>
                </w:tcPr>
                <w:p w14:paraId="341ACE7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不达标</w:t>
                  </w:r>
                </w:p>
              </w:tc>
              <w:tc>
                <w:tcPr>
                  <w:tcW w:w="963" w:type="dxa"/>
                  <w:tcBorders>
                    <w:tl2br w:val="nil"/>
                    <w:tr2bl w:val="nil"/>
                  </w:tcBorders>
                  <w:noWrap w:val="0"/>
                  <w:vAlign w:val="center"/>
                </w:tcPr>
                <w:p w14:paraId="26E8416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达标</w:t>
                  </w:r>
                </w:p>
              </w:tc>
              <w:tc>
                <w:tcPr>
                  <w:tcW w:w="1392" w:type="dxa"/>
                  <w:tcBorders>
                    <w:tl2br w:val="nil"/>
                    <w:tr2bl w:val="nil"/>
                  </w:tcBorders>
                  <w:noWrap w:val="0"/>
                  <w:vAlign w:val="center"/>
                </w:tcPr>
                <w:p w14:paraId="65BA32B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不达标</w:t>
                  </w:r>
                </w:p>
              </w:tc>
            </w:tr>
            <w:tr w14:paraId="7760377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30" w:type="dxa"/>
                  <w:bottom w:w="0" w:type="dxa"/>
                  <w:right w:w="30" w:type="dxa"/>
                </w:tblCellMar>
              </w:tblPrEx>
              <w:trPr>
                <w:jc w:val="center"/>
              </w:trPr>
              <w:tc>
                <w:tcPr>
                  <w:tcW w:w="1272" w:type="dxa"/>
                  <w:tcBorders>
                    <w:tl2br w:val="nil"/>
                    <w:tr2bl w:val="nil"/>
                  </w:tcBorders>
                  <w:noWrap w:val="0"/>
                  <w:vAlign w:val="center"/>
                </w:tcPr>
                <w:p w14:paraId="42D94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Cs w:val="21"/>
                    </w:rPr>
                    <w:t>超标百分数</w:t>
                  </w:r>
                </w:p>
              </w:tc>
              <w:tc>
                <w:tcPr>
                  <w:tcW w:w="1003" w:type="dxa"/>
                  <w:tcBorders>
                    <w:tl2br w:val="nil"/>
                    <w:tr2bl w:val="nil"/>
                  </w:tcBorders>
                  <w:noWrap w:val="0"/>
                  <w:vAlign w:val="center"/>
                </w:tcPr>
                <w:p w14:paraId="64A3F6E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w:t>
                  </w:r>
                </w:p>
              </w:tc>
              <w:tc>
                <w:tcPr>
                  <w:tcW w:w="994" w:type="dxa"/>
                  <w:tcBorders>
                    <w:tl2br w:val="nil"/>
                    <w:tr2bl w:val="nil"/>
                  </w:tcBorders>
                  <w:noWrap w:val="0"/>
                  <w:vAlign w:val="center"/>
                </w:tcPr>
                <w:p w14:paraId="6BE821D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w:t>
                  </w:r>
                </w:p>
              </w:tc>
              <w:tc>
                <w:tcPr>
                  <w:tcW w:w="1083" w:type="dxa"/>
                  <w:tcBorders>
                    <w:tl2br w:val="nil"/>
                    <w:tr2bl w:val="nil"/>
                  </w:tcBorders>
                  <w:noWrap w:val="0"/>
                  <w:vAlign w:val="center"/>
                </w:tcPr>
                <w:p w14:paraId="2180673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lang w:val="en-US" w:eastAsia="zh-CN"/>
                    </w:rPr>
                    <w:t>9</w:t>
                  </w:r>
                  <w:r>
                    <w:rPr>
                      <w:rFonts w:hint="default" w:ascii="Times New Roman" w:hAnsi="Times New Roman" w:cs="Times New Roman"/>
                      <w:b w:val="0"/>
                      <w:bCs/>
                      <w:color w:val="auto"/>
                      <w:kern w:val="2"/>
                      <w:sz w:val="21"/>
                      <w:szCs w:val="32"/>
                      <w:highlight w:val="none"/>
                    </w:rPr>
                    <w:t>%</w:t>
                  </w:r>
                </w:p>
              </w:tc>
              <w:tc>
                <w:tcPr>
                  <w:tcW w:w="1126" w:type="dxa"/>
                  <w:tcBorders>
                    <w:tl2br w:val="nil"/>
                    <w:tr2bl w:val="nil"/>
                  </w:tcBorders>
                  <w:noWrap w:val="0"/>
                  <w:vAlign w:val="center"/>
                </w:tcPr>
                <w:p w14:paraId="2195A3E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lang w:val="en-US" w:eastAsia="zh-CN"/>
                    </w:rPr>
                    <w:t>31</w:t>
                  </w:r>
                  <w:r>
                    <w:rPr>
                      <w:rFonts w:hint="default" w:ascii="Times New Roman" w:hAnsi="Times New Roman" w:cs="Times New Roman"/>
                      <w:b w:val="0"/>
                      <w:bCs/>
                      <w:color w:val="auto"/>
                      <w:kern w:val="2"/>
                      <w:sz w:val="21"/>
                      <w:szCs w:val="32"/>
                      <w:highlight w:val="none"/>
                    </w:rPr>
                    <w:t>%</w:t>
                  </w:r>
                </w:p>
              </w:tc>
              <w:tc>
                <w:tcPr>
                  <w:tcW w:w="963" w:type="dxa"/>
                  <w:tcBorders>
                    <w:tl2br w:val="nil"/>
                    <w:tr2bl w:val="nil"/>
                  </w:tcBorders>
                  <w:noWrap w:val="0"/>
                  <w:vAlign w:val="center"/>
                </w:tcPr>
                <w:p w14:paraId="60F58B7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w:t>
                  </w:r>
                </w:p>
              </w:tc>
              <w:tc>
                <w:tcPr>
                  <w:tcW w:w="1392" w:type="dxa"/>
                  <w:tcBorders>
                    <w:tl2br w:val="nil"/>
                    <w:tr2bl w:val="nil"/>
                  </w:tcBorders>
                  <w:noWrap w:val="0"/>
                  <w:vAlign w:val="center"/>
                </w:tcPr>
                <w:p w14:paraId="0AC77CB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lang w:val="en-US" w:eastAsia="zh-CN"/>
                    </w:rPr>
                    <w:t>9</w:t>
                  </w:r>
                  <w:r>
                    <w:rPr>
                      <w:rFonts w:hint="default" w:ascii="Times New Roman" w:hAnsi="Times New Roman" w:cs="Times New Roman"/>
                      <w:b w:val="0"/>
                      <w:bCs/>
                      <w:color w:val="auto"/>
                      <w:kern w:val="2"/>
                      <w:sz w:val="21"/>
                      <w:szCs w:val="32"/>
                      <w:highlight w:val="none"/>
                    </w:rPr>
                    <w:t>%</w:t>
                  </w:r>
                </w:p>
              </w:tc>
            </w:tr>
            <w:tr w14:paraId="362E372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30" w:type="dxa"/>
                  <w:bottom w:w="0" w:type="dxa"/>
                  <w:right w:w="30" w:type="dxa"/>
                </w:tblCellMar>
              </w:tblPrEx>
              <w:trPr>
                <w:jc w:val="center"/>
              </w:trPr>
              <w:tc>
                <w:tcPr>
                  <w:tcW w:w="1272" w:type="dxa"/>
                  <w:tcBorders>
                    <w:tl2br w:val="nil"/>
                    <w:tr2bl w:val="nil"/>
                  </w:tcBorders>
                  <w:noWrap w:val="0"/>
                  <w:vAlign w:val="center"/>
                </w:tcPr>
                <w:p w14:paraId="3586C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imes New Roman" w:cs="Times New Roman"/>
                      <w:color w:val="auto"/>
                      <w:kern w:val="2"/>
                      <w:sz w:val="21"/>
                      <w:szCs w:val="24"/>
                    </w:rPr>
                  </w:pPr>
                  <w:r>
                    <w:rPr>
                      <w:rFonts w:hint="default" w:ascii="Times New Roman" w:hAnsi="Times New Roman" w:eastAsia="宋体" w:cs="Times New Roman"/>
                      <w:color w:val="auto"/>
                      <w:szCs w:val="21"/>
                    </w:rPr>
                    <w:t>日均值标准</w:t>
                  </w:r>
                </w:p>
              </w:tc>
              <w:tc>
                <w:tcPr>
                  <w:tcW w:w="1003" w:type="dxa"/>
                  <w:tcBorders>
                    <w:tl2br w:val="nil"/>
                    <w:tr2bl w:val="nil"/>
                  </w:tcBorders>
                  <w:noWrap w:val="0"/>
                  <w:vAlign w:val="center"/>
                </w:tcPr>
                <w:p w14:paraId="2F33583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50</w:t>
                  </w:r>
                </w:p>
              </w:tc>
              <w:tc>
                <w:tcPr>
                  <w:tcW w:w="994" w:type="dxa"/>
                  <w:tcBorders>
                    <w:tl2br w:val="nil"/>
                    <w:tr2bl w:val="nil"/>
                  </w:tcBorders>
                  <w:noWrap w:val="0"/>
                  <w:vAlign w:val="center"/>
                </w:tcPr>
                <w:p w14:paraId="58124DE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80</w:t>
                  </w:r>
                </w:p>
              </w:tc>
              <w:tc>
                <w:tcPr>
                  <w:tcW w:w="1083" w:type="dxa"/>
                  <w:tcBorders>
                    <w:tl2br w:val="nil"/>
                    <w:tr2bl w:val="nil"/>
                  </w:tcBorders>
                  <w:noWrap w:val="0"/>
                  <w:vAlign w:val="center"/>
                </w:tcPr>
                <w:p w14:paraId="0584D3E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150</w:t>
                  </w:r>
                </w:p>
              </w:tc>
              <w:tc>
                <w:tcPr>
                  <w:tcW w:w="1126" w:type="dxa"/>
                  <w:tcBorders>
                    <w:tl2br w:val="nil"/>
                    <w:tr2bl w:val="nil"/>
                  </w:tcBorders>
                  <w:noWrap w:val="0"/>
                  <w:vAlign w:val="center"/>
                </w:tcPr>
                <w:p w14:paraId="02FC564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75</w:t>
                  </w:r>
                </w:p>
              </w:tc>
              <w:tc>
                <w:tcPr>
                  <w:tcW w:w="963" w:type="dxa"/>
                  <w:tcBorders>
                    <w:tl2br w:val="nil"/>
                    <w:tr2bl w:val="nil"/>
                  </w:tcBorders>
                  <w:noWrap w:val="0"/>
                  <w:vAlign w:val="center"/>
                </w:tcPr>
                <w:p w14:paraId="2C9D4B9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4</w:t>
                  </w:r>
                </w:p>
              </w:tc>
              <w:tc>
                <w:tcPr>
                  <w:tcW w:w="1392" w:type="dxa"/>
                  <w:tcBorders>
                    <w:tl2br w:val="nil"/>
                    <w:tr2bl w:val="nil"/>
                  </w:tcBorders>
                  <w:noWrap w:val="0"/>
                  <w:vAlign w:val="center"/>
                </w:tcPr>
                <w:p w14:paraId="1EF495A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outlineLvl w:val="9"/>
                    <w:rPr>
                      <w:rFonts w:hint="default" w:ascii="Times New Roman" w:hAnsi="Times New Roman" w:eastAsia="Times New Roman" w:cs="Times New Roman"/>
                      <w:color w:val="auto"/>
                      <w:kern w:val="2"/>
                      <w:sz w:val="21"/>
                      <w:szCs w:val="24"/>
                    </w:rPr>
                  </w:pPr>
                  <w:r>
                    <w:rPr>
                      <w:rFonts w:hint="default" w:ascii="Times New Roman" w:hAnsi="Times New Roman" w:cs="Times New Roman"/>
                      <w:b w:val="0"/>
                      <w:bCs/>
                      <w:color w:val="auto"/>
                      <w:kern w:val="2"/>
                      <w:sz w:val="21"/>
                      <w:szCs w:val="32"/>
                      <w:highlight w:val="none"/>
                    </w:rPr>
                    <w:t>160</w:t>
                  </w:r>
                </w:p>
              </w:tc>
            </w:tr>
          </w:tbl>
          <w:p w14:paraId="5A9289F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rPr>
            </w:pPr>
            <w:r>
              <w:rPr>
                <w:rFonts w:hint="default" w:ascii="Times New Roman" w:hAnsi="Times New Roman" w:cs="Times New Roman"/>
                <w:color w:val="auto"/>
                <w:sz w:val="24"/>
              </w:rPr>
              <w:t>项目所在区域一氧化碳日均浓度值、二氧化硫、二氧化氮年均浓度值满足空气质量标准要求；臭氧日最大8小时平均浓度值、PM</w:t>
            </w:r>
            <w:r>
              <w:rPr>
                <w:rFonts w:hint="default" w:ascii="Times New Roman" w:hAnsi="Times New Roman" w:eastAsia="Times New Roman" w:cs="Times New Roman"/>
                <w:color w:val="auto"/>
                <w:sz w:val="24"/>
                <w:vertAlign w:val="subscript"/>
              </w:rPr>
              <w:t>2.5</w:t>
            </w:r>
            <w:r>
              <w:rPr>
                <w:rFonts w:hint="default" w:ascii="Times New Roman" w:hAnsi="Times New Roman" w:cs="Times New Roman"/>
                <w:color w:val="auto"/>
                <w:sz w:val="24"/>
              </w:rPr>
              <w:t>、PM</w:t>
            </w:r>
            <w:r>
              <w:rPr>
                <w:rFonts w:hint="default" w:ascii="Times New Roman" w:hAnsi="Times New Roman" w:eastAsia="Times New Roman" w:cs="Times New Roman"/>
                <w:color w:val="auto"/>
                <w:sz w:val="24"/>
                <w:vertAlign w:val="subscript"/>
              </w:rPr>
              <w:t>10</w:t>
            </w:r>
            <w:r>
              <w:rPr>
                <w:rFonts w:hint="default" w:ascii="Times New Roman" w:hAnsi="Times New Roman" w:cs="Times New Roman"/>
                <w:color w:val="auto"/>
                <w:sz w:val="24"/>
              </w:rPr>
              <w:t>年均浓度值超过环境质量标准要求，项目区域为不达标区。根据《河北省“三线一单”技术成果》《邯郸市2023年大气污染综合治理暨全面巩固“退后十”成果工作方案》(邯气领办〔2023〕5号)的实施，环境空气质量将得到逐步改善。本项目污染物排放量较小，采取相应的环保措施后，废气均可达标排放，不会对环境空气质量造成冲击</w:t>
            </w:r>
            <w:r>
              <w:rPr>
                <w:rFonts w:hint="default" w:ascii="Times New Roman" w:hAnsi="Times New Roman" w:eastAsia="宋体" w:cs="Times New Roman"/>
                <w:bCs/>
                <w:color w:val="auto"/>
                <w:sz w:val="24"/>
              </w:rPr>
              <w:t>。</w:t>
            </w:r>
          </w:p>
          <w:p w14:paraId="70D47BC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502" w:firstLineChars="200"/>
              <w:jc w:val="both"/>
              <w:textAlignment w:val="auto"/>
              <w:rPr>
                <w:rFonts w:hint="default" w:ascii="Times New Roman" w:hAnsi="Times New Roman" w:eastAsia="宋体" w:cs="Times New Roman"/>
                <w:color w:val="auto"/>
                <w:spacing w:val="5"/>
                <w:kern w:val="0"/>
                <w:sz w:val="24"/>
                <w:szCs w:val="20"/>
                <w:lang w:val="en-US" w:eastAsia="zh-CN" w:bidi="ar-SA"/>
              </w:rPr>
            </w:pPr>
            <w:r>
              <w:rPr>
                <w:rFonts w:hint="default" w:ascii="Times New Roman" w:hAnsi="Times New Roman" w:eastAsia="宋体" w:cs="Times New Roman"/>
                <w:b/>
                <w:bCs/>
                <w:color w:val="auto"/>
                <w:spacing w:val="5"/>
                <w:kern w:val="0"/>
                <w:sz w:val="24"/>
                <w:szCs w:val="20"/>
                <w:lang w:val="en-US" w:eastAsia="zh-CN" w:bidi="ar-SA"/>
              </w:rPr>
              <w:t>（2）特征因子环境空气质量现状监测与评价</w:t>
            </w:r>
          </w:p>
          <w:p w14:paraId="3AC2A85F">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50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pacing w:val="5"/>
                <w:kern w:val="0"/>
                <w:sz w:val="24"/>
                <w:szCs w:val="20"/>
                <w:lang w:val="en-US" w:eastAsia="zh-CN" w:bidi="ar-SA"/>
              </w:rPr>
              <w:t>根据《建设项目环境影响报告表编制指南（污染环境类）</w:t>
            </w:r>
            <w:r>
              <w:rPr>
                <w:rFonts w:hint="eastAsia" w:cs="Times New Roman"/>
                <w:color w:val="auto"/>
                <w:spacing w:val="5"/>
                <w:kern w:val="0"/>
                <w:sz w:val="24"/>
                <w:szCs w:val="20"/>
                <w:lang w:val="en-US" w:eastAsia="zh-CN" w:bidi="ar-SA"/>
              </w:rPr>
              <w:t>（试行）</w:t>
            </w:r>
            <w:r>
              <w:rPr>
                <w:rFonts w:hint="default" w:ascii="Times New Roman" w:hAnsi="Times New Roman" w:eastAsia="宋体" w:cs="Times New Roman"/>
                <w:color w:val="auto"/>
                <w:spacing w:val="5"/>
                <w:kern w:val="0"/>
                <w:sz w:val="24"/>
                <w:szCs w:val="20"/>
                <w:lang w:val="en-US" w:eastAsia="zh-CN" w:bidi="ar-SA"/>
              </w:rPr>
              <w:t>》中的相关规定，本次评价大气特征污染物TSP环境质量现状</w:t>
            </w:r>
            <w:r>
              <w:rPr>
                <w:rFonts w:hint="default" w:ascii="Times New Roman" w:hAnsi="Times New Roman" w:cs="Times New Roman"/>
                <w:color w:val="auto"/>
                <w:spacing w:val="5"/>
                <w:kern w:val="0"/>
                <w:sz w:val="24"/>
                <w:szCs w:val="20"/>
                <w:lang w:val="en-US" w:eastAsia="zh-CN" w:bidi="ar-SA"/>
              </w:rPr>
              <w:t>采用现状监测数据《河北魏县经济开发区总体发展规划环境质量现状补充监测》（报告编号：HBDP</w:t>
            </w:r>
            <w:r>
              <w:rPr>
                <w:rFonts w:hint="eastAsia" w:cs="Times New Roman"/>
                <w:color w:val="auto"/>
                <w:spacing w:val="5"/>
                <w:kern w:val="0"/>
                <w:sz w:val="24"/>
                <w:szCs w:val="20"/>
                <w:lang w:val="en-US" w:eastAsia="zh-CN" w:bidi="ar-SA"/>
              </w:rPr>
              <w:t>〔2023〕</w:t>
            </w:r>
            <w:r>
              <w:rPr>
                <w:rFonts w:hint="default" w:ascii="Times New Roman" w:hAnsi="Times New Roman" w:cs="Times New Roman"/>
                <w:color w:val="auto"/>
                <w:spacing w:val="5"/>
                <w:kern w:val="0"/>
                <w:sz w:val="24"/>
                <w:szCs w:val="20"/>
                <w:lang w:val="en-US" w:eastAsia="zh-CN" w:bidi="ar-SA"/>
              </w:rPr>
              <w:t>第H0160号）</w:t>
            </w:r>
            <w:r>
              <w:rPr>
                <w:rFonts w:hint="default" w:ascii="Times New Roman" w:hAnsi="Times New Roman" w:eastAsia="宋体" w:cs="Times New Roman"/>
                <w:color w:val="auto"/>
                <w:spacing w:val="5"/>
                <w:kern w:val="0"/>
                <w:sz w:val="24"/>
                <w:szCs w:val="20"/>
                <w:lang w:val="en-US" w:eastAsia="zh-CN" w:bidi="ar-SA"/>
              </w:rPr>
              <w:t>，监测单位为</w:t>
            </w:r>
            <w:r>
              <w:rPr>
                <w:rFonts w:hint="default" w:ascii="Times New Roman" w:hAnsi="Times New Roman" w:cs="Times New Roman"/>
                <w:color w:val="auto"/>
                <w:spacing w:val="5"/>
                <w:kern w:val="0"/>
                <w:sz w:val="24"/>
                <w:szCs w:val="20"/>
                <w:lang w:val="en-US" w:eastAsia="zh-CN" w:bidi="ar-SA"/>
              </w:rPr>
              <w:t>河北德普环境监测有限公司</w:t>
            </w:r>
            <w:r>
              <w:rPr>
                <w:rFonts w:hint="default" w:ascii="Times New Roman" w:hAnsi="Times New Roman" w:eastAsia="宋体" w:cs="Times New Roman"/>
                <w:color w:val="auto"/>
                <w:spacing w:val="5"/>
                <w:kern w:val="0"/>
                <w:sz w:val="24"/>
                <w:szCs w:val="20"/>
                <w:lang w:val="en-US" w:eastAsia="zh-CN" w:bidi="ar-SA"/>
              </w:rPr>
              <w:t>，监测时间为</w:t>
            </w:r>
            <w:r>
              <w:rPr>
                <w:rFonts w:hint="default" w:ascii="Times New Roman" w:hAnsi="Times New Roman" w:cs="Times New Roman"/>
                <w:color w:val="auto"/>
                <w:spacing w:val="5"/>
                <w:kern w:val="0"/>
                <w:sz w:val="24"/>
                <w:szCs w:val="20"/>
                <w:lang w:val="en-US" w:eastAsia="zh-CN" w:bidi="ar-SA"/>
              </w:rPr>
              <w:t>2023年11月24日-30日</w:t>
            </w:r>
            <w:r>
              <w:rPr>
                <w:rFonts w:hint="default" w:ascii="Times New Roman" w:hAnsi="Times New Roman" w:eastAsia="宋体" w:cs="Times New Roman"/>
                <w:color w:val="auto"/>
                <w:spacing w:val="5"/>
                <w:kern w:val="0"/>
                <w:sz w:val="24"/>
                <w:szCs w:val="20"/>
                <w:lang w:val="en-US" w:eastAsia="zh-CN" w:bidi="ar-SA"/>
              </w:rPr>
              <w:t>，监测地点为</w:t>
            </w:r>
            <w:r>
              <w:rPr>
                <w:rFonts w:hint="default" w:ascii="Times New Roman" w:hAnsi="Times New Roman" w:cs="Times New Roman"/>
                <w:color w:val="auto"/>
                <w:spacing w:val="5"/>
                <w:kern w:val="0"/>
                <w:sz w:val="24"/>
                <w:szCs w:val="20"/>
                <w:lang w:val="en-US" w:eastAsia="zh-CN" w:bidi="ar-SA"/>
              </w:rPr>
              <w:t>本单位厂界东南侧1500m处的河沟村</w:t>
            </w:r>
            <w:r>
              <w:rPr>
                <w:rFonts w:hint="default" w:ascii="Times New Roman" w:hAnsi="Times New Roman" w:eastAsia="宋体" w:cs="Times New Roman"/>
                <w:color w:val="auto"/>
                <w:spacing w:val="5"/>
                <w:kern w:val="0"/>
                <w:sz w:val="24"/>
                <w:szCs w:val="20"/>
                <w:lang w:val="en-US" w:eastAsia="zh-CN" w:bidi="ar-SA"/>
              </w:rPr>
              <w:t>，引用数据为建设项目周边5km范围内近三年内的现有有效数据，引用可行。</w:t>
            </w:r>
            <w:r>
              <w:rPr>
                <w:rFonts w:hint="default" w:ascii="Times New Roman" w:hAnsi="Times New Roman" w:cs="Times New Roman"/>
                <w:color w:val="auto"/>
                <w:spacing w:val="5"/>
                <w:kern w:val="0"/>
                <w:sz w:val="24"/>
                <w:szCs w:val="20"/>
                <w:lang w:val="en-US" w:eastAsia="zh-CN" w:bidi="ar-SA"/>
              </w:rPr>
              <w:t>监测点位布设</w:t>
            </w:r>
            <w:r>
              <w:rPr>
                <w:rFonts w:hint="default" w:ascii="Times New Roman" w:hAnsi="Times New Roman" w:eastAsia="宋体" w:cs="Times New Roman"/>
                <w:color w:val="auto"/>
                <w:sz w:val="24"/>
              </w:rPr>
              <w:t>情况详见表</w:t>
            </w:r>
            <w:r>
              <w:rPr>
                <w:rFonts w:hint="eastAsia" w:cs="Times New Roman"/>
                <w:color w:val="auto"/>
                <w:sz w:val="24"/>
                <w:lang w:val="en-US" w:eastAsia="zh-CN"/>
              </w:rPr>
              <w:t>3-2</w:t>
            </w:r>
            <w:r>
              <w:rPr>
                <w:rFonts w:hint="default" w:ascii="Times New Roman" w:hAnsi="Times New Roman" w:eastAsia="宋体" w:cs="Times New Roman"/>
                <w:color w:val="auto"/>
                <w:sz w:val="24"/>
              </w:rPr>
              <w:t>。</w:t>
            </w:r>
            <w:r>
              <w:rPr>
                <w:rFonts w:hint="default" w:ascii="Times New Roman" w:hAnsi="Times New Roman" w:eastAsia="宋体" w:cs="Times New Roman"/>
                <w:color w:val="auto"/>
                <w:kern w:val="0"/>
                <w:sz w:val="24"/>
                <w:szCs w:val="24"/>
              </w:rPr>
              <w:t>环境空气现状监测与评价结果见表</w:t>
            </w:r>
            <w:r>
              <w:rPr>
                <w:rFonts w:hint="eastAsia" w:cs="Times New Roman"/>
                <w:color w:val="auto"/>
                <w:kern w:val="0"/>
                <w:sz w:val="24"/>
                <w:szCs w:val="24"/>
                <w:lang w:val="en-US" w:eastAsia="zh-CN"/>
              </w:rPr>
              <w:t>3-3</w:t>
            </w:r>
            <w:r>
              <w:rPr>
                <w:rFonts w:hint="default" w:ascii="Times New Roman" w:hAnsi="Times New Roman" w:eastAsia="宋体" w:cs="Times New Roman"/>
                <w:color w:val="auto"/>
                <w:kern w:val="0"/>
                <w:sz w:val="24"/>
                <w:szCs w:val="24"/>
              </w:rPr>
              <w:t>。</w:t>
            </w:r>
          </w:p>
          <w:p w14:paraId="735D53A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表3-2  监测点位一览表</w:t>
            </w:r>
          </w:p>
          <w:tbl>
            <w:tblPr>
              <w:tblStyle w:val="33"/>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214"/>
              <w:gridCol w:w="1146"/>
              <w:gridCol w:w="1735"/>
              <w:gridCol w:w="2933"/>
              <w:gridCol w:w="994"/>
            </w:tblGrid>
            <w:tr w14:paraId="5C609C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756" w:type="pct"/>
                  <w:tcBorders>
                    <w:tl2br w:val="nil"/>
                    <w:tr2bl w:val="nil"/>
                  </w:tcBorders>
                  <w:noWrap w:val="0"/>
                  <w:vAlign w:val="center"/>
                </w:tcPr>
                <w:p w14:paraId="68066A84">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pacing w:val="4"/>
                      <w:sz w:val="21"/>
                      <w:szCs w:val="21"/>
                    </w:rPr>
                  </w:pPr>
                  <w:r>
                    <w:rPr>
                      <w:rFonts w:hint="default" w:ascii="Times New Roman" w:hAnsi="Times New Roman" w:eastAsia="宋体" w:cs="Times New Roman"/>
                      <w:b/>
                      <w:color w:val="auto"/>
                      <w:spacing w:val="4"/>
                      <w:sz w:val="21"/>
                      <w:szCs w:val="21"/>
                    </w:rPr>
                    <w:t>监测点编号</w:t>
                  </w:r>
                </w:p>
              </w:tc>
              <w:tc>
                <w:tcPr>
                  <w:tcW w:w="714" w:type="pct"/>
                  <w:tcBorders>
                    <w:tl2br w:val="nil"/>
                    <w:tr2bl w:val="nil"/>
                  </w:tcBorders>
                  <w:noWrap w:val="0"/>
                  <w:vAlign w:val="center"/>
                </w:tcPr>
                <w:p w14:paraId="0C48F0BC">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pacing w:val="4"/>
                      <w:sz w:val="21"/>
                      <w:szCs w:val="21"/>
                    </w:rPr>
                  </w:pPr>
                  <w:r>
                    <w:rPr>
                      <w:rFonts w:hint="default" w:ascii="Times New Roman" w:hAnsi="Times New Roman" w:eastAsia="宋体" w:cs="Times New Roman"/>
                      <w:b/>
                      <w:color w:val="auto"/>
                      <w:spacing w:val="4"/>
                      <w:sz w:val="21"/>
                      <w:szCs w:val="21"/>
                    </w:rPr>
                    <w:t>监测点名称</w:t>
                  </w:r>
                </w:p>
              </w:tc>
              <w:tc>
                <w:tcPr>
                  <w:tcW w:w="1081" w:type="pct"/>
                  <w:tcBorders>
                    <w:tl2br w:val="nil"/>
                    <w:tr2bl w:val="nil"/>
                  </w:tcBorders>
                  <w:noWrap w:val="0"/>
                  <w:vAlign w:val="center"/>
                </w:tcPr>
                <w:p w14:paraId="702854F5">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pacing w:val="4"/>
                      <w:sz w:val="21"/>
                      <w:szCs w:val="21"/>
                    </w:rPr>
                  </w:pPr>
                  <w:r>
                    <w:rPr>
                      <w:rFonts w:hint="default" w:ascii="Times New Roman" w:hAnsi="Times New Roman" w:eastAsia="宋体" w:cs="Times New Roman"/>
                      <w:b/>
                      <w:color w:val="auto"/>
                      <w:spacing w:val="4"/>
                      <w:sz w:val="21"/>
                      <w:szCs w:val="21"/>
                    </w:rPr>
                    <w:t>监测因子</w:t>
                  </w:r>
                </w:p>
              </w:tc>
              <w:tc>
                <w:tcPr>
                  <w:tcW w:w="1827" w:type="pct"/>
                  <w:tcBorders>
                    <w:tl2br w:val="nil"/>
                    <w:tr2bl w:val="nil"/>
                  </w:tcBorders>
                  <w:noWrap w:val="0"/>
                  <w:vAlign w:val="center"/>
                </w:tcPr>
                <w:p w14:paraId="0EA5E176">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pacing w:val="4"/>
                      <w:sz w:val="21"/>
                      <w:szCs w:val="21"/>
                    </w:rPr>
                  </w:pPr>
                  <w:r>
                    <w:rPr>
                      <w:rFonts w:hint="default" w:ascii="Times New Roman" w:hAnsi="Times New Roman" w:eastAsia="宋体" w:cs="Times New Roman"/>
                      <w:b/>
                      <w:color w:val="auto"/>
                      <w:spacing w:val="4"/>
                      <w:sz w:val="21"/>
                      <w:szCs w:val="21"/>
                    </w:rPr>
                    <w:t>与本项目厂界最近距离(m)</w:t>
                  </w:r>
                </w:p>
              </w:tc>
              <w:tc>
                <w:tcPr>
                  <w:tcW w:w="619" w:type="pct"/>
                  <w:tcBorders>
                    <w:tl2br w:val="nil"/>
                    <w:tr2bl w:val="nil"/>
                  </w:tcBorders>
                  <w:noWrap w:val="0"/>
                  <w:vAlign w:val="center"/>
                </w:tcPr>
                <w:p w14:paraId="675BCAC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pacing w:val="4"/>
                      <w:sz w:val="21"/>
                      <w:szCs w:val="21"/>
                    </w:rPr>
                  </w:pPr>
                  <w:r>
                    <w:rPr>
                      <w:rFonts w:hint="default" w:ascii="Times New Roman" w:hAnsi="Times New Roman" w:eastAsia="宋体" w:cs="Times New Roman"/>
                      <w:b/>
                      <w:color w:val="auto"/>
                      <w:spacing w:val="4"/>
                      <w:sz w:val="21"/>
                      <w:szCs w:val="21"/>
                    </w:rPr>
                    <w:t>方位</w:t>
                  </w:r>
                </w:p>
              </w:tc>
            </w:tr>
            <w:tr w14:paraId="557AA1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756" w:type="pct"/>
                  <w:tcBorders>
                    <w:tl2br w:val="nil"/>
                    <w:tr2bl w:val="nil"/>
                  </w:tcBorders>
                  <w:noWrap w:val="0"/>
                  <w:vAlign w:val="center"/>
                </w:tcPr>
                <w:p w14:paraId="44716323">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1#</w:t>
                  </w:r>
                </w:p>
              </w:tc>
              <w:tc>
                <w:tcPr>
                  <w:tcW w:w="714" w:type="pct"/>
                  <w:tcBorders>
                    <w:tl2br w:val="nil"/>
                    <w:tr2bl w:val="nil"/>
                  </w:tcBorders>
                  <w:noWrap w:val="0"/>
                  <w:vAlign w:val="center"/>
                </w:tcPr>
                <w:p w14:paraId="7A774552">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pacing w:val="4"/>
                      <w:sz w:val="21"/>
                      <w:szCs w:val="21"/>
                      <w:lang w:eastAsia="zh-CN"/>
                    </w:rPr>
                  </w:pPr>
                  <w:r>
                    <w:rPr>
                      <w:rFonts w:hint="default" w:ascii="Times New Roman" w:hAnsi="Times New Roman" w:cs="Times New Roman"/>
                      <w:color w:val="auto"/>
                      <w:sz w:val="21"/>
                      <w:szCs w:val="21"/>
                      <w:lang w:val="en-US" w:eastAsia="zh-CN"/>
                    </w:rPr>
                    <w:t>河沟村</w:t>
                  </w:r>
                </w:p>
              </w:tc>
              <w:tc>
                <w:tcPr>
                  <w:tcW w:w="1081" w:type="pct"/>
                  <w:tcBorders>
                    <w:tl2br w:val="nil"/>
                    <w:tr2bl w:val="nil"/>
                  </w:tcBorders>
                  <w:noWrap w:val="0"/>
                  <w:vAlign w:val="center"/>
                </w:tcPr>
                <w:p w14:paraId="366159E6">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pacing w:val="4"/>
                      <w:sz w:val="21"/>
                      <w:szCs w:val="21"/>
                      <w:lang w:eastAsia="zh-CN"/>
                    </w:rPr>
                  </w:pPr>
                  <w:r>
                    <w:rPr>
                      <w:rFonts w:hint="default" w:ascii="Times New Roman" w:hAnsi="Times New Roman" w:cs="Times New Roman"/>
                      <w:color w:val="auto"/>
                      <w:spacing w:val="4"/>
                      <w:sz w:val="21"/>
                      <w:szCs w:val="21"/>
                      <w:lang w:val="en-US" w:eastAsia="zh-CN"/>
                    </w:rPr>
                    <w:t>TSP</w:t>
                  </w:r>
                </w:p>
              </w:tc>
              <w:tc>
                <w:tcPr>
                  <w:tcW w:w="1827" w:type="pct"/>
                  <w:tcBorders>
                    <w:tl2br w:val="nil"/>
                    <w:tr2bl w:val="nil"/>
                  </w:tcBorders>
                  <w:noWrap w:val="0"/>
                  <w:vAlign w:val="center"/>
                </w:tcPr>
                <w:p w14:paraId="1E5BB68E">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pacing w:val="4"/>
                      <w:sz w:val="21"/>
                      <w:szCs w:val="21"/>
                      <w:lang w:val="en-US" w:eastAsia="zh-CN"/>
                    </w:rPr>
                  </w:pPr>
                  <w:r>
                    <w:rPr>
                      <w:rFonts w:hint="eastAsia" w:cs="Times New Roman"/>
                      <w:color w:val="auto"/>
                      <w:spacing w:val="4"/>
                      <w:sz w:val="21"/>
                      <w:szCs w:val="21"/>
                      <w:lang w:val="en-US" w:eastAsia="zh-CN"/>
                    </w:rPr>
                    <w:t>17</w:t>
                  </w:r>
                  <w:r>
                    <w:rPr>
                      <w:rFonts w:hint="default" w:ascii="Times New Roman" w:hAnsi="Times New Roman" w:cs="Times New Roman"/>
                      <w:color w:val="auto"/>
                      <w:spacing w:val="4"/>
                      <w:sz w:val="21"/>
                      <w:szCs w:val="21"/>
                      <w:lang w:val="en-US" w:eastAsia="zh-CN"/>
                    </w:rPr>
                    <w:t>00</w:t>
                  </w:r>
                </w:p>
              </w:tc>
              <w:tc>
                <w:tcPr>
                  <w:tcW w:w="619" w:type="pct"/>
                  <w:tcBorders>
                    <w:tl2br w:val="nil"/>
                    <w:tr2bl w:val="nil"/>
                  </w:tcBorders>
                  <w:noWrap w:val="0"/>
                  <w:vAlign w:val="center"/>
                </w:tcPr>
                <w:p w14:paraId="6A077930">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pacing w:val="4"/>
                      <w:sz w:val="21"/>
                      <w:szCs w:val="21"/>
                      <w:lang w:val="en-US"/>
                    </w:rPr>
                  </w:pPr>
                  <w:r>
                    <w:rPr>
                      <w:rFonts w:hint="default" w:ascii="Times New Roman" w:hAnsi="Times New Roman" w:cs="Times New Roman"/>
                      <w:color w:val="auto"/>
                      <w:spacing w:val="4"/>
                      <w:sz w:val="21"/>
                      <w:szCs w:val="21"/>
                      <w:lang w:val="en-US" w:eastAsia="zh-CN"/>
                    </w:rPr>
                    <w:t>SE</w:t>
                  </w:r>
                </w:p>
              </w:tc>
            </w:tr>
          </w:tbl>
          <w:p w14:paraId="454F0A6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firstLine="482" w:firstLineChars="20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表3-</w:t>
            </w:r>
            <w:r>
              <w:rPr>
                <w:rFonts w:hint="default" w:ascii="Times New Roman" w:hAnsi="Times New Roman" w:cs="Times New Roman"/>
                <w:b/>
                <w:color w:val="auto"/>
                <w:sz w:val="24"/>
                <w:szCs w:val="24"/>
                <w:lang w:val="en-US" w:eastAsia="zh-CN"/>
              </w:rPr>
              <w:t>3</w:t>
            </w:r>
            <w:r>
              <w:rPr>
                <w:rFonts w:hint="default" w:ascii="Times New Roman" w:hAnsi="Times New Roman" w:eastAsia="宋体" w:cs="Times New Roman"/>
                <w:b/>
                <w:color w:val="auto"/>
                <w:sz w:val="24"/>
                <w:szCs w:val="24"/>
              </w:rPr>
              <w:t xml:space="preserve">  环境空气质量现状评价结果表</w:t>
            </w:r>
          </w:p>
          <w:tbl>
            <w:tblPr>
              <w:tblStyle w:val="33"/>
              <w:tblW w:w="503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41"/>
              <w:gridCol w:w="1130"/>
              <w:gridCol w:w="1601"/>
              <w:gridCol w:w="746"/>
              <w:gridCol w:w="1045"/>
              <w:gridCol w:w="651"/>
              <w:gridCol w:w="693"/>
              <w:gridCol w:w="1079"/>
            </w:tblGrid>
            <w:tr w14:paraId="2A3FB5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5" w:type="pct"/>
                  <w:tcBorders>
                    <w:tl2br w:val="nil"/>
                    <w:tr2bl w:val="nil"/>
                  </w:tcBorders>
                  <w:noWrap w:val="0"/>
                  <w:vAlign w:val="center"/>
                </w:tcPr>
                <w:p w14:paraId="171B1AC9">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监测因子</w:t>
                  </w:r>
                </w:p>
              </w:tc>
              <w:tc>
                <w:tcPr>
                  <w:tcW w:w="698" w:type="pct"/>
                  <w:tcBorders>
                    <w:tl2br w:val="nil"/>
                    <w:tr2bl w:val="nil"/>
                  </w:tcBorders>
                  <w:noWrap w:val="0"/>
                  <w:vAlign w:val="center"/>
                </w:tcPr>
                <w:p w14:paraId="69295759">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监测点位</w:t>
                  </w:r>
                </w:p>
              </w:tc>
              <w:tc>
                <w:tcPr>
                  <w:tcW w:w="989" w:type="pct"/>
                  <w:tcBorders>
                    <w:tl2br w:val="nil"/>
                    <w:tr2bl w:val="nil"/>
                  </w:tcBorders>
                  <w:noWrap w:val="0"/>
                  <w:vAlign w:val="center"/>
                </w:tcPr>
                <w:p w14:paraId="69A24E9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平均时间</w:t>
                  </w:r>
                </w:p>
              </w:tc>
              <w:tc>
                <w:tcPr>
                  <w:tcW w:w="461" w:type="pct"/>
                  <w:tcBorders>
                    <w:tl2br w:val="nil"/>
                    <w:tr2bl w:val="nil"/>
                  </w:tcBorders>
                  <w:noWrap w:val="0"/>
                  <w:vAlign w:val="center"/>
                </w:tcPr>
                <w:p w14:paraId="3761186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标准值</w:t>
                  </w:r>
                </w:p>
                <w:p w14:paraId="231E6B19">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mg/m</w:t>
                  </w:r>
                  <w:r>
                    <w:rPr>
                      <w:rFonts w:hint="default" w:ascii="Times New Roman" w:hAnsi="Times New Roman" w:eastAsia="宋体" w:cs="Times New Roman"/>
                      <w:b/>
                      <w:color w:val="auto"/>
                      <w:sz w:val="21"/>
                      <w:szCs w:val="21"/>
                      <w:vertAlign w:val="superscript"/>
                    </w:rPr>
                    <w:t>3</w:t>
                  </w:r>
                </w:p>
              </w:tc>
              <w:tc>
                <w:tcPr>
                  <w:tcW w:w="646" w:type="pct"/>
                  <w:tcBorders>
                    <w:tl2br w:val="nil"/>
                    <w:tr2bl w:val="nil"/>
                  </w:tcBorders>
                  <w:noWrap w:val="0"/>
                  <w:vAlign w:val="center"/>
                </w:tcPr>
                <w:p w14:paraId="7DE0061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浓度范围</w:t>
                  </w:r>
                </w:p>
                <w:p w14:paraId="3E55DCEA">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mg/m</w:t>
                  </w:r>
                  <w:r>
                    <w:rPr>
                      <w:rFonts w:hint="default" w:ascii="Times New Roman" w:hAnsi="Times New Roman" w:eastAsia="宋体" w:cs="Times New Roman"/>
                      <w:b/>
                      <w:color w:val="auto"/>
                      <w:sz w:val="21"/>
                      <w:szCs w:val="21"/>
                      <w:vertAlign w:val="superscript"/>
                    </w:rPr>
                    <w:t>3</w:t>
                  </w:r>
                </w:p>
              </w:tc>
              <w:tc>
                <w:tcPr>
                  <w:tcW w:w="402" w:type="pct"/>
                  <w:tcBorders>
                    <w:tl2br w:val="nil"/>
                    <w:tr2bl w:val="nil"/>
                  </w:tcBorders>
                  <w:noWrap w:val="0"/>
                  <w:vAlign w:val="center"/>
                </w:tcPr>
                <w:p w14:paraId="7D1C9A02">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超标率</w:t>
                  </w:r>
                </w:p>
                <w:p w14:paraId="3E6EBC3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w:t>
                  </w:r>
                </w:p>
              </w:tc>
              <w:tc>
                <w:tcPr>
                  <w:tcW w:w="428" w:type="pct"/>
                  <w:tcBorders>
                    <w:tl2br w:val="nil"/>
                    <w:tr2bl w:val="nil"/>
                  </w:tcBorders>
                  <w:noWrap w:val="0"/>
                  <w:vAlign w:val="center"/>
                </w:tcPr>
                <w:p w14:paraId="27B82F7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最大超</w:t>
                  </w:r>
                </w:p>
                <w:p w14:paraId="4A52F00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标倍数</w:t>
                  </w:r>
                </w:p>
              </w:tc>
              <w:tc>
                <w:tcPr>
                  <w:tcW w:w="667" w:type="pct"/>
                  <w:tcBorders>
                    <w:tl2br w:val="nil"/>
                    <w:tr2bl w:val="nil"/>
                  </w:tcBorders>
                  <w:noWrap w:val="0"/>
                  <w:vAlign w:val="center"/>
                </w:tcPr>
                <w:p w14:paraId="7E4419EC">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val="en-US" w:eastAsia="zh-CN"/>
                    </w:rPr>
                    <w:t>最大占标率%</w:t>
                  </w:r>
                </w:p>
              </w:tc>
            </w:tr>
            <w:tr w14:paraId="3A6122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5" w:type="pct"/>
                  <w:tcBorders>
                    <w:tl2br w:val="nil"/>
                    <w:tr2bl w:val="nil"/>
                  </w:tcBorders>
                  <w:noWrap w:val="0"/>
                  <w:vAlign w:val="center"/>
                </w:tcPr>
                <w:p w14:paraId="3CDE9010">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TSP</w:t>
                  </w:r>
                </w:p>
              </w:tc>
              <w:tc>
                <w:tcPr>
                  <w:tcW w:w="698" w:type="pct"/>
                  <w:tcBorders>
                    <w:tl2br w:val="nil"/>
                    <w:tr2bl w:val="nil"/>
                  </w:tcBorders>
                  <w:noWrap w:val="0"/>
                  <w:vAlign w:val="center"/>
                </w:tcPr>
                <w:p w14:paraId="1D059C80">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河沟村</w:t>
                  </w:r>
                </w:p>
              </w:tc>
              <w:tc>
                <w:tcPr>
                  <w:tcW w:w="989" w:type="pct"/>
                  <w:tcBorders>
                    <w:tl2br w:val="nil"/>
                    <w:tr2bl w:val="nil"/>
                  </w:tcBorders>
                  <w:noWrap w:val="0"/>
                  <w:vAlign w:val="center"/>
                </w:tcPr>
                <w:p w14:paraId="077A769C">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24小时平均浓度</w:t>
                  </w:r>
                </w:p>
              </w:tc>
              <w:tc>
                <w:tcPr>
                  <w:tcW w:w="461" w:type="pct"/>
                  <w:tcBorders>
                    <w:tl2br w:val="nil"/>
                    <w:tr2bl w:val="nil"/>
                  </w:tcBorders>
                  <w:noWrap w:val="0"/>
                  <w:vAlign w:val="center"/>
                </w:tcPr>
                <w:p w14:paraId="387E3B30">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0.3</w:t>
                  </w:r>
                </w:p>
              </w:tc>
              <w:tc>
                <w:tcPr>
                  <w:tcW w:w="646" w:type="pct"/>
                  <w:tcBorders>
                    <w:tl2br w:val="nil"/>
                    <w:tr2bl w:val="nil"/>
                  </w:tcBorders>
                  <w:noWrap w:val="0"/>
                  <w:vAlign w:val="center"/>
                </w:tcPr>
                <w:p w14:paraId="42C849E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0.055-0.190</w:t>
                  </w:r>
                </w:p>
              </w:tc>
              <w:tc>
                <w:tcPr>
                  <w:tcW w:w="402" w:type="pct"/>
                  <w:tcBorders>
                    <w:tl2br w:val="nil"/>
                    <w:tr2bl w:val="nil"/>
                  </w:tcBorders>
                  <w:noWrap w:val="0"/>
                  <w:vAlign w:val="center"/>
                </w:tcPr>
                <w:p w14:paraId="68DDA6E5">
                  <w:pPr>
                    <w:keepNext w:val="0"/>
                    <w:keepLines w:val="0"/>
                    <w:widowControl/>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428" w:type="pct"/>
                  <w:tcBorders>
                    <w:tl2br w:val="nil"/>
                    <w:tr2bl w:val="nil"/>
                  </w:tcBorders>
                  <w:noWrap w:val="0"/>
                  <w:vAlign w:val="center"/>
                </w:tcPr>
                <w:p w14:paraId="5EF85B65">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667" w:type="pct"/>
                  <w:tcBorders>
                    <w:tl2br w:val="nil"/>
                    <w:tr2bl w:val="nil"/>
                  </w:tcBorders>
                  <w:noWrap w:val="0"/>
                  <w:vAlign w:val="center"/>
                </w:tcPr>
                <w:p w14:paraId="1F0AFE24">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63.3</w:t>
                  </w:r>
                </w:p>
              </w:tc>
            </w:tr>
          </w:tbl>
          <w:p w14:paraId="2ACA2F4A">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kern w:val="0"/>
                <w:sz w:val="24"/>
                <w:szCs w:val="24"/>
              </w:rPr>
              <w:t>由上表可知，TSP24小时平均浓度均</w:t>
            </w:r>
            <w:r>
              <w:rPr>
                <w:rFonts w:hint="eastAsia" w:cs="Times New Roman"/>
                <w:color w:val="auto"/>
                <w:kern w:val="0"/>
                <w:sz w:val="24"/>
                <w:szCs w:val="24"/>
                <w:lang w:eastAsia="zh-CN"/>
              </w:rPr>
              <w:t>满足</w:t>
            </w:r>
            <w:r>
              <w:rPr>
                <w:rFonts w:hint="default" w:ascii="Times New Roman" w:hAnsi="Times New Roman" w:eastAsia="宋体" w:cs="Times New Roman"/>
                <w:color w:val="auto"/>
                <w:kern w:val="0"/>
                <w:sz w:val="24"/>
                <w:szCs w:val="24"/>
              </w:rPr>
              <w:t>《环境空气质量标准》（GB3095-2012）及修改单（环境保护部公告2018年第29号）中二级标准</w:t>
            </w:r>
            <w:r>
              <w:rPr>
                <w:rFonts w:hint="default" w:ascii="Times New Roman" w:hAnsi="Times New Roman" w:eastAsia="宋体" w:cs="Times New Roman"/>
                <w:color w:val="auto"/>
                <w:sz w:val="24"/>
                <w:szCs w:val="24"/>
              </w:rPr>
              <w:t>。</w:t>
            </w:r>
          </w:p>
          <w:p w14:paraId="4A01DE56">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2、地表水环境质量现状</w:t>
            </w:r>
          </w:p>
          <w:p w14:paraId="27B44622">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根据《建设项目环境影响报告表编制指南（污染环境类）</w:t>
            </w:r>
            <w:r>
              <w:rPr>
                <w:rFonts w:hint="eastAsia" w:cs="Times New Roman"/>
                <w:color w:val="auto"/>
                <w:sz w:val="24"/>
                <w:szCs w:val="24"/>
                <w:lang w:eastAsia="zh-CN"/>
              </w:rPr>
              <w:t>（试行）》</w:t>
            </w:r>
            <w:r>
              <w:rPr>
                <w:rFonts w:hint="default" w:ascii="Times New Roman" w:hAnsi="Times New Roman" w:eastAsia="宋体" w:cs="Times New Roman"/>
                <w:color w:val="auto"/>
                <w:sz w:val="24"/>
                <w:szCs w:val="24"/>
              </w:rPr>
              <w:t>中的相关规定，本次评价地表水环境质量现状引用</w:t>
            </w:r>
            <w:r>
              <w:rPr>
                <w:rFonts w:hint="default" w:ascii="Times New Roman" w:hAnsi="Times New Roman" w:cs="Times New Roman"/>
                <w:color w:val="auto"/>
                <w:sz w:val="24"/>
                <w:szCs w:val="24"/>
                <w:lang w:eastAsia="zh-CN"/>
              </w:rPr>
              <w:t>《河北魏县经济开发区总体发展规划(2022-2030年)环境影响报告书》</w:t>
            </w:r>
            <w:r>
              <w:rPr>
                <w:rFonts w:hint="default" w:ascii="Times New Roman" w:hAnsi="Times New Roman" w:cs="Times New Roman"/>
                <w:color w:val="auto"/>
                <w:sz w:val="24"/>
                <w:szCs w:val="24"/>
                <w:lang w:val="en-US" w:eastAsia="zh-CN"/>
              </w:rPr>
              <w:t>中地表水环境质量现状内容，其中魏大馆渠数据来源于</w:t>
            </w:r>
            <w:r>
              <w:rPr>
                <w:rFonts w:hint="default" w:ascii="Times New Roman" w:hAnsi="Times New Roman" w:cs="Times New Roman"/>
                <w:color w:val="auto"/>
                <w:spacing w:val="5"/>
                <w:kern w:val="0"/>
                <w:sz w:val="24"/>
                <w:szCs w:val="20"/>
                <w:lang w:val="en-US" w:eastAsia="zh-CN" w:bidi="ar-SA"/>
              </w:rPr>
              <w:t>《河北魏县经济开发区总体发展规划环境质量现状监测》（报告编号：HBDP</w:t>
            </w:r>
            <w:r>
              <w:rPr>
                <w:rFonts w:hint="eastAsia" w:cs="Times New Roman"/>
                <w:color w:val="auto"/>
                <w:spacing w:val="5"/>
                <w:kern w:val="0"/>
                <w:sz w:val="24"/>
                <w:szCs w:val="20"/>
                <w:lang w:val="en-US" w:eastAsia="zh-CN" w:bidi="ar-SA"/>
              </w:rPr>
              <w:t>〔2023〕</w:t>
            </w:r>
            <w:r>
              <w:rPr>
                <w:rFonts w:hint="default" w:ascii="Times New Roman" w:hAnsi="Times New Roman" w:cs="Times New Roman"/>
                <w:color w:val="auto"/>
                <w:spacing w:val="5"/>
                <w:kern w:val="0"/>
                <w:sz w:val="24"/>
                <w:szCs w:val="20"/>
                <w:lang w:val="en-US" w:eastAsia="zh-CN" w:bidi="ar-SA"/>
              </w:rPr>
              <w:t>第H0106号）（pH值、悬浮物、溶解氧、化学需氧量、五日生化需氧量、氨氮、总磷、总氮、高锰酸盐指数、阴离子表面活性剂、挥发酚、氟化物、氰化物、硫化物、铜、锌、铅、铁、锰、镉、六价铬、总铬、汞、砷、硒、石油类、粪大肠菌群、硫酸盐、氯化物、硝酸盐氮、镍、苯、甲苯、二甲苯），东风渠数据来源于2018年至2022年东风渠例行监测断面的监测数据（化学需氧量、氨氮、总磷、总氮、高锰酸盐指数）。</w:t>
            </w:r>
            <w:r>
              <w:rPr>
                <w:rFonts w:hint="default" w:ascii="Times New Roman" w:hAnsi="Times New Roman" w:eastAsia="宋体" w:cs="Times New Roman"/>
                <w:color w:val="auto"/>
                <w:sz w:val="24"/>
                <w:szCs w:val="24"/>
              </w:rPr>
              <w:t>引用数据为近3年的规划环境影响评价的监测数据</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所在流域控制单元内国家、地方控制断面监测数据，引用可行。</w:t>
            </w:r>
          </w:p>
          <w:p w14:paraId="7D7F8725">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由</w:t>
            </w:r>
            <w:r>
              <w:rPr>
                <w:rFonts w:hint="default" w:ascii="Times New Roman" w:hAnsi="Times New Roman" w:cs="Times New Roman"/>
                <w:color w:val="auto"/>
                <w:sz w:val="24"/>
                <w:szCs w:val="24"/>
                <w:lang w:eastAsia="zh-CN"/>
              </w:rPr>
              <w:t>《河北魏县经济开发区总体发展规划(2022-2030年)环境影响报告书》</w:t>
            </w:r>
            <w:r>
              <w:rPr>
                <w:rFonts w:hint="default" w:ascii="Times New Roman" w:hAnsi="Times New Roman" w:cs="Times New Roman"/>
                <w:color w:val="auto"/>
                <w:sz w:val="24"/>
                <w:szCs w:val="24"/>
                <w:lang w:val="en-US" w:eastAsia="zh-CN"/>
              </w:rPr>
              <w:t>中地表水环境质量现状内容可知</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规划环评</w:t>
            </w:r>
            <w:r>
              <w:rPr>
                <w:rFonts w:hint="default" w:ascii="Times New Roman" w:hAnsi="Times New Roman" w:eastAsia="宋体" w:cs="Times New Roman"/>
                <w:color w:val="auto"/>
                <w:sz w:val="24"/>
                <w:szCs w:val="24"/>
                <w:lang w:val="en-US" w:eastAsia="zh-CN"/>
              </w:rPr>
              <w:t>监测期间评价范围内地表水魏大馆渠断面各监测因子标准指数均小于1，满足《地表水环境质量标准》(GB3838-2002)Ⅳ类标准要求</w:t>
            </w:r>
            <w:r>
              <w:rPr>
                <w:rFonts w:hint="default" w:ascii="Times New Roman" w:hAnsi="Times New Roman" w:cs="Times New Roman"/>
                <w:color w:val="auto"/>
                <w:sz w:val="24"/>
                <w:szCs w:val="24"/>
                <w:lang w:val="en-US" w:eastAsia="zh-CN"/>
              </w:rPr>
              <w:t>；近5年魏县境内东风渠地表水环境质量总体呈改善趋势，现状除COD外其他监测因子均满足《地表水环境质量标准》</w:t>
            </w:r>
            <w:r>
              <w:rPr>
                <w:rFonts w:hint="eastAsia" w:cs="Times New Roman"/>
                <w:color w:val="auto"/>
                <w:sz w:val="24"/>
                <w:szCs w:val="24"/>
                <w:lang w:val="en-US" w:eastAsia="zh-CN"/>
              </w:rPr>
              <w:t>Ⅲ类</w:t>
            </w:r>
            <w:r>
              <w:rPr>
                <w:rFonts w:hint="default" w:ascii="Times New Roman" w:hAnsi="Times New Roman" w:cs="Times New Roman"/>
                <w:color w:val="auto"/>
                <w:sz w:val="24"/>
                <w:szCs w:val="24"/>
                <w:lang w:val="en-US" w:eastAsia="zh-CN"/>
              </w:rPr>
              <w:t>标准要求</w:t>
            </w:r>
            <w:r>
              <w:rPr>
                <w:rFonts w:hint="default" w:ascii="Times New Roman" w:hAnsi="Times New Roman" w:eastAsia="宋体" w:cs="Times New Roman"/>
                <w:color w:val="auto"/>
                <w:sz w:val="24"/>
                <w:szCs w:val="24"/>
                <w:lang w:val="en-US" w:eastAsia="zh-CN"/>
              </w:rPr>
              <w:t>。</w:t>
            </w:r>
          </w:p>
          <w:p w14:paraId="0CFE752B">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3、声环境质量现状</w:t>
            </w:r>
          </w:p>
          <w:p w14:paraId="7247B93D">
            <w:pPr>
              <w:pStyle w:val="80"/>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360" w:lineRule="auto"/>
              <w:ind w:left="0" w:right="0" w:firstLine="480"/>
              <w:textAlignment w:val="auto"/>
              <w:rPr>
                <w:rFonts w:hint="default" w:ascii="Times New Roman" w:hAnsi="Times New Roman" w:cs="Times New Roman"/>
                <w:color w:val="auto"/>
                <w:sz w:val="24"/>
                <w:szCs w:val="22"/>
                <w:lang w:val="en-US" w:eastAsia="zh-CN"/>
              </w:rPr>
            </w:pPr>
            <w:r>
              <w:rPr>
                <w:rFonts w:hint="default" w:ascii="Times New Roman" w:hAnsi="Times New Roman" w:cs="Times New Roman"/>
                <w:color w:val="000000"/>
                <w:sz w:val="24"/>
              </w:rPr>
              <w:t>项目周边50m范围内无声敏感目标，区域内企业噪声都能达标排放，声环境质量满足《声环境质量标准》（GB3096-2008）中3类区标准限值</w:t>
            </w:r>
            <w:r>
              <w:rPr>
                <w:rFonts w:hint="default" w:ascii="Times New Roman" w:hAnsi="Times New Roman" w:cs="Times New Roman"/>
                <w:color w:val="auto"/>
                <w:spacing w:val="5"/>
                <w:kern w:val="0"/>
                <w:sz w:val="24"/>
                <w:szCs w:val="20"/>
                <w:lang w:val="en-US" w:eastAsia="zh-CN" w:bidi="ar-SA"/>
              </w:rPr>
              <w:t>。</w:t>
            </w:r>
          </w:p>
          <w:p w14:paraId="2C03D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rPr>
              <w:t>、土壤</w:t>
            </w:r>
            <w:r>
              <w:rPr>
                <w:rFonts w:hint="default" w:ascii="Times New Roman" w:hAnsi="Times New Roman" w:cs="Times New Roman"/>
                <w:b/>
                <w:color w:val="auto"/>
                <w:sz w:val="24"/>
                <w:szCs w:val="24"/>
                <w:lang w:eastAsia="zh-CN"/>
              </w:rPr>
              <w:t>、地下水</w:t>
            </w:r>
            <w:r>
              <w:rPr>
                <w:rFonts w:hint="default" w:ascii="Times New Roman" w:hAnsi="Times New Roman" w:eastAsia="宋体" w:cs="Times New Roman"/>
                <w:b/>
                <w:color w:val="auto"/>
                <w:sz w:val="24"/>
                <w:szCs w:val="24"/>
              </w:rPr>
              <w:t>环境现状</w:t>
            </w:r>
          </w:p>
          <w:p w14:paraId="2599D473">
            <w:pPr>
              <w:keepNext w:val="0"/>
              <w:keepLines w:val="0"/>
              <w:suppressLineNumbers w:val="0"/>
              <w:spacing w:before="0" w:beforeAutospacing="0" w:after="0" w:afterAutospacing="0" w:line="500" w:lineRule="exact"/>
              <w:ind w:left="0" w:right="0" w:firstLine="480" w:firstLineChars="200"/>
              <w:jc w:val="both"/>
              <w:rPr>
                <w:rFonts w:hint="default" w:ascii="Times New Roman" w:hAnsi="Times New Roman" w:cs="Times New Roman"/>
                <w:color w:val="000000"/>
                <w:sz w:val="24"/>
                <w:lang w:eastAsia="zh-CN"/>
              </w:rPr>
            </w:pPr>
            <w:r>
              <w:rPr>
                <w:rFonts w:hint="default" w:ascii="Times New Roman" w:hAnsi="Times New Roman" w:eastAsia="宋体" w:cs="Times New Roman"/>
                <w:color w:val="auto"/>
                <w:sz w:val="24"/>
                <w:szCs w:val="24"/>
              </w:rPr>
              <w:t>根据《建设项目环境影响报告表编制技术指南（</w:t>
            </w:r>
            <w:r>
              <w:rPr>
                <w:rFonts w:hint="default" w:ascii="Times New Roman" w:hAnsi="Times New Roman" w:cs="Times New Roman"/>
                <w:color w:val="auto"/>
                <w:sz w:val="24"/>
                <w:szCs w:val="24"/>
                <w:lang w:eastAsia="zh-CN"/>
              </w:rPr>
              <w:t>污染</w:t>
            </w:r>
            <w:r>
              <w:rPr>
                <w:rFonts w:hint="default" w:ascii="Times New Roman" w:hAnsi="Times New Roman" w:eastAsia="宋体" w:cs="Times New Roman"/>
                <w:color w:val="auto"/>
                <w:sz w:val="24"/>
                <w:szCs w:val="24"/>
              </w:rPr>
              <w:t>影响类）》，土壤环境</w:t>
            </w:r>
            <w:r>
              <w:rPr>
                <w:rFonts w:hint="default" w:ascii="Times New Roman" w:hAnsi="Times New Roman" w:cs="Times New Roman"/>
                <w:color w:val="auto"/>
                <w:sz w:val="24"/>
                <w:szCs w:val="24"/>
                <w:lang w:eastAsia="zh-CN"/>
              </w:rPr>
              <w:t>、地下水环境</w:t>
            </w:r>
            <w:r>
              <w:rPr>
                <w:rFonts w:hint="default" w:ascii="Times New Roman" w:hAnsi="Times New Roman" w:eastAsia="宋体" w:cs="Times New Roman"/>
                <w:color w:val="auto"/>
                <w:sz w:val="24"/>
                <w:szCs w:val="24"/>
              </w:rPr>
              <w:t>原则上不开展环境质量现状调查。</w:t>
            </w:r>
            <w:r>
              <w:rPr>
                <w:rFonts w:hint="default" w:ascii="Times New Roman" w:hAnsi="Times New Roman" w:cs="Times New Roman"/>
                <w:color w:val="auto"/>
                <w:sz w:val="24"/>
              </w:rPr>
              <w:t>项目厂界外500米范围内不涉及地下水集中式饮用水水源和热水、矿泉水、温泉等特殊地下水保护目标</w:t>
            </w:r>
            <w:r>
              <w:rPr>
                <w:rFonts w:hint="default" w:ascii="Times New Roman" w:hAnsi="Times New Roman" w:cs="Times New Roman"/>
                <w:bCs/>
                <w:color w:val="auto"/>
                <w:kern w:val="0"/>
                <w:sz w:val="24"/>
              </w:rPr>
              <w:t>。</w:t>
            </w:r>
            <w:r>
              <w:rPr>
                <w:rFonts w:hint="default" w:ascii="Times New Roman" w:hAnsi="Times New Roman" w:cs="Times New Roman"/>
                <w:color w:val="auto"/>
                <w:sz w:val="24"/>
                <w:lang w:val="en-US" w:eastAsia="zh-CN"/>
              </w:rPr>
              <w:t>本项目</w:t>
            </w:r>
            <w:r>
              <w:rPr>
                <w:rFonts w:hint="default" w:ascii="Times New Roman" w:hAnsi="Times New Roman" w:cs="Times New Roman"/>
                <w:color w:val="000000"/>
                <w:sz w:val="24"/>
                <w:lang w:eastAsia="zh-CN"/>
              </w:rPr>
              <w:t>经过采取源头控制、分区防治等防腐防渗措施后，可有效阻断土壤的污染途径。</w:t>
            </w:r>
          </w:p>
          <w:p w14:paraId="3ED84E51">
            <w:pPr>
              <w:keepNext w:val="0"/>
              <w:keepLines w:val="0"/>
              <w:suppressLineNumbers w:val="0"/>
              <w:spacing w:before="0" w:beforeAutospacing="0" w:after="0" w:afterAutospacing="0" w:line="500" w:lineRule="exact"/>
              <w:ind w:left="0" w:right="0" w:firstLine="480" w:firstLineChars="200"/>
              <w:jc w:val="both"/>
              <w:rPr>
                <w:rFonts w:hint="default" w:ascii="Times New Roman" w:hAnsi="Times New Roman" w:cs="Times New Roman"/>
                <w:color w:val="auto"/>
                <w:sz w:val="24"/>
                <w:lang w:val="en-US" w:eastAsia="zh-CN"/>
              </w:rPr>
            </w:pPr>
            <w:r>
              <w:rPr>
                <w:rFonts w:hint="default" w:ascii="Times New Roman" w:hAnsi="Times New Roman" w:cs="Times New Roman"/>
                <w:color w:val="000000"/>
                <w:sz w:val="24"/>
                <w:lang w:eastAsia="zh-CN"/>
              </w:rPr>
              <w:t>地下水检测引用</w:t>
            </w:r>
            <w:r>
              <w:rPr>
                <w:rFonts w:hint="default" w:ascii="Times New Roman" w:hAnsi="Times New Roman" w:cs="Times New Roman"/>
                <w:color w:val="auto"/>
                <w:sz w:val="24"/>
                <w:szCs w:val="24"/>
                <w:lang w:eastAsia="zh-CN"/>
              </w:rPr>
              <w:t>《河北魏县经济开发区总体发展规划(2022-2030年)环境影响报告书》</w:t>
            </w:r>
            <w:r>
              <w:rPr>
                <w:rFonts w:hint="default" w:ascii="Times New Roman" w:hAnsi="Times New Roman" w:cs="Times New Roman"/>
                <w:color w:val="auto"/>
                <w:sz w:val="24"/>
                <w:szCs w:val="24"/>
                <w:lang w:val="en-US" w:eastAsia="zh-CN"/>
              </w:rPr>
              <w:t>中地下水环境质量现状内容，其中河沟村数据来源于</w:t>
            </w:r>
            <w:r>
              <w:rPr>
                <w:rFonts w:hint="default" w:ascii="Times New Roman" w:hAnsi="Times New Roman" w:cs="Times New Roman"/>
                <w:color w:val="auto"/>
                <w:spacing w:val="5"/>
                <w:kern w:val="0"/>
                <w:sz w:val="24"/>
                <w:szCs w:val="20"/>
                <w:lang w:val="en-US" w:eastAsia="zh-CN" w:bidi="ar-SA"/>
              </w:rPr>
              <w:t>《河北魏县经济开发区总体发展规划环境质量现状监测》（报告编号：HBDP</w:t>
            </w:r>
            <w:r>
              <w:rPr>
                <w:rFonts w:hint="eastAsia" w:cs="Times New Roman"/>
                <w:color w:val="auto"/>
                <w:spacing w:val="5"/>
                <w:kern w:val="0"/>
                <w:sz w:val="24"/>
                <w:szCs w:val="20"/>
                <w:lang w:val="en-US" w:eastAsia="zh-CN" w:bidi="ar-SA"/>
              </w:rPr>
              <w:t>〔2023〕</w:t>
            </w:r>
            <w:r>
              <w:rPr>
                <w:rFonts w:hint="default" w:ascii="Times New Roman" w:hAnsi="Times New Roman" w:cs="Times New Roman"/>
                <w:color w:val="auto"/>
                <w:spacing w:val="5"/>
                <w:kern w:val="0"/>
                <w:sz w:val="24"/>
                <w:szCs w:val="20"/>
                <w:lang w:val="en-US" w:eastAsia="zh-CN" w:bidi="ar-SA"/>
              </w:rPr>
              <w:t>第H0106号）</w:t>
            </w:r>
            <w:r>
              <w:rPr>
                <w:rFonts w:hint="default" w:ascii="Times New Roman" w:hAnsi="Times New Roman" w:eastAsia="宋体" w:cs="Times New Roman"/>
                <w:caps w:val="0"/>
                <w:smallCaps w:val="0"/>
                <w:color w:val="auto"/>
                <w:sz w:val="24"/>
                <w:highlight w:val="none"/>
              </w:rPr>
              <w:t>，现状监测时间为20</w:t>
            </w:r>
            <w:r>
              <w:rPr>
                <w:rFonts w:hint="default" w:ascii="Times New Roman" w:hAnsi="Times New Roman" w:eastAsia="宋体" w:cs="Times New Roman"/>
                <w:caps w:val="0"/>
                <w:smallCaps w:val="0"/>
                <w:color w:val="auto"/>
                <w:sz w:val="24"/>
                <w:highlight w:val="none"/>
                <w:lang w:val="en-US" w:eastAsia="zh-CN"/>
              </w:rPr>
              <w:t>23</w:t>
            </w:r>
            <w:r>
              <w:rPr>
                <w:rFonts w:hint="default" w:ascii="Times New Roman" w:hAnsi="Times New Roman" w:eastAsia="宋体" w:cs="Times New Roman"/>
                <w:caps w:val="0"/>
                <w:smallCaps w:val="0"/>
                <w:color w:val="auto"/>
                <w:sz w:val="24"/>
                <w:highlight w:val="none"/>
              </w:rPr>
              <w:t>年</w:t>
            </w:r>
            <w:r>
              <w:rPr>
                <w:rFonts w:hint="default" w:ascii="Times New Roman" w:hAnsi="Times New Roman" w:eastAsia="宋体" w:cs="Times New Roman"/>
                <w:caps w:val="0"/>
                <w:smallCaps w:val="0"/>
                <w:color w:val="auto"/>
                <w:sz w:val="24"/>
                <w:highlight w:val="none"/>
                <w:lang w:val="en-US" w:eastAsia="zh-CN"/>
              </w:rPr>
              <w:t>8</w:t>
            </w:r>
            <w:r>
              <w:rPr>
                <w:rFonts w:hint="default" w:ascii="Times New Roman" w:hAnsi="Times New Roman" w:eastAsia="宋体" w:cs="Times New Roman"/>
                <w:caps w:val="0"/>
                <w:smallCaps w:val="0"/>
                <w:color w:val="auto"/>
                <w:sz w:val="24"/>
                <w:highlight w:val="none"/>
              </w:rPr>
              <w:t>月</w:t>
            </w:r>
            <w:r>
              <w:rPr>
                <w:rFonts w:hint="default" w:ascii="Times New Roman" w:hAnsi="Times New Roman" w:eastAsia="宋体" w:cs="Times New Roman"/>
                <w:caps w:val="0"/>
                <w:smallCaps w:val="0"/>
                <w:color w:val="auto"/>
                <w:sz w:val="24"/>
                <w:highlight w:val="none"/>
                <w:lang w:val="en-US" w:eastAsia="zh-CN"/>
              </w:rPr>
              <w:t>3</w:t>
            </w:r>
            <w:r>
              <w:rPr>
                <w:rFonts w:hint="default" w:ascii="Times New Roman" w:hAnsi="Times New Roman" w:eastAsia="宋体" w:cs="Times New Roman"/>
                <w:caps w:val="0"/>
                <w:smallCaps w:val="0"/>
                <w:color w:val="auto"/>
                <w:sz w:val="24"/>
                <w:highlight w:val="none"/>
              </w:rPr>
              <w:t>日</w:t>
            </w:r>
            <w:r>
              <w:rPr>
                <w:rFonts w:hint="default" w:ascii="Times New Roman" w:hAnsi="Times New Roman" w:cs="Times New Roman"/>
                <w:color w:val="000000"/>
                <w:sz w:val="24"/>
                <w:lang w:eastAsia="zh-CN"/>
              </w:rPr>
              <w:t>，河沟村位于本项目东南</w:t>
            </w:r>
            <w:r>
              <w:rPr>
                <w:rFonts w:hint="default" w:ascii="Times New Roman" w:hAnsi="Times New Roman" w:cs="Times New Roman"/>
                <w:color w:val="000000"/>
                <w:sz w:val="24"/>
                <w:lang w:val="en-US" w:eastAsia="zh-CN"/>
              </w:rPr>
              <w:t>1500m处，引用有效，</w:t>
            </w:r>
            <w:r>
              <w:rPr>
                <w:rFonts w:hint="default" w:ascii="Times New Roman" w:hAnsi="Times New Roman" w:cs="Times New Roman"/>
                <w:color w:val="000000"/>
                <w:sz w:val="24"/>
                <w:lang w:eastAsia="zh-CN"/>
              </w:rPr>
              <w:t>由监测评价结果可知，各项监测因子</w:t>
            </w:r>
            <w:r>
              <w:rPr>
                <w:rFonts w:hint="default" w:ascii="Times New Roman" w:hAnsi="Times New Roman" w:cs="Times New Roman"/>
                <w:color w:val="000000"/>
                <w:sz w:val="24"/>
                <w:lang w:val="en-US" w:eastAsia="zh-CN"/>
              </w:rPr>
              <w:t>监测浓度</w:t>
            </w:r>
            <w:r>
              <w:rPr>
                <w:rFonts w:hint="default" w:ascii="Times New Roman" w:hAnsi="Times New Roman" w:cs="Times New Roman"/>
                <w:color w:val="000000"/>
                <w:sz w:val="24"/>
                <w:lang w:eastAsia="zh-CN"/>
              </w:rPr>
              <w:t>均满足《地下水质量标准》（GB/T14848-2017）III类标准要求，</w:t>
            </w:r>
            <w:r>
              <w:rPr>
                <w:rFonts w:hint="default" w:ascii="Times New Roman" w:hAnsi="Times New Roman" w:cs="Times New Roman"/>
                <w:color w:val="000000"/>
                <w:sz w:val="24"/>
                <w:lang w:val="en-US" w:eastAsia="zh-CN"/>
              </w:rPr>
              <w:t>石油类满足《地表水环境质量标准》（GB3838-2002），</w:t>
            </w:r>
            <w:r>
              <w:rPr>
                <w:rFonts w:hint="default" w:ascii="Times New Roman" w:hAnsi="Times New Roman" w:cs="Times New Roman"/>
                <w:color w:val="000000"/>
                <w:sz w:val="24"/>
                <w:lang w:eastAsia="zh-CN"/>
              </w:rPr>
              <w:t>地下水环境质量良好。</w:t>
            </w:r>
          </w:p>
          <w:p w14:paraId="75A17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color w:val="auto"/>
                <w:sz w:val="24"/>
                <w:lang w:val="en-US" w:eastAsia="zh-CN"/>
              </w:rPr>
            </w:pPr>
            <w:r>
              <w:rPr>
                <w:rFonts w:hint="default" w:ascii="Times New Roman" w:hAnsi="Times New Roman" w:cs="Times New Roman"/>
                <w:color w:val="auto"/>
                <w:sz w:val="24"/>
                <w:lang w:val="en-US" w:eastAsia="zh-CN"/>
              </w:rPr>
              <w:t>在落实各项防渗措施后，各污染物不会通过垂直入渗、地面径流、大气沉降等途径污染土壤，进而污染地下水。因此本项目无</w:t>
            </w:r>
            <w:r>
              <w:rPr>
                <w:rFonts w:hint="default" w:ascii="Times New Roman" w:hAnsi="Times New Roman" w:cs="Times New Roman"/>
                <w:color w:val="auto"/>
                <w:sz w:val="24"/>
                <w:highlight w:val="none"/>
                <w:lang w:val="en-US" w:eastAsia="zh-CN"/>
              </w:rPr>
              <w:t>需</w:t>
            </w:r>
            <w:r>
              <w:rPr>
                <w:rFonts w:hint="default" w:ascii="Times New Roman" w:hAnsi="Times New Roman" w:cs="Times New Roman"/>
                <w:color w:val="auto"/>
                <w:sz w:val="24"/>
                <w:highlight w:val="none"/>
              </w:rPr>
              <w:t>开展</w:t>
            </w:r>
            <w:r>
              <w:rPr>
                <w:rFonts w:hint="default" w:ascii="Times New Roman" w:hAnsi="Times New Roman" w:cs="Times New Roman"/>
                <w:color w:val="auto"/>
                <w:sz w:val="24"/>
              </w:rPr>
              <w:t>环境质量现状调查</w:t>
            </w:r>
            <w:r>
              <w:rPr>
                <w:rFonts w:hint="default" w:ascii="Times New Roman" w:hAnsi="Times New Roman" w:cs="Times New Roman"/>
                <w:color w:val="auto"/>
                <w:sz w:val="24"/>
                <w:szCs w:val="32"/>
              </w:rPr>
              <w:t>。</w:t>
            </w:r>
          </w:p>
          <w:p w14:paraId="4EF6E521">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cs="Times New Roman"/>
                <w:b/>
                <w:color w:val="auto"/>
                <w:sz w:val="24"/>
              </w:rPr>
            </w:pPr>
            <w:r>
              <w:rPr>
                <w:rFonts w:hint="default" w:ascii="Times New Roman" w:hAnsi="Times New Roman" w:cs="Times New Roman"/>
                <w:b/>
                <w:color w:val="auto"/>
                <w:sz w:val="24"/>
                <w:lang w:val="en-US" w:eastAsia="zh-CN"/>
              </w:rPr>
              <w:t>5</w:t>
            </w:r>
            <w:r>
              <w:rPr>
                <w:rFonts w:hint="default" w:ascii="Times New Roman" w:hAnsi="Times New Roman" w:eastAsia="宋体" w:cs="Times New Roman"/>
                <w:b/>
                <w:color w:val="auto"/>
                <w:sz w:val="24"/>
              </w:rPr>
              <w:t>、生态环境状况</w:t>
            </w:r>
          </w:p>
          <w:p w14:paraId="3D3521DD">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cs="Times New Roman"/>
                <w:color w:val="auto"/>
                <w:sz w:val="24"/>
                <w:lang w:eastAsia="zh-CN"/>
              </w:rPr>
            </w:pPr>
            <w:bookmarkStart w:id="158" w:name="_Hlk125886407"/>
            <w:r>
              <w:rPr>
                <w:rFonts w:hint="default" w:ascii="Times New Roman" w:hAnsi="Times New Roman" w:eastAsia="宋体" w:cs="Times New Roman"/>
                <w:color w:val="auto"/>
                <w:sz w:val="24"/>
              </w:rPr>
              <w:t>评价区域内无自然保护区、文物保护单位、集中式供水水源地和</w:t>
            </w:r>
            <w:r>
              <w:rPr>
                <w:rFonts w:hint="eastAsia" w:cs="Times New Roman"/>
                <w:color w:val="auto"/>
                <w:sz w:val="24"/>
                <w:lang w:eastAsia="zh-CN"/>
              </w:rPr>
              <w:t>珍稀</w:t>
            </w:r>
            <w:r>
              <w:rPr>
                <w:rFonts w:hint="default" w:ascii="Times New Roman" w:hAnsi="Times New Roman" w:eastAsia="宋体" w:cs="Times New Roman"/>
                <w:color w:val="auto"/>
                <w:sz w:val="24"/>
              </w:rPr>
              <w:t>濒危野生动植物等敏感目标。</w:t>
            </w:r>
            <w:bookmarkEnd w:id="158"/>
            <w:r>
              <w:rPr>
                <w:rFonts w:hint="default" w:ascii="Times New Roman" w:hAnsi="Times New Roman" w:eastAsia="宋体" w:cs="Times New Roman"/>
                <w:color w:val="auto"/>
                <w:sz w:val="24"/>
              </w:rPr>
              <w:t>无需进行生态现状调查</w:t>
            </w:r>
            <w:r>
              <w:rPr>
                <w:rFonts w:hint="default" w:ascii="Times New Roman" w:hAnsi="Times New Roman" w:cs="Times New Roman"/>
                <w:color w:val="auto"/>
                <w:sz w:val="24"/>
                <w:lang w:eastAsia="zh-CN"/>
              </w:rPr>
              <w:t>。</w:t>
            </w:r>
          </w:p>
          <w:p w14:paraId="54B28464">
            <w:pPr>
              <w:keepNext w:val="0"/>
              <w:keepLines w:val="0"/>
              <w:suppressLineNumbers w:val="0"/>
              <w:adjustRightInd w:val="0"/>
              <w:snapToGrid w:val="0"/>
              <w:spacing w:before="0" w:beforeAutospacing="0" w:after="0" w:afterAutospacing="0" w:line="480" w:lineRule="exact"/>
              <w:ind w:left="0" w:right="0" w:firstLine="482" w:firstLineChars="200"/>
              <w:rPr>
                <w:rFonts w:hint="default" w:ascii="Times New Roman" w:hAnsi="Times New Roman" w:eastAsia="宋体" w:cs="Times New Roman"/>
                <w:b/>
                <w:bCs/>
                <w:color w:val="auto"/>
                <w:sz w:val="24"/>
              </w:rPr>
            </w:pPr>
            <w:r>
              <w:rPr>
                <w:rFonts w:hint="default" w:ascii="Times New Roman" w:hAnsi="Times New Roman" w:cs="Times New Roman"/>
                <w:b/>
                <w:bCs/>
                <w:color w:val="auto"/>
                <w:sz w:val="24"/>
                <w:lang w:val="en-US" w:eastAsia="zh-CN"/>
              </w:rPr>
              <w:t>6</w:t>
            </w:r>
            <w:r>
              <w:rPr>
                <w:rFonts w:hint="default" w:ascii="Times New Roman" w:hAnsi="Times New Roman" w:eastAsia="宋体" w:cs="Times New Roman"/>
                <w:b/>
                <w:bCs/>
                <w:color w:val="auto"/>
                <w:sz w:val="24"/>
              </w:rPr>
              <w:t>、电磁辐射</w:t>
            </w:r>
          </w:p>
          <w:p w14:paraId="05E090C0">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cs="Times New Roman"/>
                <w:color w:val="auto"/>
                <w:sz w:val="24"/>
                <w:lang w:eastAsia="zh-CN"/>
              </w:rPr>
            </w:pPr>
            <w:r>
              <w:rPr>
                <w:rFonts w:hint="default" w:ascii="Times New Roman" w:hAnsi="Times New Roman" w:eastAsia="宋体" w:cs="Times New Roman"/>
                <w:color w:val="auto"/>
                <w:sz w:val="24"/>
              </w:rPr>
              <w:t>本项目不属于新建或改建、扩建广播电台、差转台、电视塔台、卫星地球上行站、雷达等电磁辐射类项目，不涉及项目电磁辐射现状监测</w:t>
            </w:r>
            <w:r>
              <w:rPr>
                <w:rFonts w:hint="default" w:ascii="Times New Roman" w:hAnsi="Times New Roman" w:cs="Times New Roman"/>
                <w:color w:val="auto"/>
                <w:sz w:val="24"/>
                <w:lang w:eastAsia="zh-CN"/>
              </w:rPr>
              <w:t>。</w:t>
            </w:r>
          </w:p>
          <w:p w14:paraId="4FB1BBC1">
            <w:pPr>
              <w:keepNext w:val="0"/>
              <w:keepLines w:val="0"/>
              <w:suppressLineNumbers w:val="0"/>
              <w:adjustRightInd w:val="0"/>
              <w:snapToGrid w:val="0"/>
              <w:spacing w:before="0" w:beforeAutospacing="0" w:after="0" w:afterAutospacing="0" w:line="480" w:lineRule="exact"/>
              <w:ind w:left="0" w:right="0" w:firstLine="482" w:firstLineChars="200"/>
              <w:rPr>
                <w:rFonts w:hint="eastAsia" w:cs="Times New Roman"/>
                <w:b/>
                <w:bCs/>
                <w:color w:val="auto"/>
                <w:sz w:val="24"/>
                <w:lang w:val="en-US" w:eastAsia="zh-CN"/>
              </w:rPr>
            </w:pPr>
            <w:r>
              <w:rPr>
                <w:rFonts w:hint="eastAsia" w:cs="Times New Roman"/>
                <w:b/>
                <w:bCs/>
                <w:color w:val="auto"/>
                <w:sz w:val="24"/>
                <w:lang w:val="en-US" w:eastAsia="zh-CN"/>
              </w:rPr>
              <w:t>7、土地沙化</w:t>
            </w:r>
          </w:p>
          <w:p w14:paraId="6F24F1FD">
            <w:pPr>
              <w:keepNext w:val="0"/>
              <w:keepLines w:val="0"/>
              <w:suppressLineNumbers w:val="0"/>
              <w:adjustRightInd w:val="0"/>
              <w:snapToGrid w:val="0"/>
              <w:spacing w:before="0" w:beforeAutospacing="0" w:after="0" w:afterAutospacing="0" w:line="480" w:lineRule="exact"/>
              <w:ind w:left="0" w:right="0" w:firstLine="480" w:firstLineChars="200"/>
              <w:rPr>
                <w:rFonts w:hint="default" w:cs="Times New Roman"/>
                <w:color w:val="auto"/>
                <w:sz w:val="24"/>
                <w:lang w:val="en-US" w:eastAsia="zh-CN"/>
              </w:rPr>
            </w:pPr>
            <w:r>
              <w:rPr>
                <w:rFonts w:hint="eastAsia" w:ascii="Times New Roman" w:hAnsi="Times New Roman" w:eastAsia="宋体" w:cs="Times New Roman"/>
                <w:color w:val="auto"/>
                <w:sz w:val="24"/>
                <w:szCs w:val="24"/>
                <w:lang w:eastAsia="zh-CN"/>
              </w:rPr>
              <w:t>本项目位于</w:t>
            </w:r>
            <w:r>
              <w:rPr>
                <w:rFonts w:hint="eastAsia" w:cs="Times New Roman"/>
                <w:color w:val="auto"/>
                <w:sz w:val="24"/>
                <w:szCs w:val="24"/>
                <w:lang w:eastAsia="zh-CN"/>
              </w:rPr>
              <w:t>魏县经济开发区先进装备制造园区</w:t>
            </w:r>
            <w:r>
              <w:rPr>
                <w:rFonts w:hint="eastAsia" w:ascii="Times New Roman" w:hAnsi="Times New Roman" w:eastAsia="宋体" w:cs="Times New Roman"/>
                <w:color w:val="auto"/>
                <w:sz w:val="24"/>
                <w:szCs w:val="24"/>
                <w:lang w:eastAsia="zh-CN"/>
              </w:rPr>
              <w:t>，不涉及</w:t>
            </w:r>
            <w:r>
              <w:rPr>
                <w:rFonts w:hint="eastAsia" w:cs="Times New Roman"/>
                <w:color w:val="auto"/>
                <w:sz w:val="24"/>
                <w:szCs w:val="24"/>
                <w:lang w:eastAsia="zh-CN"/>
              </w:rPr>
              <w:t>土地沙化</w:t>
            </w:r>
            <w:r>
              <w:rPr>
                <w:rFonts w:hint="eastAsia" w:ascii="Times New Roman" w:hAnsi="Times New Roman" w:eastAsia="宋体" w:cs="Times New Roman"/>
                <w:color w:val="auto"/>
                <w:sz w:val="24"/>
                <w:szCs w:val="24"/>
                <w:lang w:eastAsia="zh-CN"/>
              </w:rPr>
              <w:t>。</w:t>
            </w:r>
          </w:p>
          <w:p w14:paraId="6ACF3575">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cs="Times New Roman"/>
                <w:color w:val="auto"/>
                <w:sz w:val="24"/>
                <w:lang w:eastAsia="zh-CN"/>
              </w:rPr>
            </w:pPr>
          </w:p>
          <w:p w14:paraId="4CC015B6">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cs="Times New Roman"/>
                <w:color w:val="auto"/>
                <w:sz w:val="24"/>
                <w:lang w:eastAsia="zh-CN"/>
              </w:rPr>
            </w:pPr>
          </w:p>
          <w:p w14:paraId="2D7A0753">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cs="Times New Roman"/>
                <w:color w:val="auto"/>
                <w:sz w:val="24"/>
                <w:lang w:eastAsia="zh-CN"/>
              </w:rPr>
            </w:pPr>
          </w:p>
          <w:p w14:paraId="4FD9F308">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18F75277">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3CCCEE01">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4A963493">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312E4948">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6297CB55">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3ABA14BE">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3D87A16E">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4F3064F9">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72D11190">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cs="Times New Roman"/>
                <w:color w:val="auto"/>
                <w:kern w:val="0"/>
                <w:szCs w:val="21"/>
                <w:lang w:val="en-US" w:eastAsia="zh-CN"/>
              </w:rPr>
            </w:pPr>
          </w:p>
          <w:p w14:paraId="332C33BD">
            <w:pPr>
              <w:keepNext w:val="0"/>
              <w:keepLines w:val="0"/>
              <w:suppressLineNumbers w:val="0"/>
              <w:adjustRightInd w:val="0"/>
              <w:snapToGrid w:val="0"/>
              <w:spacing w:before="0" w:beforeAutospacing="0" w:after="0" w:afterAutospacing="0" w:line="480" w:lineRule="exact"/>
              <w:ind w:left="0" w:right="0" w:firstLine="420" w:firstLineChars="200"/>
              <w:rPr>
                <w:rFonts w:hint="eastAsia" w:cs="Times New Roman"/>
                <w:color w:val="auto"/>
                <w:kern w:val="0"/>
                <w:szCs w:val="21"/>
                <w:lang w:val="en-US" w:eastAsia="zh-CN"/>
              </w:rPr>
            </w:pPr>
          </w:p>
          <w:p w14:paraId="7AEC8130">
            <w:pPr>
              <w:keepNext w:val="0"/>
              <w:keepLines w:val="0"/>
              <w:suppressLineNumbers w:val="0"/>
              <w:adjustRightInd w:val="0"/>
              <w:snapToGrid w:val="0"/>
              <w:spacing w:before="0" w:beforeAutospacing="0" w:after="0" w:afterAutospacing="0" w:line="480" w:lineRule="exact"/>
              <w:ind w:left="0" w:right="0" w:firstLine="420" w:firstLineChars="200"/>
              <w:rPr>
                <w:rFonts w:hint="eastAsia" w:cs="Times New Roman"/>
                <w:color w:val="auto"/>
                <w:kern w:val="0"/>
                <w:szCs w:val="21"/>
                <w:lang w:val="en-US" w:eastAsia="zh-CN"/>
              </w:rPr>
            </w:pPr>
          </w:p>
          <w:p w14:paraId="0C4021FF">
            <w:pPr>
              <w:keepNext w:val="0"/>
              <w:keepLines w:val="0"/>
              <w:suppressLineNumbers w:val="0"/>
              <w:adjustRightInd w:val="0"/>
              <w:snapToGrid w:val="0"/>
              <w:spacing w:before="0" w:beforeAutospacing="0" w:after="0" w:afterAutospacing="0" w:line="480" w:lineRule="exact"/>
              <w:ind w:left="0" w:right="0" w:firstLine="420" w:firstLineChars="200"/>
              <w:rPr>
                <w:rFonts w:hint="default" w:ascii="Times New Roman" w:hAnsi="Times New Roman" w:eastAsia="宋体" w:cs="Times New Roman"/>
                <w:color w:val="auto"/>
                <w:kern w:val="0"/>
                <w:szCs w:val="21"/>
                <w:lang w:val="en-US" w:eastAsia="zh-CN"/>
              </w:rPr>
            </w:pPr>
          </w:p>
        </w:tc>
      </w:tr>
      <w:tr w14:paraId="46930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52" w:hRule="atLeast"/>
          <w:jc w:val="center"/>
        </w:trPr>
        <w:tc>
          <w:tcPr>
            <w:tcW w:w="162" w:type="pct"/>
            <w:vAlign w:val="center"/>
          </w:tcPr>
          <w:p w14:paraId="6D21255D">
            <w:pPr>
              <w:keepNext w:val="0"/>
              <w:keepLines w:val="0"/>
              <w:pageBreakBefore w:val="0"/>
              <w:widowControl w:val="0"/>
              <w:suppressLineNumbers w:val="0"/>
              <w:kinsoku/>
              <w:wordWrap/>
              <w:overflowPunct/>
              <w:topLinePunct w:val="0"/>
              <w:bidi w:val="0"/>
              <w:adjustRightInd/>
              <w:snapToGrid w:val="0"/>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环境</w:t>
            </w:r>
          </w:p>
          <w:p w14:paraId="2C106D14">
            <w:pPr>
              <w:keepNext w:val="0"/>
              <w:keepLines w:val="0"/>
              <w:pageBreakBefore w:val="0"/>
              <w:widowControl w:val="0"/>
              <w:suppressLineNumbers w:val="0"/>
              <w:kinsoku/>
              <w:wordWrap/>
              <w:overflowPunct/>
              <w:topLinePunct w:val="0"/>
              <w:bidi w:val="0"/>
              <w:adjustRightInd/>
              <w:snapToGrid w:val="0"/>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保护</w:t>
            </w:r>
          </w:p>
          <w:p w14:paraId="2C43FF06">
            <w:pPr>
              <w:keepNext w:val="0"/>
              <w:keepLines w:val="0"/>
              <w:pageBreakBefore w:val="0"/>
              <w:widowControl w:val="0"/>
              <w:suppressLineNumbers w:val="0"/>
              <w:kinsoku/>
              <w:wordWrap/>
              <w:overflowPunct/>
              <w:topLinePunct w:val="0"/>
              <w:bidi w:val="0"/>
              <w:adjustRightInd/>
              <w:snapToGrid w:val="0"/>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目标</w:t>
            </w:r>
          </w:p>
        </w:tc>
        <w:tc>
          <w:tcPr>
            <w:tcW w:w="4837" w:type="pct"/>
            <w:vAlign w:val="top"/>
          </w:tcPr>
          <w:p w14:paraId="239EF426">
            <w:pPr>
              <w:pStyle w:val="7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Lines="0" w:afterAutospacing="0" w:line="360" w:lineRule="auto"/>
              <w:ind w:left="0" w:right="0" w:firstLine="480"/>
              <w:jc w:val="both"/>
              <w:textAlignment w:val="auto"/>
              <w:rPr>
                <w:rFonts w:hint="default" w:ascii="Times New Roman" w:hAnsi="Times New Roman" w:eastAsia="宋体" w:cs="Times New Roman"/>
                <w:color w:val="auto"/>
                <w:spacing w:val="0"/>
                <w:sz w:val="24"/>
                <w:szCs w:val="24"/>
              </w:rPr>
            </w:pPr>
            <w:r>
              <w:rPr>
                <w:rFonts w:hint="default" w:ascii="Times New Roman" w:hAnsi="Times New Roman" w:cs="Times New Roman"/>
                <w:color w:val="000000"/>
                <w:sz w:val="24"/>
              </w:rPr>
              <w:t>根据《建设项目环境影响报告表编制技术指南（污染影响类）（试行）》，环境保护目标“1.大气环境。明确厂界外500米范围内的自然保护区、风景名胜区、居住区、文化区和农村地区中人群较集中的区域等保护目标的名称及与建设项目厂界位置关系。”本项目大气环境影响评价范围确定为以厂界500范围内的区域。2.声环境。明确厂界外50米范围内的声环境保护目标。”本项目没有声环境保护目标。项目厂界外500m范围内无地下水集中式饮用水水源和热水、矿泉水、温泉等特殊地下水资源，项目主要环境保护目标及级别见表</w:t>
            </w:r>
            <w:r>
              <w:rPr>
                <w:rFonts w:hint="eastAsia" w:ascii="Times New Roman" w:cs="Times New Roman"/>
                <w:color w:val="000000"/>
                <w:sz w:val="24"/>
                <w:lang w:val="en-US" w:eastAsia="zh-CN"/>
              </w:rPr>
              <w:t>3-4</w:t>
            </w:r>
            <w:r>
              <w:rPr>
                <w:rFonts w:hint="default" w:ascii="Times New Roman" w:hAnsi="Times New Roman" w:eastAsia="宋体" w:cs="Times New Roman"/>
                <w:color w:val="auto"/>
                <w:spacing w:val="0"/>
                <w:sz w:val="24"/>
                <w:szCs w:val="24"/>
              </w:rPr>
              <w:t>。</w:t>
            </w:r>
          </w:p>
          <w:p w14:paraId="79628C40">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b/>
                <w:color w:val="auto"/>
                <w:sz w:val="24"/>
                <w:szCs w:val="24"/>
              </w:rPr>
              <w:t>表3-</w:t>
            </w:r>
            <w:r>
              <w:rPr>
                <w:rFonts w:hint="default" w:ascii="Times New Roman" w:hAnsi="Times New Roman" w:cs="Times New Roman"/>
                <w:b/>
                <w:color w:val="auto"/>
                <w:sz w:val="24"/>
                <w:szCs w:val="24"/>
                <w:lang w:val="en-US" w:eastAsia="zh-CN"/>
              </w:rPr>
              <w:t>4</w:t>
            </w:r>
            <w:r>
              <w:rPr>
                <w:rFonts w:hint="default" w:ascii="Times New Roman" w:hAnsi="Times New Roman" w:eastAsia="宋体" w:cs="Times New Roman"/>
                <w:b/>
                <w:color w:val="auto"/>
                <w:sz w:val="24"/>
                <w:szCs w:val="24"/>
              </w:rPr>
              <w:t xml:space="preserve">  环境保护目标一览表</w:t>
            </w:r>
          </w:p>
          <w:tbl>
            <w:tblPr>
              <w:tblStyle w:val="33"/>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947"/>
              <w:gridCol w:w="1311"/>
              <w:gridCol w:w="1321"/>
              <w:gridCol w:w="497"/>
              <w:gridCol w:w="602"/>
              <w:gridCol w:w="640"/>
              <w:gridCol w:w="2218"/>
            </w:tblGrid>
            <w:tr w14:paraId="7DF8CB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tcBorders>
                    <w:tl2br w:val="nil"/>
                    <w:tr2bl w:val="nil"/>
                  </w:tcBorders>
                  <w:noWrap w:val="0"/>
                  <w:tcMar>
                    <w:left w:w="51" w:type="dxa"/>
                    <w:right w:w="51" w:type="dxa"/>
                  </w:tcMar>
                  <w:vAlign w:val="center"/>
                </w:tcPr>
                <w:p w14:paraId="0829BA47">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环境要素</w:t>
                  </w:r>
                </w:p>
              </w:tc>
              <w:tc>
                <w:tcPr>
                  <w:tcW w:w="590" w:type="pct"/>
                  <w:vMerge w:val="restart"/>
                  <w:tcBorders>
                    <w:tl2br w:val="nil"/>
                    <w:tr2bl w:val="nil"/>
                  </w:tcBorders>
                  <w:noWrap w:val="0"/>
                  <w:tcMar>
                    <w:left w:w="51" w:type="dxa"/>
                    <w:right w:w="51" w:type="dxa"/>
                  </w:tcMar>
                  <w:vAlign w:val="center"/>
                </w:tcPr>
                <w:p w14:paraId="1C84458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w:t>
                  </w:r>
                </w:p>
                <w:p w14:paraId="1E77A53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目标</w:t>
                  </w:r>
                </w:p>
              </w:tc>
              <w:tc>
                <w:tcPr>
                  <w:tcW w:w="1640" w:type="pct"/>
                  <w:gridSpan w:val="2"/>
                  <w:tcBorders>
                    <w:tl2br w:val="nil"/>
                    <w:tr2bl w:val="nil"/>
                  </w:tcBorders>
                  <w:noWrap w:val="0"/>
                  <w:tcMar>
                    <w:left w:w="51" w:type="dxa"/>
                    <w:right w:w="51" w:type="dxa"/>
                  </w:tcMar>
                  <w:vAlign w:val="center"/>
                </w:tcPr>
                <w:p w14:paraId="333B0D57">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坐标/°</w:t>
                  </w:r>
                </w:p>
              </w:tc>
              <w:tc>
                <w:tcPr>
                  <w:tcW w:w="310" w:type="pct"/>
                  <w:vMerge w:val="restart"/>
                  <w:tcBorders>
                    <w:tl2br w:val="nil"/>
                    <w:tr2bl w:val="nil"/>
                  </w:tcBorders>
                  <w:noWrap w:val="0"/>
                  <w:tcMar>
                    <w:left w:w="51" w:type="dxa"/>
                    <w:right w:w="51" w:type="dxa"/>
                  </w:tcMar>
                  <w:vAlign w:val="center"/>
                </w:tcPr>
                <w:p w14:paraId="40485DD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方位</w:t>
                  </w:r>
                </w:p>
              </w:tc>
              <w:tc>
                <w:tcPr>
                  <w:tcW w:w="375" w:type="pct"/>
                  <w:vMerge w:val="restart"/>
                  <w:tcBorders>
                    <w:tl2br w:val="nil"/>
                    <w:tr2bl w:val="nil"/>
                  </w:tcBorders>
                  <w:noWrap w:val="0"/>
                  <w:tcMar>
                    <w:left w:w="51" w:type="dxa"/>
                    <w:right w:w="51" w:type="dxa"/>
                  </w:tcMar>
                  <w:vAlign w:val="center"/>
                </w:tcPr>
                <w:p w14:paraId="6BC66A5A">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距离m</w:t>
                  </w:r>
                </w:p>
              </w:tc>
              <w:tc>
                <w:tcPr>
                  <w:tcW w:w="398" w:type="pct"/>
                  <w:vMerge w:val="restart"/>
                  <w:tcBorders>
                    <w:tl2br w:val="nil"/>
                    <w:tr2bl w:val="nil"/>
                  </w:tcBorders>
                  <w:noWrap w:val="0"/>
                  <w:vAlign w:val="center"/>
                </w:tcPr>
                <w:p w14:paraId="6DD02C2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w:t>
                  </w:r>
                </w:p>
                <w:p w14:paraId="29DC12E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内容</w:t>
                  </w:r>
                </w:p>
              </w:tc>
              <w:tc>
                <w:tcPr>
                  <w:tcW w:w="1382" w:type="pct"/>
                  <w:vMerge w:val="restart"/>
                  <w:tcBorders>
                    <w:tl2br w:val="nil"/>
                    <w:tr2bl w:val="nil"/>
                  </w:tcBorders>
                  <w:noWrap w:val="0"/>
                  <w:tcMar>
                    <w:left w:w="51" w:type="dxa"/>
                    <w:right w:w="51" w:type="dxa"/>
                  </w:tcMar>
                  <w:vAlign w:val="center"/>
                </w:tcPr>
                <w:p w14:paraId="0BEF1162">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保护级别</w:t>
                  </w:r>
                </w:p>
              </w:tc>
            </w:tr>
            <w:tr w14:paraId="58C101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tcBorders>
                    <w:tl2br w:val="nil"/>
                    <w:tr2bl w:val="nil"/>
                  </w:tcBorders>
                  <w:noWrap w:val="0"/>
                  <w:tcMar>
                    <w:left w:w="51" w:type="dxa"/>
                    <w:right w:w="51" w:type="dxa"/>
                  </w:tcMar>
                  <w:vAlign w:val="center"/>
                </w:tcPr>
                <w:p w14:paraId="298A3FDF">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rPr>
                  </w:pPr>
                </w:p>
              </w:tc>
              <w:tc>
                <w:tcPr>
                  <w:tcW w:w="590" w:type="pct"/>
                  <w:vMerge w:val="continue"/>
                  <w:tcBorders>
                    <w:tl2br w:val="nil"/>
                    <w:tr2bl w:val="nil"/>
                  </w:tcBorders>
                  <w:noWrap w:val="0"/>
                  <w:tcMar>
                    <w:left w:w="51" w:type="dxa"/>
                    <w:right w:w="51" w:type="dxa"/>
                  </w:tcMar>
                  <w:vAlign w:val="center"/>
                </w:tcPr>
                <w:p w14:paraId="466B66FD">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rPr>
                  </w:pPr>
                </w:p>
              </w:tc>
              <w:tc>
                <w:tcPr>
                  <w:tcW w:w="817" w:type="pct"/>
                  <w:tcBorders>
                    <w:tl2br w:val="nil"/>
                    <w:tr2bl w:val="nil"/>
                  </w:tcBorders>
                  <w:noWrap w:val="0"/>
                  <w:tcMar>
                    <w:left w:w="51" w:type="dxa"/>
                    <w:right w:w="51" w:type="dxa"/>
                  </w:tcMar>
                  <w:vAlign w:val="center"/>
                </w:tcPr>
                <w:p w14:paraId="6D609D3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经度</w:t>
                  </w:r>
                </w:p>
              </w:tc>
              <w:tc>
                <w:tcPr>
                  <w:tcW w:w="823" w:type="pct"/>
                  <w:tcBorders>
                    <w:tl2br w:val="nil"/>
                    <w:tr2bl w:val="nil"/>
                  </w:tcBorders>
                  <w:noWrap w:val="0"/>
                  <w:tcMar>
                    <w:left w:w="51" w:type="dxa"/>
                    <w:right w:w="51" w:type="dxa"/>
                  </w:tcMar>
                  <w:vAlign w:val="center"/>
                </w:tcPr>
                <w:p w14:paraId="1FE2CA3A">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纬度</w:t>
                  </w:r>
                </w:p>
              </w:tc>
              <w:tc>
                <w:tcPr>
                  <w:tcW w:w="310" w:type="pct"/>
                  <w:vMerge w:val="continue"/>
                  <w:tcBorders>
                    <w:tl2br w:val="nil"/>
                    <w:tr2bl w:val="nil"/>
                  </w:tcBorders>
                  <w:noWrap w:val="0"/>
                  <w:tcMar>
                    <w:left w:w="51" w:type="dxa"/>
                    <w:right w:w="51" w:type="dxa"/>
                  </w:tcMar>
                  <w:vAlign w:val="center"/>
                </w:tcPr>
                <w:p w14:paraId="6C1708E6">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rPr>
                  </w:pPr>
                </w:p>
              </w:tc>
              <w:tc>
                <w:tcPr>
                  <w:tcW w:w="375" w:type="pct"/>
                  <w:vMerge w:val="continue"/>
                  <w:tcBorders>
                    <w:tl2br w:val="nil"/>
                    <w:tr2bl w:val="nil"/>
                  </w:tcBorders>
                  <w:noWrap w:val="0"/>
                  <w:tcMar>
                    <w:left w:w="51" w:type="dxa"/>
                    <w:right w:w="51" w:type="dxa"/>
                  </w:tcMar>
                  <w:vAlign w:val="center"/>
                </w:tcPr>
                <w:p w14:paraId="1B27C8AF">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rPr>
                  </w:pPr>
                </w:p>
              </w:tc>
              <w:tc>
                <w:tcPr>
                  <w:tcW w:w="398" w:type="pct"/>
                  <w:vMerge w:val="continue"/>
                  <w:tcBorders>
                    <w:tl2br w:val="nil"/>
                    <w:tr2bl w:val="nil"/>
                  </w:tcBorders>
                  <w:noWrap w:val="0"/>
                  <w:vAlign w:val="center"/>
                </w:tcPr>
                <w:p w14:paraId="2C6AC1B9">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rPr>
                  </w:pPr>
                </w:p>
              </w:tc>
              <w:tc>
                <w:tcPr>
                  <w:tcW w:w="1382" w:type="pct"/>
                  <w:vMerge w:val="continue"/>
                  <w:tcBorders>
                    <w:tl2br w:val="nil"/>
                    <w:tr2bl w:val="nil"/>
                  </w:tcBorders>
                  <w:noWrap w:val="0"/>
                  <w:tcMar>
                    <w:left w:w="51" w:type="dxa"/>
                    <w:right w:w="51" w:type="dxa"/>
                  </w:tcMar>
                  <w:vAlign w:val="center"/>
                </w:tcPr>
                <w:p w14:paraId="764B6E8F">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rPr>
                  </w:pPr>
                </w:p>
              </w:tc>
            </w:tr>
            <w:tr w14:paraId="1327E6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03" w:type="pct"/>
                  <w:vMerge w:val="restart"/>
                  <w:tcBorders>
                    <w:tl2br w:val="nil"/>
                    <w:tr2bl w:val="nil"/>
                  </w:tcBorders>
                  <w:noWrap w:val="0"/>
                  <w:tcMar>
                    <w:left w:w="51" w:type="dxa"/>
                    <w:right w:w="51" w:type="dxa"/>
                  </w:tcMar>
                  <w:vAlign w:val="center"/>
                </w:tcPr>
                <w:p w14:paraId="301A96E1">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大气环境</w:t>
                  </w:r>
                </w:p>
              </w:tc>
              <w:tc>
                <w:tcPr>
                  <w:tcW w:w="590" w:type="pct"/>
                  <w:tcBorders>
                    <w:tl2br w:val="nil"/>
                    <w:tr2bl w:val="nil"/>
                  </w:tcBorders>
                  <w:noWrap w:val="0"/>
                  <w:tcMar>
                    <w:left w:w="51" w:type="dxa"/>
                    <w:right w:w="51" w:type="dxa"/>
                  </w:tcMar>
                  <w:vAlign w:val="center"/>
                </w:tcPr>
                <w:p w14:paraId="2D9C5F06">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马头村</w:t>
                  </w:r>
                </w:p>
              </w:tc>
              <w:tc>
                <w:tcPr>
                  <w:tcW w:w="817" w:type="pct"/>
                  <w:tcBorders>
                    <w:tl2br w:val="nil"/>
                    <w:tr2bl w:val="nil"/>
                  </w:tcBorders>
                  <w:noWrap w:val="0"/>
                  <w:tcMar>
                    <w:left w:w="51" w:type="dxa"/>
                    <w:right w:w="51" w:type="dxa"/>
                  </w:tcMar>
                  <w:vAlign w:val="center"/>
                </w:tcPr>
                <w:p w14:paraId="02B5C334">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115°0′10.152″</w:t>
                  </w:r>
                </w:p>
              </w:tc>
              <w:tc>
                <w:tcPr>
                  <w:tcW w:w="823" w:type="pct"/>
                  <w:tcBorders>
                    <w:tl2br w:val="nil"/>
                    <w:tr2bl w:val="nil"/>
                  </w:tcBorders>
                  <w:noWrap w:val="0"/>
                  <w:tcMar>
                    <w:left w:w="51" w:type="dxa"/>
                    <w:right w:w="51" w:type="dxa"/>
                  </w:tcMar>
                  <w:vAlign w:val="center"/>
                </w:tcPr>
                <w:p w14:paraId="355026F2">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36°20′47.929″</w:t>
                  </w:r>
                </w:p>
              </w:tc>
              <w:tc>
                <w:tcPr>
                  <w:tcW w:w="310" w:type="pct"/>
                  <w:tcBorders>
                    <w:tl2br w:val="nil"/>
                    <w:tr2bl w:val="nil"/>
                  </w:tcBorders>
                  <w:noWrap w:val="0"/>
                  <w:tcMar>
                    <w:left w:w="51" w:type="dxa"/>
                    <w:right w:w="51" w:type="dxa"/>
                  </w:tcMar>
                  <w:vAlign w:val="center"/>
                </w:tcPr>
                <w:p w14:paraId="5D48D0ED">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NE</w:t>
                  </w:r>
                </w:p>
              </w:tc>
              <w:tc>
                <w:tcPr>
                  <w:tcW w:w="375" w:type="pct"/>
                  <w:tcBorders>
                    <w:tl2br w:val="nil"/>
                    <w:tr2bl w:val="nil"/>
                  </w:tcBorders>
                  <w:noWrap w:val="0"/>
                  <w:tcMar>
                    <w:left w:w="51" w:type="dxa"/>
                    <w:right w:w="51" w:type="dxa"/>
                  </w:tcMar>
                  <w:vAlign w:val="center"/>
                </w:tcPr>
                <w:p w14:paraId="6644EE27">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w:t>
                  </w:r>
                </w:p>
              </w:tc>
              <w:tc>
                <w:tcPr>
                  <w:tcW w:w="398" w:type="pct"/>
                  <w:tcBorders>
                    <w:tl2br w:val="nil"/>
                    <w:tr2bl w:val="nil"/>
                  </w:tcBorders>
                  <w:noWrap w:val="0"/>
                  <w:tcMar>
                    <w:left w:w="51" w:type="dxa"/>
                    <w:right w:w="51" w:type="dxa"/>
                  </w:tcMar>
                  <w:vAlign w:val="center"/>
                </w:tcPr>
                <w:p w14:paraId="7887F950">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居民</w:t>
                  </w:r>
                </w:p>
              </w:tc>
              <w:tc>
                <w:tcPr>
                  <w:tcW w:w="1382" w:type="pct"/>
                  <w:vMerge w:val="restart"/>
                  <w:tcBorders>
                    <w:tl2br w:val="nil"/>
                    <w:tr2bl w:val="nil"/>
                  </w:tcBorders>
                  <w:noWrap w:val="0"/>
                  <w:tcMar>
                    <w:left w:w="51" w:type="dxa"/>
                    <w:right w:w="51" w:type="dxa"/>
                  </w:tcMar>
                  <w:vAlign w:val="center"/>
                </w:tcPr>
                <w:p w14:paraId="1CCF6F1A">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《环境空气质量标准》（GB3095-2012）二级标准及其修改单要</w:t>
                  </w:r>
                </w:p>
              </w:tc>
            </w:tr>
            <w:tr w14:paraId="07B4FE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3" w:type="pct"/>
                  <w:vMerge w:val="continue"/>
                  <w:tcBorders>
                    <w:tl2br w:val="nil"/>
                    <w:tr2bl w:val="nil"/>
                  </w:tcBorders>
                  <w:noWrap w:val="0"/>
                  <w:tcMar>
                    <w:left w:w="51" w:type="dxa"/>
                    <w:right w:w="51" w:type="dxa"/>
                  </w:tcMar>
                  <w:vAlign w:val="center"/>
                </w:tcPr>
                <w:p w14:paraId="40458BC0">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590" w:type="pct"/>
                  <w:tcBorders>
                    <w:tl2br w:val="nil"/>
                    <w:tr2bl w:val="nil"/>
                  </w:tcBorders>
                  <w:noWrap w:val="0"/>
                  <w:tcMar>
                    <w:left w:w="51" w:type="dxa"/>
                    <w:right w:w="51" w:type="dxa"/>
                  </w:tcMar>
                  <w:vAlign w:val="center"/>
                </w:tcPr>
                <w:p w14:paraId="34873184">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六十町村</w:t>
                  </w:r>
                </w:p>
              </w:tc>
              <w:tc>
                <w:tcPr>
                  <w:tcW w:w="817" w:type="pct"/>
                  <w:tcBorders>
                    <w:tl2br w:val="nil"/>
                    <w:tr2bl w:val="nil"/>
                  </w:tcBorders>
                  <w:noWrap w:val="0"/>
                  <w:tcMar>
                    <w:left w:w="51" w:type="dxa"/>
                    <w:right w:w="51" w:type="dxa"/>
                  </w:tcMar>
                  <w:vAlign w:val="center"/>
                </w:tcPr>
                <w:p w14:paraId="694AAD48">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115°0′13.783″</w:t>
                  </w:r>
                </w:p>
              </w:tc>
              <w:tc>
                <w:tcPr>
                  <w:tcW w:w="823" w:type="pct"/>
                  <w:tcBorders>
                    <w:tl2br w:val="nil"/>
                    <w:tr2bl w:val="nil"/>
                  </w:tcBorders>
                  <w:noWrap w:val="0"/>
                  <w:tcMar>
                    <w:left w:w="51" w:type="dxa"/>
                    <w:right w:w="51" w:type="dxa"/>
                  </w:tcMar>
                  <w:vAlign w:val="center"/>
                </w:tcPr>
                <w:p w14:paraId="281B5371">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36°20′35.95</w:t>
                  </w:r>
                  <w:r>
                    <w:rPr>
                      <w:rFonts w:hint="eastAsia" w:cs="Times New Roman"/>
                      <w:color w:val="auto"/>
                      <w:sz w:val="21"/>
                      <w:szCs w:val="21"/>
                      <w:lang w:val="en-US" w:eastAsia="zh-CN"/>
                    </w:rPr>
                    <w:t>6</w:t>
                  </w:r>
                  <w:r>
                    <w:rPr>
                      <w:rFonts w:hint="default" w:ascii="Times New Roman" w:hAnsi="Times New Roman" w:eastAsia="宋体" w:cs="Times New Roman"/>
                      <w:color w:val="auto"/>
                      <w:sz w:val="21"/>
                      <w:szCs w:val="21"/>
                      <w:lang w:eastAsia="zh-CN"/>
                    </w:rPr>
                    <w:t>″</w:t>
                  </w:r>
                </w:p>
              </w:tc>
              <w:tc>
                <w:tcPr>
                  <w:tcW w:w="310" w:type="pct"/>
                  <w:tcBorders>
                    <w:tl2br w:val="nil"/>
                    <w:tr2bl w:val="nil"/>
                  </w:tcBorders>
                  <w:noWrap w:val="0"/>
                  <w:tcMar>
                    <w:left w:w="51" w:type="dxa"/>
                    <w:right w:w="51" w:type="dxa"/>
                  </w:tcMar>
                  <w:vAlign w:val="center"/>
                </w:tcPr>
                <w:p w14:paraId="5EA0F5DB">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E</w:t>
                  </w:r>
                </w:p>
              </w:tc>
              <w:tc>
                <w:tcPr>
                  <w:tcW w:w="375" w:type="pct"/>
                  <w:tcBorders>
                    <w:tl2br w:val="nil"/>
                    <w:tr2bl w:val="nil"/>
                  </w:tcBorders>
                  <w:noWrap w:val="0"/>
                  <w:tcMar>
                    <w:left w:w="51" w:type="dxa"/>
                    <w:right w:w="51" w:type="dxa"/>
                  </w:tcMar>
                  <w:vAlign w:val="center"/>
                </w:tcPr>
                <w:p w14:paraId="7F116DA3">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210</w:t>
                  </w:r>
                </w:p>
              </w:tc>
              <w:tc>
                <w:tcPr>
                  <w:tcW w:w="398" w:type="pct"/>
                  <w:tcBorders>
                    <w:tl2br w:val="nil"/>
                    <w:tr2bl w:val="nil"/>
                  </w:tcBorders>
                  <w:noWrap w:val="0"/>
                  <w:tcMar>
                    <w:left w:w="51" w:type="dxa"/>
                    <w:right w:w="51" w:type="dxa"/>
                  </w:tcMar>
                  <w:vAlign w:val="center"/>
                </w:tcPr>
                <w:p w14:paraId="0882CFFB">
                  <w:pPr>
                    <w:keepNext w:val="0"/>
                    <w:keepLines w:val="0"/>
                    <w:suppressLineNumbers w:val="0"/>
                    <w:spacing w:before="0" w:beforeLines="0" w:beforeAutospacing="0" w:after="0" w:afterLines="0" w:afterAutospacing="0"/>
                    <w:ind w:left="0" w:right="0"/>
                    <w:jc w:val="both"/>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居民</w:t>
                  </w:r>
                </w:p>
              </w:tc>
              <w:tc>
                <w:tcPr>
                  <w:tcW w:w="1382" w:type="pct"/>
                  <w:vMerge w:val="continue"/>
                  <w:tcBorders>
                    <w:tl2br w:val="nil"/>
                    <w:tr2bl w:val="nil"/>
                  </w:tcBorders>
                  <w:noWrap w:val="0"/>
                  <w:tcMar>
                    <w:left w:w="51" w:type="dxa"/>
                    <w:right w:w="51" w:type="dxa"/>
                  </w:tcMar>
                  <w:vAlign w:val="center"/>
                </w:tcPr>
                <w:p w14:paraId="17503591">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both"/>
                    <w:textAlignment w:val="auto"/>
                    <w:rPr>
                      <w:rFonts w:hint="default" w:ascii="Times New Roman" w:hAnsi="Times New Roman" w:eastAsia="宋体" w:cs="Times New Roman"/>
                      <w:color w:val="auto"/>
                      <w:sz w:val="21"/>
                      <w:szCs w:val="21"/>
                    </w:rPr>
                  </w:pPr>
                </w:p>
              </w:tc>
            </w:tr>
            <w:tr w14:paraId="11902D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tcBorders>
                    <w:tl2br w:val="nil"/>
                    <w:tr2bl w:val="nil"/>
                  </w:tcBorders>
                  <w:noWrap w:val="0"/>
                  <w:tcMar>
                    <w:left w:w="51" w:type="dxa"/>
                    <w:right w:w="51" w:type="dxa"/>
                  </w:tcMar>
                  <w:vAlign w:val="center"/>
                </w:tcPr>
                <w:p w14:paraId="728A1349">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3314" w:type="pct"/>
                  <w:gridSpan w:val="6"/>
                  <w:tcBorders>
                    <w:tl2br w:val="nil"/>
                    <w:tr2bl w:val="nil"/>
                  </w:tcBorders>
                  <w:noWrap w:val="0"/>
                  <w:tcMar>
                    <w:left w:w="51" w:type="dxa"/>
                    <w:right w:w="51" w:type="dxa"/>
                  </w:tcMar>
                  <w:vAlign w:val="center"/>
                </w:tcPr>
                <w:p w14:paraId="0394EE07">
                  <w:pPr>
                    <w:keepNext w:val="0"/>
                    <w:keepLines w:val="0"/>
                    <w:suppressLineNumbers w:val="0"/>
                    <w:spacing w:before="0" w:beforeAutospacing="0" w:after="0" w:afterAutospacing="0" w:line="300" w:lineRule="exact"/>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cs="Times New Roman"/>
                      <w:color w:val="000000"/>
                    </w:rPr>
                    <w:t>厂界外50m范围内无声环境保护目标</w:t>
                  </w:r>
                </w:p>
              </w:tc>
              <w:tc>
                <w:tcPr>
                  <w:tcW w:w="1382" w:type="pct"/>
                  <w:tcBorders>
                    <w:tl2br w:val="nil"/>
                    <w:tr2bl w:val="nil"/>
                  </w:tcBorders>
                  <w:noWrap w:val="0"/>
                  <w:tcMar>
                    <w:left w:w="51" w:type="dxa"/>
                    <w:right w:w="51" w:type="dxa"/>
                  </w:tcMar>
                  <w:vAlign w:val="center"/>
                </w:tcPr>
                <w:p w14:paraId="5EFF5232">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rPr>
                  </w:pPr>
                  <w:r>
                    <w:rPr>
                      <w:rFonts w:hint="default" w:ascii="Times New Roman" w:hAnsi="Times New Roman" w:cs="Times New Roman"/>
                      <w:color w:val="000000"/>
                    </w:rPr>
                    <w:t>《声环境质量标准》（GB3096-2008）3类标准</w:t>
                  </w:r>
                </w:p>
              </w:tc>
            </w:tr>
            <w:tr w14:paraId="58B97D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tcBorders>
                    <w:tl2br w:val="nil"/>
                    <w:tr2bl w:val="nil"/>
                  </w:tcBorders>
                  <w:noWrap w:val="0"/>
                  <w:tcMar>
                    <w:left w:w="51" w:type="dxa"/>
                    <w:right w:w="51" w:type="dxa"/>
                  </w:tcMar>
                  <w:vAlign w:val="center"/>
                </w:tcPr>
                <w:p w14:paraId="7B9F2EA5">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w:t>
                  </w:r>
                </w:p>
              </w:tc>
              <w:tc>
                <w:tcPr>
                  <w:tcW w:w="3314" w:type="pct"/>
                  <w:gridSpan w:val="6"/>
                  <w:tcBorders>
                    <w:tl2br w:val="nil"/>
                    <w:tr2bl w:val="nil"/>
                  </w:tcBorders>
                  <w:noWrap w:val="0"/>
                  <w:tcMar>
                    <w:left w:w="51" w:type="dxa"/>
                    <w:right w:w="51" w:type="dxa"/>
                  </w:tcMar>
                  <w:vAlign w:val="center"/>
                </w:tcPr>
                <w:p w14:paraId="4C247D60">
                  <w:pPr>
                    <w:keepNext w:val="0"/>
                    <w:keepLines w:val="0"/>
                    <w:suppressLineNumbers w:val="0"/>
                    <w:spacing w:before="0" w:beforeLines="0" w:beforeAutospacing="0" w:after="0" w:afterLines="0" w:afterAutospacing="0"/>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项目范围内无地表水环境保护目标</w:t>
                  </w:r>
                </w:p>
              </w:tc>
              <w:tc>
                <w:tcPr>
                  <w:tcW w:w="1382" w:type="pct"/>
                  <w:tcBorders>
                    <w:tl2br w:val="nil"/>
                    <w:tr2bl w:val="nil"/>
                  </w:tcBorders>
                  <w:noWrap w:val="0"/>
                  <w:tcMar>
                    <w:left w:w="51" w:type="dxa"/>
                    <w:right w:w="51" w:type="dxa"/>
                  </w:tcMar>
                  <w:vAlign w:val="center"/>
                </w:tcPr>
                <w:p w14:paraId="43B8496E">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5B8880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tcBorders>
                    <w:tl2br w:val="nil"/>
                    <w:tr2bl w:val="nil"/>
                  </w:tcBorders>
                  <w:noWrap w:val="0"/>
                  <w:tcMar>
                    <w:left w:w="51" w:type="dxa"/>
                    <w:right w:w="51" w:type="dxa"/>
                  </w:tcMar>
                  <w:vAlign w:val="center"/>
                </w:tcPr>
                <w:p w14:paraId="029312B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地下水</w:t>
                  </w:r>
                </w:p>
              </w:tc>
              <w:tc>
                <w:tcPr>
                  <w:tcW w:w="3314" w:type="pct"/>
                  <w:gridSpan w:val="6"/>
                  <w:tcBorders>
                    <w:tl2br w:val="nil"/>
                    <w:tr2bl w:val="nil"/>
                  </w:tcBorders>
                  <w:noWrap w:val="0"/>
                  <w:tcMar>
                    <w:left w:w="51" w:type="dxa"/>
                    <w:right w:w="51" w:type="dxa"/>
                  </w:tcMar>
                  <w:vAlign w:val="center"/>
                </w:tcPr>
                <w:p w14:paraId="4FACD357">
                  <w:pPr>
                    <w:keepNext w:val="0"/>
                    <w:keepLines w:val="0"/>
                    <w:widowControl/>
                    <w:suppressLineNumbers w:val="0"/>
                    <w:spacing w:before="0" w:beforeLines="0" w:beforeAutospacing="0" w:after="0" w:afterLines="0" w:afterAutospacing="0"/>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厂界外500米范围内无地下水集中式饮用水水源和热水、矿泉水、温泉等特殊地下水资源</w:t>
                  </w:r>
                </w:p>
              </w:tc>
              <w:tc>
                <w:tcPr>
                  <w:tcW w:w="1382" w:type="pct"/>
                  <w:tcBorders>
                    <w:tl2br w:val="nil"/>
                    <w:tr2bl w:val="nil"/>
                  </w:tcBorders>
                  <w:noWrap w:val="0"/>
                  <w:tcMar>
                    <w:left w:w="51" w:type="dxa"/>
                    <w:right w:w="51" w:type="dxa"/>
                  </w:tcMar>
                  <w:vAlign w:val="center"/>
                </w:tcPr>
                <w:p w14:paraId="01A60457">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区域地下水执行</w:t>
                  </w:r>
                  <w:r>
                    <w:rPr>
                      <w:rFonts w:hint="default" w:ascii="Times New Roman" w:hAnsi="Times New Roman" w:eastAsia="宋体" w:cs="Times New Roman"/>
                      <w:color w:val="auto"/>
                      <w:sz w:val="21"/>
                      <w:szCs w:val="21"/>
                    </w:rPr>
                    <w:t>《地下水质量标准》（GB/T14848-2017）</w:t>
                  </w:r>
                  <w:r>
                    <w:rPr>
                      <w:rFonts w:hint="eastAsia" w:cs="Times New Roman"/>
                      <w:color w:val="auto"/>
                      <w:sz w:val="21"/>
                      <w:szCs w:val="21"/>
                      <w:lang w:eastAsia="zh-CN"/>
                    </w:rPr>
                    <w:t>Ⅲ类</w:t>
                  </w:r>
                  <w:r>
                    <w:rPr>
                      <w:rFonts w:hint="default" w:ascii="Times New Roman" w:hAnsi="Times New Roman" w:eastAsia="宋体" w:cs="Times New Roman"/>
                      <w:color w:val="auto"/>
                      <w:sz w:val="21"/>
                      <w:szCs w:val="21"/>
                    </w:rPr>
                    <w:t>标准</w:t>
                  </w:r>
                </w:p>
              </w:tc>
            </w:tr>
            <w:tr w14:paraId="08901C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tcBorders>
                    <w:tl2br w:val="nil"/>
                    <w:tr2bl w:val="nil"/>
                  </w:tcBorders>
                  <w:noWrap w:val="0"/>
                  <w:tcMar>
                    <w:left w:w="51" w:type="dxa"/>
                    <w:right w:w="51" w:type="dxa"/>
                  </w:tcMar>
                  <w:vAlign w:val="center"/>
                </w:tcPr>
                <w:p w14:paraId="51E9DC4B">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生态环境</w:t>
                  </w:r>
                </w:p>
              </w:tc>
              <w:tc>
                <w:tcPr>
                  <w:tcW w:w="3314" w:type="pct"/>
                  <w:gridSpan w:val="6"/>
                  <w:tcBorders>
                    <w:tl2br w:val="nil"/>
                    <w:tr2bl w:val="nil"/>
                  </w:tcBorders>
                  <w:noWrap w:val="0"/>
                  <w:tcMar>
                    <w:left w:w="51" w:type="dxa"/>
                    <w:right w:w="51" w:type="dxa"/>
                  </w:tcMar>
                  <w:vAlign w:val="center"/>
                </w:tcPr>
                <w:p w14:paraId="740DE9A2">
                  <w:pPr>
                    <w:pStyle w:val="52"/>
                    <w:keepNext w:val="0"/>
                    <w:keepLines w:val="0"/>
                    <w:suppressLineNumbers w:val="0"/>
                    <w:adjustRightInd w:val="0"/>
                    <w:spacing w:before="0" w:beforeLines="0" w:beforeAutospacing="0" w:after="0" w:afterLines="0" w:afterAutospacing="0"/>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sz w:val="21"/>
                      <w:szCs w:val="21"/>
                    </w:rPr>
                    <w:t>项目范围内无生态环境保护目标</w:t>
                  </w:r>
                </w:p>
              </w:tc>
              <w:tc>
                <w:tcPr>
                  <w:tcW w:w="1382" w:type="pct"/>
                  <w:tcBorders>
                    <w:tl2br w:val="nil"/>
                    <w:tr2bl w:val="nil"/>
                  </w:tcBorders>
                  <w:noWrap w:val="0"/>
                  <w:tcMar>
                    <w:left w:w="51" w:type="dxa"/>
                    <w:right w:w="51" w:type="dxa"/>
                  </w:tcMar>
                  <w:vAlign w:val="center"/>
                </w:tcPr>
                <w:p w14:paraId="53FEF387">
                  <w:pPr>
                    <w:pStyle w:val="52"/>
                    <w:keepNext w:val="0"/>
                    <w:keepLines w:val="0"/>
                    <w:suppressLineNumbers w:val="0"/>
                    <w:adjustRightInd w:val="0"/>
                    <w:spacing w:before="0" w:beforeLines="0" w:beforeAutospacing="0" w:after="0" w:afterLines="0" w:afterAutospacing="0"/>
                    <w:ind w:left="0" w:leftChars="0" w:right="0" w:right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bl>
          <w:p w14:paraId="0B8829D2">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rPr>
            </w:pPr>
          </w:p>
        </w:tc>
      </w:tr>
      <w:tr w14:paraId="08F47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08" w:hRule="atLeast"/>
          <w:jc w:val="center"/>
        </w:trPr>
        <w:tc>
          <w:tcPr>
            <w:tcW w:w="162" w:type="pct"/>
            <w:tcMar>
              <w:left w:w="28" w:type="dxa"/>
              <w:right w:w="28" w:type="dxa"/>
            </w:tcMar>
            <w:vAlign w:val="center"/>
          </w:tcPr>
          <w:p w14:paraId="62DB24E2">
            <w:pPr>
              <w:keepNext w:val="0"/>
              <w:keepLines w:val="0"/>
              <w:pageBreakBefore w:val="0"/>
              <w:widowControl w:val="0"/>
              <w:suppressLineNumbers w:val="0"/>
              <w:kinsoku/>
              <w:wordWrap/>
              <w:overflowPunct/>
              <w:topLinePunct w:val="0"/>
              <w:bidi w:val="0"/>
              <w:adjustRightInd/>
              <w:snapToGrid w:val="0"/>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污染物排放控制标准</w:t>
            </w:r>
          </w:p>
        </w:tc>
        <w:tc>
          <w:tcPr>
            <w:tcW w:w="4837" w:type="pct"/>
            <w:vAlign w:val="center"/>
          </w:tcPr>
          <w:p w14:paraId="3C0FDB3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60" w:lineRule="exact"/>
              <w:ind w:left="0" w:right="0" w:firstLine="482" w:firstLineChars="200"/>
              <w:jc w:val="left"/>
              <w:textAlignment w:val="auto"/>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1、施工期</w:t>
            </w:r>
          </w:p>
          <w:p w14:paraId="09EA9B3A">
            <w:pPr>
              <w:pStyle w:val="98"/>
              <w:keepNext w:val="0"/>
              <w:keepLines w:val="0"/>
              <w:pageBreakBefore w:val="0"/>
              <w:widowControl w:val="0"/>
              <w:suppressLineNumbers w:val="0"/>
              <w:kinsoku/>
              <w:wordWrap/>
              <w:overflowPunct/>
              <w:topLinePunct w:val="0"/>
              <w:bidi w:val="0"/>
              <w:adjustRightInd w:val="0"/>
              <w:snapToGrid w:val="0"/>
              <w:spacing w:before="0" w:beforeLines="0" w:beforeAutospacing="0" w:after="0" w:afterAutospacing="0" w:line="460" w:lineRule="exact"/>
              <w:ind w:left="0" w:right="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1、</w:t>
            </w:r>
            <w:r>
              <w:rPr>
                <w:rFonts w:hint="default" w:ascii="Times New Roman" w:hAnsi="Times New Roman" w:eastAsia="宋体" w:cs="Times New Roman"/>
                <w:b w:val="0"/>
                <w:bCs w:val="0"/>
                <w:color w:val="auto"/>
                <w:sz w:val="24"/>
                <w:szCs w:val="24"/>
                <w:lang w:eastAsia="zh-CN"/>
              </w:rPr>
              <w:t>废气：</w:t>
            </w:r>
            <w:r>
              <w:rPr>
                <w:rFonts w:hint="default" w:ascii="Times New Roman" w:hAnsi="Times New Roman" w:eastAsia="宋体" w:cs="Times New Roman"/>
                <w:b w:val="0"/>
                <w:bCs w:val="0"/>
                <w:color w:val="auto"/>
                <w:sz w:val="24"/>
                <w:szCs w:val="24"/>
              </w:rPr>
              <w:t>施工期粉（扬）尘排放执行《施工场地扬尘排放标准》（DB13/2934-2019）标准要求。</w:t>
            </w:r>
          </w:p>
          <w:p w14:paraId="12F0AB62">
            <w:pPr>
              <w:pStyle w:val="98"/>
              <w:keepNext w:val="0"/>
              <w:keepLines w:val="0"/>
              <w:pageBreakBefore w:val="0"/>
              <w:widowControl w:val="0"/>
              <w:suppressLineNumbers w:val="0"/>
              <w:kinsoku/>
              <w:wordWrap/>
              <w:overflowPunct/>
              <w:topLinePunct w:val="0"/>
              <w:bidi w:val="0"/>
              <w:adjustRightInd w:val="0"/>
              <w:snapToGrid w:val="0"/>
              <w:spacing w:before="0" w:beforeLines="0" w:beforeAutospacing="0" w:after="0" w:afterAutospacing="0" w:line="460" w:lineRule="exact"/>
              <w:ind w:left="0" w:right="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噪声：建筑施工噪声执行《建筑施工噪声排放标准》（GB 12523-2025）噪声限值。</w:t>
            </w:r>
          </w:p>
          <w:p w14:paraId="6C15A644">
            <w:pPr>
              <w:pStyle w:val="98"/>
              <w:keepNext w:val="0"/>
              <w:keepLines w:val="0"/>
              <w:pageBreakBefore w:val="0"/>
              <w:widowControl w:val="0"/>
              <w:suppressLineNumbers w:val="0"/>
              <w:kinsoku/>
              <w:wordWrap/>
              <w:overflowPunct/>
              <w:topLinePunct w:val="0"/>
              <w:bidi w:val="0"/>
              <w:adjustRightInd w:val="0"/>
              <w:snapToGrid w:val="0"/>
              <w:spacing w:before="0" w:beforeLines="0" w:beforeAutospacing="0" w:after="0" w:afterAutospacing="0" w:line="460" w:lineRule="exact"/>
              <w:ind w:left="0" w:right="0"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、固体废物：一般固体废物执行《一般工业固体废物贮存和填埋污染控制标准》(GB18599-2020)。生活垃圾处理参照</w:t>
            </w:r>
            <w:r>
              <w:rPr>
                <w:rFonts w:hint="default" w:ascii="Times New Roman" w:hAnsi="Times New Roman" w:eastAsia="宋体" w:cs="Times New Roman"/>
                <w:b w:val="0"/>
                <w:bCs w:val="0"/>
                <w:color w:val="000000" w:themeColor="text1"/>
                <w:sz w:val="24"/>
                <w:szCs w:val="24"/>
                <w14:textFill>
                  <w14:solidFill>
                    <w14:schemeClr w14:val="tx1"/>
                  </w14:solidFill>
                </w14:textFill>
              </w:rPr>
              <w:t>执行《中华人民共和国固体废物污染环境防治法》（2020年09月实施）第四章中的相关内容。</w:t>
            </w:r>
          </w:p>
          <w:p w14:paraId="0F0D6F50">
            <w:pPr>
              <w:pStyle w:val="8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60" w:lineRule="exact"/>
              <w:ind w:left="0" w:right="0" w:firstLine="0" w:firstLineChars="0"/>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表3-</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 xml:space="preserve">  施工期污染物排放标准一览表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968"/>
              <w:gridCol w:w="1672"/>
              <w:gridCol w:w="915"/>
              <w:gridCol w:w="3554"/>
            </w:tblGrid>
            <w:tr w14:paraId="3330C8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1" w:type="pct"/>
                  <w:tcBorders>
                    <w:tl2br w:val="nil"/>
                    <w:tr2bl w:val="nil"/>
                  </w:tcBorders>
                  <w:noWrap w:val="0"/>
                  <w:vAlign w:val="center"/>
                </w:tcPr>
                <w:p w14:paraId="25F1616F">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污染源</w:t>
                  </w:r>
                </w:p>
              </w:tc>
              <w:tc>
                <w:tcPr>
                  <w:tcW w:w="603" w:type="pct"/>
                  <w:tcBorders>
                    <w:tl2br w:val="nil"/>
                    <w:tr2bl w:val="nil"/>
                  </w:tcBorders>
                  <w:noWrap w:val="0"/>
                  <w:vAlign w:val="center"/>
                </w:tcPr>
                <w:p w14:paraId="0728C773">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污染物</w:t>
                  </w:r>
                </w:p>
              </w:tc>
              <w:tc>
                <w:tcPr>
                  <w:tcW w:w="1042" w:type="pct"/>
                  <w:tcBorders>
                    <w:tl2br w:val="nil"/>
                    <w:tr2bl w:val="nil"/>
                  </w:tcBorders>
                  <w:noWrap w:val="0"/>
                  <w:vAlign w:val="center"/>
                </w:tcPr>
                <w:p w14:paraId="5243FDEC">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执行标准</w:t>
                  </w:r>
                </w:p>
              </w:tc>
              <w:tc>
                <w:tcPr>
                  <w:tcW w:w="570" w:type="pct"/>
                  <w:tcBorders>
                    <w:tl2br w:val="nil"/>
                    <w:tr2bl w:val="nil"/>
                  </w:tcBorders>
                  <w:noWrap w:val="0"/>
                  <w:vAlign w:val="center"/>
                </w:tcPr>
                <w:p w14:paraId="3D20D581">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达标判定依据</w:t>
                  </w:r>
                </w:p>
              </w:tc>
              <w:tc>
                <w:tcPr>
                  <w:tcW w:w="2212" w:type="pct"/>
                  <w:tcBorders>
                    <w:tl2br w:val="nil"/>
                    <w:tr2bl w:val="nil"/>
                  </w:tcBorders>
                  <w:noWrap w:val="0"/>
                  <w:vAlign w:val="center"/>
                </w:tcPr>
                <w:p w14:paraId="5E669780">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标准来源</w:t>
                  </w:r>
                </w:p>
              </w:tc>
            </w:tr>
            <w:tr w14:paraId="5205E4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1" w:type="pct"/>
                  <w:vMerge w:val="restart"/>
                  <w:tcBorders>
                    <w:tl2br w:val="nil"/>
                    <w:tr2bl w:val="nil"/>
                  </w:tcBorders>
                  <w:noWrap w:val="0"/>
                  <w:vAlign w:val="center"/>
                </w:tcPr>
                <w:p w14:paraId="643FBF5C">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施工期</w:t>
                  </w:r>
                </w:p>
              </w:tc>
              <w:tc>
                <w:tcPr>
                  <w:tcW w:w="603" w:type="pct"/>
                  <w:tcBorders>
                    <w:tl2br w:val="nil"/>
                    <w:tr2bl w:val="nil"/>
                  </w:tcBorders>
                  <w:noWrap w:val="0"/>
                  <w:vAlign w:val="center"/>
                </w:tcPr>
                <w:p w14:paraId="7B82EE3E">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PM</w:t>
                  </w:r>
                  <w:r>
                    <w:rPr>
                      <w:rFonts w:hint="default" w:ascii="Times New Roman" w:hAnsi="Times New Roman" w:cs="Times New Roman"/>
                      <w:color w:val="000000" w:themeColor="text1"/>
                      <w:szCs w:val="21"/>
                      <w:vertAlign w:val="subscript"/>
                      <w14:textFill>
                        <w14:solidFill>
                          <w14:schemeClr w14:val="tx1"/>
                        </w14:solidFill>
                      </w14:textFill>
                    </w:rPr>
                    <w:t>10</w:t>
                  </w:r>
                </w:p>
              </w:tc>
              <w:tc>
                <w:tcPr>
                  <w:tcW w:w="1042" w:type="pct"/>
                  <w:tcBorders>
                    <w:tl2br w:val="nil"/>
                    <w:tr2bl w:val="nil"/>
                  </w:tcBorders>
                  <w:noWrap w:val="0"/>
                  <w:vAlign w:val="center"/>
                </w:tcPr>
                <w:p w14:paraId="6EB7786F">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监测点浓度限值</w:t>
                  </w:r>
                  <w:r>
                    <w:rPr>
                      <w:rFonts w:hint="default" w:ascii="Times New Roman" w:hAnsi="Times New Roman" w:cs="Times New Roman"/>
                      <w:color w:val="000000" w:themeColor="text1"/>
                      <w:szCs w:val="21"/>
                      <w:vertAlign w:val="superscript"/>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≤80μg/m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570" w:type="pct"/>
                  <w:tcBorders>
                    <w:tl2br w:val="nil"/>
                    <w:tr2bl w:val="nil"/>
                  </w:tcBorders>
                  <w:noWrap w:val="0"/>
                  <w:vAlign w:val="center"/>
                </w:tcPr>
                <w:p w14:paraId="6CD5F672">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cr/>
                  </w:r>
                  <w:r>
                    <w:rPr>
                      <w:rFonts w:hint="default" w:ascii="Times New Roman" w:hAnsi="Times New Roman" w:cs="Times New Roman"/>
                      <w:color w:val="000000" w:themeColor="text1"/>
                      <w:szCs w:val="21"/>
                      <w14:textFill>
                        <w14:solidFill>
                          <w14:schemeClr w14:val="tx1"/>
                        </w14:solidFill>
                      </w14:textFill>
                    </w:rPr>
                    <w:t>次/天</w:t>
                  </w:r>
                </w:p>
              </w:tc>
              <w:tc>
                <w:tcPr>
                  <w:tcW w:w="2212" w:type="pct"/>
                  <w:tcBorders>
                    <w:tl2br w:val="nil"/>
                    <w:tr2bl w:val="nil"/>
                  </w:tcBorders>
                  <w:noWrap w:val="0"/>
                  <w:vAlign w:val="center"/>
                </w:tcPr>
                <w:p w14:paraId="1A07A96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105" w:leftChars="-50" w:right="-105" w:rightChars="-5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《施工场地扬尘排放标准》（DB13/2934-2019）中表1扬尘排放浓度限值</w:t>
                  </w:r>
                </w:p>
              </w:tc>
            </w:tr>
            <w:tr w14:paraId="23A7C0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1" w:type="pct"/>
                  <w:vMerge w:val="continue"/>
                  <w:tcBorders>
                    <w:tl2br w:val="nil"/>
                    <w:tr2bl w:val="nil"/>
                  </w:tcBorders>
                  <w:noWrap w:val="0"/>
                  <w:vAlign w:val="center"/>
                </w:tcPr>
                <w:p w14:paraId="6180C144">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603" w:type="pct"/>
                  <w:tcBorders>
                    <w:tl2br w:val="nil"/>
                    <w:tr2bl w:val="nil"/>
                  </w:tcBorders>
                  <w:noWrap w:val="0"/>
                  <w:vAlign w:val="center"/>
                </w:tcPr>
                <w:p w14:paraId="239160CE">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2"/>
                      <w:kern w:val="0"/>
                      <w:szCs w:val="21"/>
                      <w14:textFill>
                        <w14:solidFill>
                          <w14:schemeClr w14:val="tx1"/>
                        </w14:solidFill>
                      </w14:textFill>
                    </w:rPr>
                    <w:t>噪声</w:t>
                  </w:r>
                </w:p>
              </w:tc>
              <w:tc>
                <w:tcPr>
                  <w:tcW w:w="1042" w:type="pct"/>
                  <w:tcBorders>
                    <w:tl2br w:val="nil"/>
                    <w:tr2bl w:val="nil"/>
                  </w:tcBorders>
                  <w:noWrap w:val="0"/>
                  <w:vAlign w:val="center"/>
                </w:tcPr>
                <w:p w14:paraId="66BCBCA0">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昼间≤70dB（A）</w:t>
                  </w:r>
                </w:p>
                <w:p w14:paraId="66404879">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夜间≤55dB（A）</w:t>
                  </w:r>
                </w:p>
              </w:tc>
              <w:tc>
                <w:tcPr>
                  <w:tcW w:w="570" w:type="pct"/>
                  <w:tcBorders>
                    <w:tl2br w:val="nil"/>
                    <w:tr2bl w:val="nil"/>
                  </w:tcBorders>
                  <w:noWrap w:val="0"/>
                  <w:vAlign w:val="center"/>
                </w:tcPr>
                <w:p w14:paraId="2A3DA081">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2212" w:type="pct"/>
                  <w:tcBorders>
                    <w:tl2br w:val="nil"/>
                    <w:tr2bl w:val="nil"/>
                  </w:tcBorders>
                  <w:noWrap w:val="0"/>
                  <w:vAlign w:val="center"/>
                </w:tcPr>
                <w:p w14:paraId="456CCBEF">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both"/>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《建筑施工噪声排放标准》（GB 12523-2025）</w:t>
                  </w:r>
                  <w:r>
                    <w:rPr>
                      <w:rFonts w:hint="eastAsia" w:cs="Times New Roman"/>
                      <w:color w:val="000000" w:themeColor="text1"/>
                      <w:szCs w:val="21"/>
                      <w:lang w:eastAsia="zh-CN"/>
                      <w14:textFill>
                        <w14:solidFill>
                          <w14:schemeClr w14:val="tx1"/>
                        </w14:solidFill>
                      </w14:textFill>
                    </w:rPr>
                    <w:t>表</w:t>
                  </w:r>
                  <w:r>
                    <w:rPr>
                      <w:rFonts w:hint="eastAsia" w:cs="Times New Roman"/>
                      <w:color w:val="000000" w:themeColor="text1"/>
                      <w:szCs w:val="21"/>
                      <w:lang w:val="en-US" w:eastAsia="zh-CN"/>
                      <w14:textFill>
                        <w14:solidFill>
                          <w14:schemeClr w14:val="tx1"/>
                        </w14:solidFill>
                      </w14:textFill>
                    </w:rPr>
                    <w:t>1标准要求</w:t>
                  </w:r>
                </w:p>
              </w:tc>
            </w:tr>
            <w:tr w14:paraId="5E9F83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1" w:type="pct"/>
                  <w:vMerge w:val="continue"/>
                  <w:tcBorders>
                    <w:tl2br w:val="nil"/>
                    <w:tr2bl w:val="nil"/>
                  </w:tcBorders>
                  <w:noWrap w:val="0"/>
                  <w:vAlign w:val="center"/>
                </w:tcPr>
                <w:p w14:paraId="1C974AB5">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603" w:type="pct"/>
                  <w:tcBorders>
                    <w:tl2br w:val="nil"/>
                    <w:tr2bl w:val="nil"/>
                  </w:tcBorders>
                  <w:noWrap w:val="0"/>
                  <w:vAlign w:val="center"/>
                </w:tcPr>
                <w:p w14:paraId="2DA110D0">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pacing w:val="2"/>
                      <w:kern w:val="0"/>
                      <w:szCs w:val="21"/>
                      <w14:textFill>
                        <w14:solidFill>
                          <w14:schemeClr w14:val="tx1"/>
                        </w14:solidFill>
                      </w14:textFill>
                    </w:rPr>
                  </w:pPr>
                  <w:r>
                    <w:rPr>
                      <w:rFonts w:hint="default" w:ascii="Times New Roman" w:hAnsi="Times New Roman" w:cs="Times New Roman"/>
                      <w:color w:val="000000" w:themeColor="text1"/>
                      <w:spacing w:val="2"/>
                      <w:kern w:val="0"/>
                      <w:szCs w:val="21"/>
                      <w14:textFill>
                        <w14:solidFill>
                          <w14:schemeClr w14:val="tx1"/>
                        </w14:solidFill>
                      </w14:textFill>
                    </w:rPr>
                    <w:t>一般固体废物</w:t>
                  </w:r>
                </w:p>
              </w:tc>
              <w:tc>
                <w:tcPr>
                  <w:tcW w:w="1042" w:type="pct"/>
                  <w:tcBorders>
                    <w:tl2br w:val="nil"/>
                    <w:tr2bl w:val="nil"/>
                  </w:tcBorders>
                  <w:noWrap w:val="0"/>
                  <w:vAlign w:val="center"/>
                </w:tcPr>
                <w:p w14:paraId="632514DE">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w:t>
                  </w:r>
                </w:p>
              </w:tc>
              <w:tc>
                <w:tcPr>
                  <w:tcW w:w="570" w:type="pct"/>
                  <w:tcBorders>
                    <w:tl2br w:val="nil"/>
                    <w:tr2bl w:val="nil"/>
                  </w:tcBorders>
                  <w:noWrap w:val="0"/>
                  <w:vAlign w:val="center"/>
                </w:tcPr>
                <w:p w14:paraId="4F59787C">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2212" w:type="pct"/>
                  <w:tcBorders>
                    <w:tl2br w:val="nil"/>
                    <w:tr2bl w:val="nil"/>
                  </w:tcBorders>
                  <w:noWrap w:val="0"/>
                  <w:vAlign w:val="center"/>
                </w:tcPr>
                <w:p w14:paraId="02169532">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pacing w:val="-6"/>
                      <w:sz w:val="21"/>
                      <w:szCs w:val="21"/>
                      <w14:textFill>
                        <w14:solidFill>
                          <w14:schemeClr w14:val="tx1"/>
                        </w14:solidFill>
                      </w14:textFill>
                    </w:rPr>
                    <w:t>《一般工业固体废物贮存和填埋污染控制标准》（GB 18599-2020）标准</w:t>
                  </w:r>
                </w:p>
              </w:tc>
            </w:tr>
            <w:tr w14:paraId="2A881E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1" w:type="pct"/>
                  <w:vMerge w:val="continue"/>
                  <w:tcBorders>
                    <w:tl2br w:val="nil"/>
                    <w:tr2bl w:val="nil"/>
                  </w:tcBorders>
                  <w:noWrap w:val="0"/>
                  <w:vAlign w:val="center"/>
                </w:tcPr>
                <w:p w14:paraId="554287FD">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603" w:type="pct"/>
                  <w:tcBorders>
                    <w:tl2br w:val="nil"/>
                    <w:tr2bl w:val="nil"/>
                  </w:tcBorders>
                  <w:noWrap w:val="0"/>
                  <w:vAlign w:val="center"/>
                </w:tcPr>
                <w:p w14:paraId="25DCF4AF">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eastAsia" w:cs="Times New Roman"/>
                      <w:color w:val="000000" w:themeColor="text1"/>
                      <w:spacing w:val="2"/>
                      <w:kern w:val="0"/>
                      <w:szCs w:val="21"/>
                      <w:lang w:eastAsia="zh-CN"/>
                      <w14:textFill>
                        <w14:solidFill>
                          <w14:schemeClr w14:val="tx1"/>
                        </w14:solidFill>
                      </w14:textFill>
                    </w:rPr>
                  </w:pPr>
                  <w:r>
                    <w:rPr>
                      <w:rFonts w:hint="eastAsia" w:cs="Times New Roman"/>
                      <w:color w:val="000000" w:themeColor="text1"/>
                      <w:spacing w:val="2"/>
                      <w:kern w:val="0"/>
                      <w:szCs w:val="21"/>
                      <w:lang w:eastAsia="zh-CN"/>
                      <w14:textFill>
                        <w14:solidFill>
                          <w14:schemeClr w14:val="tx1"/>
                        </w14:solidFill>
                      </w14:textFill>
                    </w:rPr>
                    <w:t>生活</w:t>
                  </w:r>
                </w:p>
                <w:p w14:paraId="6BE8D4F4">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color w:val="000000" w:themeColor="text1"/>
                      <w:spacing w:val="2"/>
                      <w:kern w:val="0"/>
                      <w:szCs w:val="21"/>
                      <w:lang w:eastAsia="zh-CN"/>
                      <w14:textFill>
                        <w14:solidFill>
                          <w14:schemeClr w14:val="tx1"/>
                        </w14:solidFill>
                      </w14:textFill>
                    </w:rPr>
                  </w:pPr>
                  <w:r>
                    <w:rPr>
                      <w:rFonts w:hint="eastAsia" w:cs="Times New Roman"/>
                      <w:color w:val="000000" w:themeColor="text1"/>
                      <w:spacing w:val="2"/>
                      <w:kern w:val="0"/>
                      <w:szCs w:val="21"/>
                      <w:lang w:eastAsia="zh-CN"/>
                      <w14:textFill>
                        <w14:solidFill>
                          <w14:schemeClr w14:val="tx1"/>
                        </w14:solidFill>
                      </w14:textFill>
                    </w:rPr>
                    <w:t>垃圾</w:t>
                  </w:r>
                </w:p>
              </w:tc>
              <w:tc>
                <w:tcPr>
                  <w:tcW w:w="1042" w:type="pct"/>
                  <w:tcBorders>
                    <w:tl2br w:val="nil"/>
                    <w:tr2bl w:val="nil"/>
                  </w:tcBorders>
                  <w:noWrap w:val="0"/>
                  <w:vAlign w:val="center"/>
                </w:tcPr>
                <w:p w14:paraId="3EC4BAD7">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000000" w:themeColor="text1"/>
                      <w:spacing w:val="2"/>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w:t>
                  </w:r>
                </w:p>
              </w:tc>
              <w:tc>
                <w:tcPr>
                  <w:tcW w:w="570" w:type="pct"/>
                  <w:tcBorders>
                    <w:tl2br w:val="nil"/>
                    <w:tr2bl w:val="nil"/>
                  </w:tcBorders>
                  <w:noWrap w:val="0"/>
                  <w:vAlign w:val="center"/>
                </w:tcPr>
                <w:p w14:paraId="36045188">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2212" w:type="pct"/>
                  <w:tcBorders>
                    <w:tl2br w:val="nil"/>
                    <w:tr2bl w:val="nil"/>
                  </w:tcBorders>
                  <w:noWrap w:val="0"/>
                  <w:vAlign w:val="center"/>
                </w:tcPr>
                <w:p w14:paraId="0785B158">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420" w:firstLineChars="200"/>
                    <w:jc w:val="both"/>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《中华人民共和国固体废物污染环境防治法》（2020年09月实施）第四章中的相关内容</w:t>
                  </w:r>
                </w:p>
              </w:tc>
            </w:tr>
            <w:tr w14:paraId="539D6D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5"/>
                  <w:tcBorders>
                    <w:tl2br w:val="nil"/>
                    <w:tr2bl w:val="nil"/>
                  </w:tcBorders>
                  <w:noWrap w:val="0"/>
                  <w:vAlign w:val="center"/>
                </w:tcPr>
                <w:p w14:paraId="3964DAE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22" w:firstLineChars="20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vertAlign w:val="superscript"/>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指监测点PM</w:t>
                  </w:r>
                  <w:r>
                    <w:rPr>
                      <w:rFonts w:hint="default" w:ascii="Times New Roman" w:hAnsi="Times New Roman" w:eastAsia="宋体" w:cs="Times New Roman"/>
                      <w:color w:val="000000" w:themeColor="text1"/>
                      <w:kern w:val="2"/>
                      <w:sz w:val="21"/>
                      <w:szCs w:val="21"/>
                      <w:vertAlign w:val="subscript"/>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小时平均浓度实测值与同时段所属县（市、区）PM</w:t>
                  </w:r>
                  <w:r>
                    <w:rPr>
                      <w:rFonts w:hint="default" w:ascii="Times New Roman" w:hAnsi="Times New Roman" w:eastAsia="宋体" w:cs="Times New Roman"/>
                      <w:color w:val="000000" w:themeColor="text1"/>
                      <w:kern w:val="2"/>
                      <w:sz w:val="21"/>
                      <w:szCs w:val="21"/>
                      <w:vertAlign w:val="subscript"/>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小时平均浓度的差值。当县（市、区）PM</w:t>
                  </w:r>
                  <w:r>
                    <w:rPr>
                      <w:rFonts w:hint="default" w:ascii="Times New Roman" w:hAnsi="Times New Roman" w:eastAsia="宋体" w:cs="Times New Roman"/>
                      <w:color w:val="000000" w:themeColor="text1"/>
                      <w:kern w:val="2"/>
                      <w:sz w:val="21"/>
                      <w:szCs w:val="21"/>
                      <w:vertAlign w:val="subscript"/>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小时平均浓度值大于150μg/m</w:t>
                  </w:r>
                  <w:r>
                    <w:rPr>
                      <w:rFonts w:hint="default" w:ascii="Times New Roman" w:hAnsi="Times New Roman" w:eastAsia="宋体" w:cs="Times New Roman"/>
                      <w:color w:val="000000" w:themeColor="text1"/>
                      <w:kern w:val="2"/>
                      <w:sz w:val="21"/>
                      <w:szCs w:val="21"/>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时，以150μg/m</w:t>
                  </w:r>
                  <w:r>
                    <w:rPr>
                      <w:rFonts w:hint="default" w:ascii="Times New Roman" w:hAnsi="Times New Roman" w:eastAsia="宋体" w:cs="Times New Roman"/>
                      <w:color w:val="000000" w:themeColor="text1"/>
                      <w:kern w:val="2"/>
                      <w:sz w:val="21"/>
                      <w:szCs w:val="21"/>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计。</w:t>
                  </w:r>
                </w:p>
              </w:tc>
            </w:tr>
          </w:tbl>
          <w:p w14:paraId="7E2ED3D6">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Autospacing="0" w:line="460" w:lineRule="exact"/>
              <w:ind w:left="0" w:right="0" w:firstLine="482" w:firstLineChars="200"/>
              <w:jc w:val="left"/>
              <w:textAlignment w:val="auto"/>
              <w:rPr>
                <w:rFonts w:hint="default" w:ascii="Times New Roman" w:hAnsi="Times New Roman" w:eastAsia="宋体" w:cs="Times New Roman"/>
                <w:b/>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2、运营期</w:t>
            </w:r>
          </w:p>
          <w:p w14:paraId="6A40EFC8">
            <w:pPr>
              <w:pStyle w:val="75"/>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Autospacing="0" w:line="460" w:lineRule="exact"/>
              <w:ind w:left="0" w:right="0" w:firstLine="480"/>
              <w:textAlignment w:val="auto"/>
              <w:rPr>
                <w:rFonts w:hint="default" w:ascii="Times New Roman" w:hAnsi="Times New Roman" w:eastAsia="宋体" w:cs="Times New Roman"/>
                <w:b/>
                <w:bCs/>
                <w:color w:val="000000" w:themeColor="text1"/>
                <w:spacing w:val="0"/>
                <w:sz w:val="24"/>
                <w:szCs w:val="20"/>
                <w14:textFill>
                  <w14:solidFill>
                    <w14:schemeClr w14:val="tx1"/>
                  </w14:solidFill>
                </w14:textFill>
              </w:rPr>
            </w:pPr>
            <w:r>
              <w:rPr>
                <w:rFonts w:hint="default" w:ascii="Times New Roman" w:hAnsi="Times New Roman" w:eastAsia="宋体" w:cs="Times New Roman"/>
                <w:b/>
                <w:bCs/>
                <w:color w:val="000000" w:themeColor="text1"/>
                <w:spacing w:val="0"/>
                <w:sz w:val="24"/>
                <w:szCs w:val="20"/>
                <w14:textFill>
                  <w14:solidFill>
                    <w14:schemeClr w14:val="tx1"/>
                  </w14:solidFill>
                </w14:textFill>
              </w:rPr>
              <w:t>（1）废气</w:t>
            </w:r>
          </w:p>
          <w:p w14:paraId="1EE52B2D">
            <w:pPr>
              <w:pStyle w:val="75"/>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Autospacing="0" w:line="460" w:lineRule="exact"/>
              <w:ind w:left="0" w:right="0" w:firstLine="5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0"/>
                <w14:textFill>
                  <w14:solidFill>
                    <w14:schemeClr w14:val="tx1"/>
                  </w14:solidFill>
                </w14:textFill>
              </w:rPr>
              <w:t>有组织</w:t>
            </w:r>
            <w:r>
              <w:rPr>
                <w:rFonts w:hint="default" w:ascii="Times New Roman" w:hAnsi="Times New Roman" w:eastAsia="宋体" w:cs="Times New Roman"/>
                <w:b/>
                <w:bCs/>
                <w:color w:val="000000" w:themeColor="text1"/>
                <w:sz w:val="24"/>
                <w:szCs w:val="20"/>
                <w:lang w:val="en-US" w:eastAsia="zh-CN"/>
                <w14:textFill>
                  <w14:solidFill>
                    <w14:schemeClr w14:val="tx1"/>
                  </w14:solidFill>
                </w14:textFill>
              </w:rPr>
              <w:t>废气：</w:t>
            </w:r>
            <w:r>
              <w:rPr>
                <w:rFonts w:hint="default" w:ascii="Times New Roman" w:hAnsi="Times New Roman" w:cs="Times New Roman"/>
                <w:color w:val="000000" w:themeColor="text1"/>
                <w:sz w:val="24"/>
                <w:szCs w:val="24"/>
                <w:lang w:val="en-US" w:eastAsia="zh-CN"/>
                <w14:textFill>
                  <w14:solidFill>
                    <w14:schemeClr w14:val="tx1"/>
                  </w14:solidFill>
                </w14:textFill>
              </w:rPr>
              <w:t>本项目面粉投料颗粒物执行《大气污染物综合排放标准》（GB16297－1996）表2标准</w:t>
            </w:r>
            <w:r>
              <w:rPr>
                <w:rFonts w:hint="default" w:ascii="Times New Roman" w:hAnsi="Times New Roman" w:cs="Times New Roman"/>
                <w:color w:val="000000" w:themeColor="text1"/>
                <w:sz w:val="24"/>
                <w:lang w:val="en-US" w:eastAsia="zh-CN"/>
                <w14:textFill>
                  <w14:solidFill>
                    <w14:schemeClr w14:val="tx1"/>
                  </w14:solidFill>
                </w14:textFill>
              </w:rPr>
              <w:t>，烤箱</w:t>
            </w:r>
            <w:r>
              <w:rPr>
                <w:rFonts w:hint="default" w:ascii="Times New Roman" w:hAnsi="Times New Roman" w:cs="Times New Roman"/>
                <w:color w:val="000000" w:themeColor="text1"/>
                <w:sz w:val="24"/>
                <w:szCs w:val="24"/>
                <w:lang w:eastAsia="zh-CN"/>
                <w14:textFill>
                  <w14:solidFill>
                    <w14:schemeClr w14:val="tx1"/>
                  </w14:solidFill>
                </w14:textFill>
              </w:rPr>
              <w:t>天然气燃烧废气</w:t>
            </w:r>
            <w:r>
              <w:rPr>
                <w:rFonts w:hint="default" w:ascii="Times New Roman" w:hAnsi="Times New Roman" w:cs="Times New Roman"/>
                <w:color w:val="000000" w:themeColor="text1"/>
                <w:kern w:val="0"/>
                <w:sz w:val="24"/>
                <w14:textFill>
                  <w14:solidFill>
                    <w14:schemeClr w14:val="tx1"/>
                  </w14:solidFill>
                </w14:textFill>
              </w:rPr>
              <w:t>烟尘、二氧化硫、氮氧化物排放执行</w:t>
            </w:r>
            <w:r>
              <w:rPr>
                <w:rFonts w:hint="default" w:ascii="Times New Roman" w:hAnsi="Times New Roman" w:cs="Times New Roman"/>
                <w:color w:val="000000" w:themeColor="text1"/>
                <w:sz w:val="24"/>
                <w14:textFill>
                  <w14:solidFill>
                    <w14:schemeClr w14:val="tx1"/>
                  </w14:solidFill>
                </w14:textFill>
              </w:rPr>
              <w:t>《工业炉窑大气污染物排放标准》（DB13/1640－2012）表1、表2标准限值要求</w:t>
            </w:r>
            <w:r>
              <w:rPr>
                <w:rFonts w:hint="default" w:ascii="Times New Roman" w:hAnsi="Times New Roman" w:cs="Times New Roman"/>
                <w:color w:val="000000" w:themeColor="text1"/>
                <w:sz w:val="24"/>
                <w:lang w:eastAsia="zh-CN"/>
                <w14:textFill>
                  <w14:solidFill>
                    <w14:schemeClr w14:val="tx1"/>
                  </w14:solidFill>
                </w14:textFill>
              </w:rPr>
              <w:t>同时</w:t>
            </w:r>
            <w:r>
              <w:rPr>
                <w:rFonts w:hint="default" w:ascii="Times New Roman" w:hAnsi="Times New Roman" w:cs="Times New Roman"/>
                <w:color w:val="000000" w:themeColor="text1"/>
                <w:sz w:val="24"/>
                <w:lang w:val="en-US" w:eastAsia="zh-CN"/>
                <w14:textFill>
                  <w14:solidFill>
                    <w14:schemeClr w14:val="tx1"/>
                  </w14:solidFill>
                </w14:textFill>
              </w:rPr>
              <w:t>满足《工业炉窑大气污染综合治理方案》(环大气〔2019〕56号)要求。</w:t>
            </w:r>
            <w:r>
              <w:rPr>
                <w:rFonts w:hint="default" w:ascii="Times New Roman" w:hAnsi="Times New Roman" w:cs="Times New Roman"/>
                <w:color w:val="000000" w:themeColor="text1"/>
                <w:sz w:val="24"/>
                <w:highlight w:val="none"/>
                <w:lang w:val="en-US" w:eastAsia="zh-CN"/>
                <w14:textFill>
                  <w14:solidFill>
                    <w14:schemeClr w14:val="tx1"/>
                  </w14:solidFill>
                </w14:textFill>
              </w:rPr>
              <w:t>卤制、</w:t>
            </w:r>
            <w:r>
              <w:rPr>
                <w:rFonts w:hint="default" w:ascii="Times New Roman" w:hAnsi="Times New Roman" w:cs="Times New Roman"/>
                <w:color w:val="000000" w:themeColor="text1"/>
                <w:sz w:val="24"/>
                <w:highlight w:val="none"/>
                <w:lang w:eastAsia="zh-CN"/>
                <w14:textFill>
                  <w14:solidFill>
                    <w14:schemeClr w14:val="tx1"/>
                  </w14:solidFill>
                </w14:textFill>
              </w:rPr>
              <w:t>污水处理站废气排放执行</w:t>
            </w:r>
            <w:r>
              <w:rPr>
                <w:rFonts w:hint="default" w:ascii="Times New Roman" w:hAnsi="Times New Roman" w:cs="Times New Roman"/>
                <w:color w:val="000000" w:themeColor="text1"/>
                <w:sz w:val="24"/>
                <w:highlight w:val="none"/>
                <w:lang w:val="en-US" w:eastAsia="zh-CN"/>
                <w14:textFill>
                  <w14:solidFill>
                    <w14:schemeClr w14:val="tx1"/>
                  </w14:solidFill>
                </w14:textFill>
              </w:rPr>
              <w:t>《恶臭污染物排放标准》（GB14554-93）表2排放量限值。蒸汽发生器废气排放执行《锅炉大气污染物排放标准》（DB13/ 5161—2020）表1大气污染物排放限值要求。</w:t>
            </w:r>
          </w:p>
          <w:p w14:paraId="54949401">
            <w:pPr>
              <w:pStyle w:val="75"/>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Autospacing="0" w:line="460" w:lineRule="exact"/>
              <w:ind w:left="0" w:right="0" w:firstLine="500"/>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0"/>
                <w14:textFill>
                  <w14:solidFill>
                    <w14:schemeClr w14:val="tx1"/>
                  </w14:solidFill>
                </w14:textFill>
              </w:rPr>
              <w:t>无组织</w:t>
            </w:r>
            <w:r>
              <w:rPr>
                <w:rFonts w:hint="default" w:ascii="Times New Roman" w:hAnsi="Times New Roman" w:eastAsia="宋体" w:cs="Times New Roman"/>
                <w:b/>
                <w:bCs/>
                <w:color w:val="000000" w:themeColor="text1"/>
                <w:sz w:val="24"/>
                <w:szCs w:val="20"/>
                <w:lang w:val="en-US" w:eastAsia="zh-CN"/>
                <w14:textFill>
                  <w14:solidFill>
                    <w14:schemeClr w14:val="tx1"/>
                  </w14:solidFill>
                </w14:textFill>
              </w:rPr>
              <w:t>废气：</w:t>
            </w:r>
            <w:r>
              <w:rPr>
                <w:rFonts w:hint="default" w:ascii="Times New Roman" w:hAnsi="Times New Roman" w:eastAsia="宋体" w:cs="Times New Roman"/>
                <w:b w:val="0"/>
                <w:bCs w:val="0"/>
                <w:color w:val="000000" w:themeColor="text1"/>
                <w:sz w:val="24"/>
                <w:szCs w:val="20"/>
                <w:lang w:val="en-US" w:eastAsia="zh-CN"/>
                <w14:textFill>
                  <w14:solidFill>
                    <w14:schemeClr w14:val="tx1"/>
                  </w14:solidFill>
                </w14:textFill>
              </w:rPr>
              <w:t>厂界无组织颗粒物执行《大气污染物综合排放标准》(GB12697-1996)表2其他颗粒物无组织排放监控浓度限值要求</w:t>
            </w:r>
            <w:r>
              <w:rPr>
                <w:rFonts w:hint="default" w:ascii="Times New Roman" w:hAnsi="Times New Roman" w:cs="Times New Roman"/>
                <w:b w:val="0"/>
                <w:bCs w:val="0"/>
                <w:color w:val="000000" w:themeColor="text1"/>
                <w:sz w:val="24"/>
                <w:szCs w:val="20"/>
                <w:lang w:val="en-US"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污水处理站</w:t>
            </w:r>
            <w:r>
              <w:rPr>
                <w:rFonts w:hint="default" w:ascii="Times New Roman" w:hAnsi="Times New Roman" w:cs="Times New Roman"/>
                <w:color w:val="000000" w:themeColor="text1"/>
                <w:sz w:val="24"/>
                <w:highlight w:val="none"/>
                <w:lang w:eastAsia="zh-CN"/>
                <w14:textFill>
                  <w14:solidFill>
                    <w14:schemeClr w14:val="tx1"/>
                  </w14:solidFill>
                </w14:textFill>
              </w:rPr>
              <w:t>无组织废气执行</w:t>
            </w:r>
            <w:r>
              <w:rPr>
                <w:rFonts w:hint="default" w:ascii="Times New Roman" w:hAnsi="Times New Roman" w:cs="Times New Roman"/>
                <w:color w:val="000000" w:themeColor="text1"/>
                <w:sz w:val="24"/>
                <w:highlight w:val="none"/>
                <w:lang w:val="en-US" w:eastAsia="zh-CN"/>
                <w14:textFill>
                  <w14:solidFill>
                    <w14:schemeClr w14:val="tx1"/>
                  </w14:solidFill>
                </w14:textFill>
              </w:rPr>
              <w:t>《恶臭污染物排放标准》 (GB14554-93)标准表1二级新扩改建标准。</w:t>
            </w:r>
            <w:r>
              <w:rPr>
                <w:rFonts w:hint="eastAsia" w:ascii="Times New Roman" w:cs="Times New Roman"/>
                <w:color w:val="000000" w:themeColor="text1"/>
                <w:sz w:val="24"/>
                <w:highlight w:val="none"/>
                <w:lang w:val="en-US" w:eastAsia="zh-CN"/>
                <w14:textFill>
                  <w14:solidFill>
                    <w14:schemeClr w14:val="tx1"/>
                  </w14:solidFill>
                </w14:textFill>
              </w:rPr>
              <w:t>废气执行标准见表3-6</w:t>
            </w:r>
          </w:p>
          <w:p w14:paraId="4B4C46F6">
            <w:pPr>
              <w:pStyle w:val="98"/>
              <w:keepNext w:val="0"/>
              <w:keepLines w:val="0"/>
              <w:pageBreakBefore w:val="0"/>
              <w:widowControl w:val="0"/>
              <w:suppressLineNumbers w:val="0"/>
              <w:kinsoku/>
              <w:wordWrap/>
              <w:overflowPunct/>
              <w:topLinePunct w:val="0"/>
              <w:bidi w:val="0"/>
              <w:adjustRightInd w:val="0"/>
              <w:snapToGrid w:val="0"/>
              <w:spacing w:before="0" w:beforeLines="0" w:beforeAutospacing="0" w:after="0" w:afterAutospacing="0" w:line="460" w:lineRule="exact"/>
              <w:ind w:left="0" w:right="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default" w:ascii="Times New Roman" w:hAnsi="Times New Roman" w:cs="Times New Roman"/>
                <w:color w:val="000000" w:themeColor="text1"/>
                <w:lang w:val="en-US" w:eastAsia="zh-CN"/>
                <w14:textFill>
                  <w14:solidFill>
                    <w14:schemeClr w14:val="tx1"/>
                  </w14:solidFill>
                </w14:textFill>
              </w:rPr>
              <w:t>3-6</w:t>
            </w:r>
            <w:r>
              <w:rPr>
                <w:rFonts w:hint="default" w:ascii="Times New Roman" w:hAnsi="Times New Roman" w:cs="Times New Roman"/>
                <w:color w:val="000000" w:themeColor="text1"/>
                <w14:textFill>
                  <w14:solidFill>
                    <w14:schemeClr w14:val="tx1"/>
                  </w14:solidFill>
                </w14:textFill>
              </w:rPr>
              <w:t xml:space="preserve">  废气执行标准</w:t>
            </w:r>
            <w:r>
              <w:rPr>
                <w:rFonts w:hint="eastAsia" w:ascii="Times New Roman" w:hAnsi="Times New Roman" w:cs="Times New Roman"/>
                <w:color w:val="000000" w:themeColor="text1"/>
                <w:lang w:eastAsia="zh-CN"/>
                <w14:textFill>
                  <w14:solidFill>
                    <w14:schemeClr w14:val="tx1"/>
                  </w14:solidFill>
                </w14:textFill>
              </w:rPr>
              <w:t>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32"/>
              <w:gridCol w:w="1169"/>
              <w:gridCol w:w="1132"/>
              <w:gridCol w:w="954"/>
              <w:gridCol w:w="1090"/>
              <w:gridCol w:w="3248"/>
            </w:tblGrid>
            <w:tr w14:paraId="6701CD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tcBorders>
                    <w:tl2br w:val="nil"/>
                    <w:tr2bl w:val="nil"/>
                  </w:tcBorders>
                  <w:noWrap w:val="0"/>
                  <w:vAlign w:val="center"/>
                </w:tcPr>
                <w:p w14:paraId="0F2341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项目</w:t>
                  </w:r>
                </w:p>
              </w:tc>
              <w:tc>
                <w:tcPr>
                  <w:tcW w:w="728" w:type="pct"/>
                  <w:tcBorders>
                    <w:tl2br w:val="nil"/>
                    <w:tr2bl w:val="nil"/>
                  </w:tcBorders>
                  <w:noWrap w:val="0"/>
                  <w:vAlign w:val="center"/>
                </w:tcPr>
                <w:p w14:paraId="6A8D79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污染源</w:t>
                  </w:r>
                </w:p>
              </w:tc>
              <w:tc>
                <w:tcPr>
                  <w:tcW w:w="705" w:type="pct"/>
                  <w:tcBorders>
                    <w:tl2br w:val="nil"/>
                    <w:tr2bl w:val="nil"/>
                  </w:tcBorders>
                  <w:noWrap w:val="0"/>
                  <w:vAlign w:val="center"/>
                </w:tcPr>
                <w:p w14:paraId="299C45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污染物</w:t>
                  </w:r>
                </w:p>
              </w:tc>
              <w:tc>
                <w:tcPr>
                  <w:tcW w:w="594" w:type="pct"/>
                  <w:tcBorders>
                    <w:tl2br w:val="nil"/>
                    <w:tr2bl w:val="nil"/>
                  </w:tcBorders>
                  <w:noWrap w:val="0"/>
                  <w:vAlign w:val="center"/>
                </w:tcPr>
                <w:p w14:paraId="1B9295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单位</w:t>
                  </w:r>
                </w:p>
              </w:tc>
              <w:tc>
                <w:tcPr>
                  <w:tcW w:w="679" w:type="pct"/>
                  <w:tcBorders>
                    <w:tl2br w:val="nil"/>
                    <w:tr2bl w:val="nil"/>
                  </w:tcBorders>
                  <w:noWrap w:val="0"/>
                  <w:vAlign w:val="center"/>
                </w:tcPr>
                <w:p w14:paraId="4D2DE2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标准值</w:t>
                  </w:r>
                </w:p>
              </w:tc>
              <w:tc>
                <w:tcPr>
                  <w:tcW w:w="2023" w:type="pct"/>
                  <w:tcBorders>
                    <w:tl2br w:val="nil"/>
                    <w:tr2bl w:val="nil"/>
                  </w:tcBorders>
                  <w:noWrap w:val="0"/>
                  <w:vAlign w:val="center"/>
                </w:tcPr>
                <w:p w14:paraId="056F85C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标准名称</w:t>
                  </w:r>
                </w:p>
              </w:tc>
            </w:tr>
            <w:tr w14:paraId="396564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269" w:type="pct"/>
                  <w:vMerge w:val="restart"/>
                  <w:tcBorders>
                    <w:tl2br w:val="nil"/>
                    <w:tr2bl w:val="nil"/>
                  </w:tcBorders>
                  <w:noWrap w:val="0"/>
                  <w:vAlign w:val="center"/>
                </w:tcPr>
                <w:p w14:paraId="32DD0F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废气</w:t>
                  </w:r>
                </w:p>
              </w:tc>
              <w:tc>
                <w:tcPr>
                  <w:tcW w:w="728" w:type="pct"/>
                  <w:vMerge w:val="restart"/>
                  <w:tcBorders>
                    <w:tl2br w:val="nil"/>
                    <w:tr2bl w:val="nil"/>
                  </w:tcBorders>
                  <w:noWrap w:val="0"/>
                  <w:vAlign w:val="center"/>
                </w:tcPr>
                <w:p w14:paraId="17DB66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投料</w:t>
                  </w:r>
                </w:p>
              </w:tc>
              <w:tc>
                <w:tcPr>
                  <w:tcW w:w="705" w:type="pct"/>
                  <w:vMerge w:val="restart"/>
                  <w:tcBorders>
                    <w:tl2br w:val="nil"/>
                    <w:tr2bl w:val="nil"/>
                  </w:tcBorders>
                  <w:noWrap w:val="0"/>
                  <w:vAlign w:val="center"/>
                </w:tcPr>
                <w:p w14:paraId="2ECE1FAE">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颗粒物</w:t>
                  </w:r>
                </w:p>
              </w:tc>
              <w:tc>
                <w:tcPr>
                  <w:tcW w:w="594" w:type="pct"/>
                  <w:tcBorders>
                    <w:tl2br w:val="nil"/>
                    <w:tr2bl w:val="nil"/>
                  </w:tcBorders>
                  <w:noWrap w:val="0"/>
                  <w:vAlign w:val="center"/>
                </w:tcPr>
                <w:p w14:paraId="5B70A046">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mg/m</w:t>
                  </w:r>
                  <w:r>
                    <w:rPr>
                      <w:rFonts w:hint="eastAsia" w:ascii="Times New Roman" w:hAnsi="Times New Roman" w:eastAsia="宋体" w:cs="Times New Roman"/>
                      <w:color w:val="000000" w:themeColor="text1"/>
                      <w:kern w:val="0"/>
                      <w:szCs w:val="21"/>
                      <w:highlight w:val="none"/>
                      <w:vertAlign w:val="superscript"/>
                      <w:lang w:val="en-US" w:eastAsia="zh-CN"/>
                      <w14:textFill>
                        <w14:solidFill>
                          <w14:schemeClr w14:val="tx1"/>
                        </w14:solidFill>
                      </w14:textFill>
                    </w:rPr>
                    <w:t>3</w:t>
                  </w:r>
                </w:p>
              </w:tc>
              <w:tc>
                <w:tcPr>
                  <w:tcW w:w="679" w:type="pct"/>
                  <w:tcBorders>
                    <w:tl2br w:val="nil"/>
                    <w:tr2bl w:val="nil"/>
                  </w:tcBorders>
                  <w:noWrap w:val="0"/>
                  <w:vAlign w:val="center"/>
                </w:tcPr>
                <w:p w14:paraId="7C069A03">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120</w:t>
                  </w:r>
                </w:p>
              </w:tc>
              <w:tc>
                <w:tcPr>
                  <w:tcW w:w="2023" w:type="pct"/>
                  <w:vMerge w:val="restart"/>
                  <w:tcBorders>
                    <w:tl2br w:val="nil"/>
                    <w:tr2bl w:val="nil"/>
                  </w:tcBorders>
                  <w:noWrap w:val="0"/>
                  <w:vAlign w:val="center"/>
                </w:tcPr>
                <w:p w14:paraId="71D92F7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both"/>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《大气污染物综合排放标准》（GB16297－1996）表2标准</w:t>
                  </w:r>
                </w:p>
              </w:tc>
            </w:tr>
            <w:tr w14:paraId="531C5F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196" w:hRule="atLeast"/>
                <w:jc w:val="center"/>
              </w:trPr>
              <w:tc>
                <w:tcPr>
                  <w:tcW w:w="269" w:type="pct"/>
                  <w:vMerge w:val="continue"/>
                  <w:tcBorders>
                    <w:tl2br w:val="nil"/>
                    <w:tr2bl w:val="nil"/>
                  </w:tcBorders>
                  <w:noWrap w:val="0"/>
                  <w:vAlign w:val="center"/>
                </w:tcPr>
                <w:p w14:paraId="2B2DE7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cs="Times New Roman"/>
                      <w:b w:val="0"/>
                      <w:bCs w:val="0"/>
                      <w:color w:val="000000" w:themeColor="text1"/>
                      <w:sz w:val="21"/>
                      <w:szCs w:val="21"/>
                      <w:lang w:eastAsia="zh-CN"/>
                      <w14:textFill>
                        <w14:solidFill>
                          <w14:schemeClr w14:val="tx1"/>
                        </w14:solidFill>
                      </w14:textFill>
                    </w:rPr>
                  </w:pPr>
                </w:p>
              </w:tc>
              <w:tc>
                <w:tcPr>
                  <w:tcW w:w="728" w:type="pct"/>
                  <w:vMerge w:val="continue"/>
                  <w:tcBorders>
                    <w:tl2br w:val="nil"/>
                    <w:tr2bl w:val="nil"/>
                  </w:tcBorders>
                  <w:noWrap w:val="0"/>
                  <w:vAlign w:val="center"/>
                </w:tcPr>
                <w:p w14:paraId="43EF44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cs="Times New Roman"/>
                      <w:b w:val="0"/>
                      <w:bCs w:val="0"/>
                      <w:color w:val="000000" w:themeColor="text1"/>
                      <w:sz w:val="21"/>
                      <w:szCs w:val="21"/>
                      <w:lang w:eastAsia="zh-CN"/>
                      <w14:textFill>
                        <w14:solidFill>
                          <w14:schemeClr w14:val="tx1"/>
                        </w14:solidFill>
                      </w14:textFill>
                    </w:rPr>
                  </w:pPr>
                </w:p>
              </w:tc>
              <w:tc>
                <w:tcPr>
                  <w:tcW w:w="705" w:type="pct"/>
                  <w:vMerge w:val="continue"/>
                  <w:tcBorders>
                    <w:tl2br w:val="nil"/>
                    <w:tr2bl w:val="nil"/>
                  </w:tcBorders>
                  <w:noWrap w:val="0"/>
                  <w:vAlign w:val="center"/>
                </w:tcPr>
                <w:p w14:paraId="53522AC5">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p>
              </w:tc>
              <w:tc>
                <w:tcPr>
                  <w:tcW w:w="594" w:type="pct"/>
                  <w:tcBorders>
                    <w:tl2br w:val="nil"/>
                    <w:tr2bl w:val="nil"/>
                  </w:tcBorders>
                  <w:noWrap w:val="0"/>
                  <w:vAlign w:val="center"/>
                </w:tcPr>
                <w:p w14:paraId="4FE7D18C">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kg/h</w:t>
                  </w:r>
                </w:p>
              </w:tc>
              <w:tc>
                <w:tcPr>
                  <w:tcW w:w="679" w:type="pct"/>
                  <w:tcBorders>
                    <w:tl2br w:val="nil"/>
                    <w:tr2bl w:val="nil"/>
                  </w:tcBorders>
                  <w:noWrap w:val="0"/>
                  <w:vAlign w:val="center"/>
                </w:tcPr>
                <w:p w14:paraId="752D1811">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cs="Times New Roman"/>
                      <w:color w:val="000000" w:themeColor="text1"/>
                      <w:kern w:val="0"/>
                      <w:szCs w:val="21"/>
                      <w:highlight w:val="none"/>
                      <w:lang w:val="en-US" w:eastAsia="zh-CN"/>
                      <w14:textFill>
                        <w14:solidFill>
                          <w14:schemeClr w14:val="tx1"/>
                        </w14:solidFill>
                      </w14:textFill>
                    </w:rPr>
                    <w:t>5.42</w:t>
                  </w:r>
                </w:p>
              </w:tc>
              <w:tc>
                <w:tcPr>
                  <w:tcW w:w="2023" w:type="pct"/>
                  <w:vMerge w:val="continue"/>
                  <w:tcBorders>
                    <w:tl2br w:val="nil"/>
                    <w:tr2bl w:val="nil"/>
                  </w:tcBorders>
                  <w:noWrap w:val="0"/>
                  <w:vAlign w:val="center"/>
                </w:tcPr>
                <w:p w14:paraId="54C1E8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both"/>
                    <w:textAlignment w:val="auto"/>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r>
            <w:tr w14:paraId="58C12A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3929B4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728" w:type="pct"/>
                  <w:tcBorders>
                    <w:tl2br w:val="nil"/>
                    <w:tr2bl w:val="nil"/>
                  </w:tcBorders>
                  <w:noWrap w:val="0"/>
                  <w:vAlign w:val="center"/>
                </w:tcPr>
                <w:p w14:paraId="6D006D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color w:val="000000" w:themeColor="text1"/>
                      <w:kern w:val="0"/>
                      <w:sz w:val="21"/>
                      <w:szCs w:val="21"/>
                      <w:lang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卤制</w:t>
                  </w:r>
                </w:p>
              </w:tc>
              <w:tc>
                <w:tcPr>
                  <w:tcW w:w="705" w:type="pct"/>
                  <w:tcBorders>
                    <w:tl2br w:val="nil"/>
                    <w:tr2bl w:val="nil"/>
                  </w:tcBorders>
                  <w:noWrap w:val="0"/>
                  <w:vAlign w:val="center"/>
                </w:tcPr>
                <w:p w14:paraId="5552E31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color w:val="000000" w:themeColor="text1"/>
                      <w14:textFill>
                        <w14:solidFill>
                          <w14:schemeClr w14:val="tx1"/>
                        </w14:solidFill>
                      </w14:textFill>
                    </w:rPr>
                    <w:t>臭气浓度</w:t>
                  </w:r>
                </w:p>
              </w:tc>
              <w:tc>
                <w:tcPr>
                  <w:tcW w:w="594" w:type="pct"/>
                  <w:tcBorders>
                    <w:tl2br w:val="nil"/>
                    <w:tr2bl w:val="nil"/>
                  </w:tcBorders>
                  <w:noWrap w:val="0"/>
                  <w:vAlign w:val="center"/>
                </w:tcPr>
                <w:p w14:paraId="673DA304">
                  <w:pPr>
                    <w:pStyle w:val="8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pacing w:val="-20"/>
                      <w:kern w:val="0"/>
                      <w:sz w:val="21"/>
                      <w:szCs w:val="21"/>
                      <w:highlight w:val="none"/>
                      <w:lang w:val="en-US" w:eastAsia="zh-CN"/>
                      <w14:textFill>
                        <w14:solidFill>
                          <w14:schemeClr w14:val="tx1"/>
                        </w14:solidFill>
                      </w14:textFill>
                    </w:rPr>
                    <w:t>无量纲</w:t>
                  </w:r>
                </w:p>
              </w:tc>
              <w:tc>
                <w:tcPr>
                  <w:tcW w:w="679" w:type="pct"/>
                  <w:tcBorders>
                    <w:tl2br w:val="nil"/>
                    <w:tr2bl w:val="nil"/>
                  </w:tcBorders>
                  <w:noWrap w:val="0"/>
                  <w:vAlign w:val="center"/>
                </w:tcPr>
                <w:p w14:paraId="20CC2228">
                  <w:pPr>
                    <w:pStyle w:val="8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2000</w:t>
                  </w:r>
                </w:p>
              </w:tc>
              <w:tc>
                <w:tcPr>
                  <w:tcW w:w="2023" w:type="pct"/>
                  <w:tcBorders>
                    <w:tl2br w:val="nil"/>
                    <w:tr2bl w:val="nil"/>
                  </w:tcBorders>
                  <w:noWrap w:val="0"/>
                  <w:vAlign w:val="center"/>
                </w:tcPr>
                <w:p w14:paraId="78446BBE">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48" w:firstLineChars="200"/>
                    <w:jc w:val="both"/>
                    <w:textAlignment w:val="auto"/>
                    <w:rPr>
                      <w:rFonts w:hint="default" w:ascii="Times New Roman" w:hAnsi="Times New Roman" w:eastAsia="宋体" w:cs="Times New Roman"/>
                      <w:color w:val="000000" w:themeColor="text1"/>
                      <w:spacing w:val="7"/>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t xml:space="preserve">《恶臭污染物排放标准》 </w:t>
                  </w:r>
                </w:p>
                <w:p w14:paraId="447666CC">
                  <w:pPr>
                    <w:pStyle w:val="8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t>（GB14554-93）表2中15m排气筒排放量限值</w:t>
                  </w:r>
                </w:p>
              </w:tc>
            </w:tr>
            <w:tr w14:paraId="30FA0B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1958B8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cs="Times New Roman"/>
                      <w:b w:val="0"/>
                      <w:bCs w:val="0"/>
                      <w:color w:val="000000" w:themeColor="text1"/>
                      <w:sz w:val="21"/>
                      <w:szCs w:val="21"/>
                      <w:lang w:eastAsia="zh-CN"/>
                      <w14:textFill>
                        <w14:solidFill>
                          <w14:schemeClr w14:val="tx1"/>
                        </w14:solidFill>
                      </w14:textFill>
                    </w:rPr>
                  </w:pPr>
                </w:p>
              </w:tc>
              <w:tc>
                <w:tcPr>
                  <w:tcW w:w="728" w:type="pct"/>
                  <w:vMerge w:val="restart"/>
                  <w:tcBorders>
                    <w:tl2br w:val="nil"/>
                    <w:tr2bl w:val="nil"/>
                  </w:tcBorders>
                  <w:shd w:val="clear" w:color="auto" w:fill="auto"/>
                  <w:noWrap w:val="0"/>
                  <w:vAlign w:val="center"/>
                </w:tcPr>
                <w:p w14:paraId="72F0CA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sz w:val="21"/>
                      <w:szCs w:val="21"/>
                      <w:highlight w:val="none"/>
                      <w:lang w:eastAsia="zh-CN"/>
                      <w14:textFill>
                        <w14:solidFill>
                          <w14:schemeClr w14:val="tx1"/>
                        </w14:solidFill>
                      </w14:textFill>
                    </w:rPr>
                    <w:t>污水处理站</w:t>
                  </w:r>
                </w:p>
              </w:tc>
              <w:tc>
                <w:tcPr>
                  <w:tcW w:w="705" w:type="pct"/>
                  <w:tcBorders>
                    <w:tl2br w:val="nil"/>
                    <w:tr2bl w:val="nil"/>
                  </w:tcBorders>
                  <w:shd w:val="clear" w:color="auto" w:fill="auto"/>
                  <w:noWrap w:val="0"/>
                  <w:vAlign w:val="center"/>
                </w:tcPr>
                <w:p w14:paraId="49EDD40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color w:val="000000" w:themeColor="text1"/>
                      <w14:textFill>
                        <w14:solidFill>
                          <w14:schemeClr w14:val="tx1"/>
                        </w14:solidFill>
                      </w14:textFill>
                    </w:rPr>
                    <w:t>臭气浓度</w:t>
                  </w:r>
                </w:p>
              </w:tc>
              <w:tc>
                <w:tcPr>
                  <w:tcW w:w="594" w:type="pct"/>
                  <w:tcBorders>
                    <w:tl2br w:val="nil"/>
                    <w:tr2bl w:val="nil"/>
                  </w:tcBorders>
                  <w:shd w:val="clear" w:color="auto" w:fill="auto"/>
                  <w:noWrap w:val="0"/>
                  <w:vAlign w:val="center"/>
                </w:tcPr>
                <w:p w14:paraId="727491C0">
                  <w:pPr>
                    <w:keepNext w:val="0"/>
                    <w:keepLines w:val="0"/>
                    <w:suppressLineNumbers w:val="0"/>
                    <w:adjustRightInd w:val="0"/>
                    <w:snapToGrid w:val="0"/>
                    <w:spacing w:before="0" w:beforeAutospacing="0" w:after="0" w:afterAutospacing="0" w:line="240" w:lineRule="auto"/>
                    <w:ind w:left="0" w:right="0"/>
                    <w:jc w:val="center"/>
                    <w:rPr>
                      <w:rFonts w:hint="eastAsia" w:cs="Times New Roman"/>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20"/>
                      <w:kern w:val="0"/>
                      <w:sz w:val="21"/>
                      <w:szCs w:val="21"/>
                      <w:highlight w:val="none"/>
                      <w:lang w:val="en-US" w:eastAsia="zh-CN"/>
                      <w14:textFill>
                        <w14:solidFill>
                          <w14:schemeClr w14:val="tx1"/>
                        </w14:solidFill>
                      </w14:textFill>
                    </w:rPr>
                    <w:t>无量纲</w:t>
                  </w:r>
                </w:p>
              </w:tc>
              <w:tc>
                <w:tcPr>
                  <w:tcW w:w="679" w:type="pct"/>
                  <w:tcBorders>
                    <w:tl2br w:val="nil"/>
                    <w:tr2bl w:val="nil"/>
                  </w:tcBorders>
                  <w:shd w:val="clear" w:color="auto" w:fill="auto"/>
                  <w:noWrap w:val="0"/>
                  <w:vAlign w:val="center"/>
                </w:tcPr>
                <w:p w14:paraId="7DA3D15F">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0"/>
                      <w:szCs w:val="21"/>
                      <w:highlight w:val="none"/>
                      <w:lang w:val="en-US" w:eastAsia="zh-CN"/>
                      <w14:textFill>
                        <w14:solidFill>
                          <w14:schemeClr w14:val="tx1"/>
                        </w14:solidFill>
                      </w14:textFill>
                    </w:rPr>
                    <w:t>2000</w:t>
                  </w:r>
                </w:p>
              </w:tc>
              <w:tc>
                <w:tcPr>
                  <w:tcW w:w="2023" w:type="pct"/>
                  <w:vMerge w:val="restart"/>
                  <w:tcBorders>
                    <w:tl2br w:val="nil"/>
                    <w:tr2bl w:val="nil"/>
                  </w:tcBorders>
                  <w:noWrap w:val="0"/>
                  <w:vAlign w:val="center"/>
                </w:tcPr>
                <w:p w14:paraId="1CFF92E8">
                  <w:pPr>
                    <w:pStyle w:val="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48" w:firstLineChars="200"/>
                    <w:jc w:val="both"/>
                    <w:textAlignment w:val="auto"/>
                    <w:rPr>
                      <w:rFonts w:hint="default" w:ascii="Times New Roman" w:hAnsi="Times New Roman" w:eastAsia="宋体" w:cs="Times New Roman"/>
                      <w:color w:val="000000" w:themeColor="text1"/>
                      <w:spacing w:val="7"/>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t xml:space="preserve">《恶臭污染物排放标准》 </w:t>
                  </w:r>
                </w:p>
                <w:p w14:paraId="504269A6">
                  <w:pPr>
                    <w:pStyle w:val="8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t>（GB14554-93）表2中15m排气筒排放量限值</w:t>
                  </w:r>
                </w:p>
              </w:tc>
            </w:tr>
            <w:tr w14:paraId="484395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1EEF17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cs="Times New Roman"/>
                      <w:b w:val="0"/>
                      <w:bCs w:val="0"/>
                      <w:color w:val="000000" w:themeColor="text1"/>
                      <w:sz w:val="21"/>
                      <w:szCs w:val="21"/>
                      <w:lang w:eastAsia="zh-CN"/>
                      <w14:textFill>
                        <w14:solidFill>
                          <w14:schemeClr w14:val="tx1"/>
                        </w14:solidFill>
                      </w14:textFill>
                    </w:rPr>
                  </w:pPr>
                </w:p>
              </w:tc>
              <w:tc>
                <w:tcPr>
                  <w:tcW w:w="728" w:type="pct"/>
                  <w:vMerge w:val="continue"/>
                  <w:tcBorders>
                    <w:tl2br w:val="nil"/>
                    <w:tr2bl w:val="nil"/>
                  </w:tcBorders>
                  <w:noWrap w:val="0"/>
                  <w:vAlign w:val="center"/>
                </w:tcPr>
                <w:p w14:paraId="59048C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cs="Times New Roman"/>
                      <w:b w:val="0"/>
                      <w:bCs w:val="0"/>
                      <w:color w:val="000000" w:themeColor="text1"/>
                      <w:sz w:val="21"/>
                      <w:szCs w:val="21"/>
                      <w:lang w:val="en-US" w:eastAsia="zh-CN"/>
                      <w14:textFill>
                        <w14:solidFill>
                          <w14:schemeClr w14:val="tx1"/>
                        </w14:solidFill>
                      </w14:textFill>
                    </w:rPr>
                  </w:pPr>
                </w:p>
              </w:tc>
              <w:tc>
                <w:tcPr>
                  <w:tcW w:w="705" w:type="pct"/>
                  <w:tcBorders>
                    <w:tl2br w:val="nil"/>
                    <w:tr2bl w:val="nil"/>
                  </w:tcBorders>
                  <w:shd w:val="clear" w:color="auto" w:fill="auto"/>
                  <w:noWrap w:val="0"/>
                  <w:vAlign w:val="center"/>
                </w:tcPr>
                <w:p w14:paraId="60F3FC1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color w:val="000000" w:themeColor="text1"/>
                      <w14:textFill>
                        <w14:solidFill>
                          <w14:schemeClr w14:val="tx1"/>
                        </w14:solidFill>
                      </w14:textFill>
                    </w:rPr>
                    <w:t>氨</w:t>
                  </w:r>
                </w:p>
              </w:tc>
              <w:tc>
                <w:tcPr>
                  <w:tcW w:w="594" w:type="pct"/>
                  <w:tcBorders>
                    <w:tl2br w:val="nil"/>
                    <w:tr2bl w:val="nil"/>
                  </w:tcBorders>
                  <w:shd w:val="clear" w:color="auto" w:fill="auto"/>
                  <w:noWrap w:val="0"/>
                  <w:vAlign w:val="center"/>
                </w:tcPr>
                <w:p w14:paraId="5FC75EB6">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kg/h</w:t>
                  </w:r>
                </w:p>
              </w:tc>
              <w:tc>
                <w:tcPr>
                  <w:tcW w:w="679" w:type="pct"/>
                  <w:tcBorders>
                    <w:tl2br w:val="nil"/>
                    <w:tr2bl w:val="nil"/>
                  </w:tcBorders>
                  <w:shd w:val="clear" w:color="auto" w:fill="auto"/>
                  <w:noWrap w:val="0"/>
                  <w:vAlign w:val="center"/>
                </w:tcPr>
                <w:p w14:paraId="264619CE">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4.9</w:t>
                  </w:r>
                </w:p>
              </w:tc>
              <w:tc>
                <w:tcPr>
                  <w:tcW w:w="2023" w:type="pct"/>
                  <w:vMerge w:val="continue"/>
                  <w:tcBorders>
                    <w:tl2br w:val="nil"/>
                    <w:tr2bl w:val="nil"/>
                  </w:tcBorders>
                  <w:noWrap w:val="0"/>
                  <w:vAlign w:val="center"/>
                </w:tcPr>
                <w:p w14:paraId="696A02A3">
                  <w:pPr>
                    <w:pStyle w:val="8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pPr>
                </w:p>
              </w:tc>
            </w:tr>
            <w:tr w14:paraId="2AD61E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1EAF1C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cs="Times New Roman"/>
                      <w:b w:val="0"/>
                      <w:bCs w:val="0"/>
                      <w:color w:val="000000" w:themeColor="text1"/>
                      <w:sz w:val="21"/>
                      <w:szCs w:val="21"/>
                      <w:lang w:eastAsia="zh-CN"/>
                      <w14:textFill>
                        <w14:solidFill>
                          <w14:schemeClr w14:val="tx1"/>
                        </w14:solidFill>
                      </w14:textFill>
                    </w:rPr>
                  </w:pPr>
                </w:p>
              </w:tc>
              <w:tc>
                <w:tcPr>
                  <w:tcW w:w="728" w:type="pct"/>
                  <w:vMerge w:val="continue"/>
                  <w:tcBorders>
                    <w:tl2br w:val="nil"/>
                    <w:tr2bl w:val="nil"/>
                  </w:tcBorders>
                  <w:noWrap w:val="0"/>
                  <w:vAlign w:val="center"/>
                </w:tcPr>
                <w:p w14:paraId="1420FC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cs="Times New Roman"/>
                      <w:b w:val="0"/>
                      <w:bCs w:val="0"/>
                      <w:color w:val="000000" w:themeColor="text1"/>
                      <w:sz w:val="21"/>
                      <w:szCs w:val="21"/>
                      <w:lang w:val="en-US" w:eastAsia="zh-CN"/>
                      <w14:textFill>
                        <w14:solidFill>
                          <w14:schemeClr w14:val="tx1"/>
                        </w14:solidFill>
                      </w14:textFill>
                    </w:rPr>
                  </w:pPr>
                </w:p>
              </w:tc>
              <w:tc>
                <w:tcPr>
                  <w:tcW w:w="705" w:type="pct"/>
                  <w:tcBorders>
                    <w:tl2br w:val="nil"/>
                    <w:tr2bl w:val="nil"/>
                  </w:tcBorders>
                  <w:shd w:val="clear" w:color="auto" w:fill="auto"/>
                  <w:noWrap w:val="0"/>
                  <w:vAlign w:val="center"/>
                </w:tcPr>
                <w:p w14:paraId="1582006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color w:val="000000" w:themeColor="text1"/>
                      <w14:textFill>
                        <w14:solidFill>
                          <w14:schemeClr w14:val="tx1"/>
                        </w14:solidFill>
                      </w14:textFill>
                    </w:rPr>
                    <w:t>硫化氢</w:t>
                  </w:r>
                </w:p>
              </w:tc>
              <w:tc>
                <w:tcPr>
                  <w:tcW w:w="594" w:type="pct"/>
                  <w:tcBorders>
                    <w:tl2br w:val="nil"/>
                    <w:tr2bl w:val="nil"/>
                  </w:tcBorders>
                  <w:shd w:val="clear" w:color="auto" w:fill="auto"/>
                  <w:noWrap w:val="0"/>
                  <w:vAlign w:val="center"/>
                </w:tcPr>
                <w:p w14:paraId="723CDD0A">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kg/h</w:t>
                  </w:r>
                </w:p>
              </w:tc>
              <w:tc>
                <w:tcPr>
                  <w:tcW w:w="679" w:type="pct"/>
                  <w:tcBorders>
                    <w:tl2br w:val="nil"/>
                    <w:tr2bl w:val="nil"/>
                  </w:tcBorders>
                  <w:shd w:val="clear" w:color="auto" w:fill="auto"/>
                  <w:noWrap w:val="0"/>
                  <w:vAlign w:val="center"/>
                </w:tcPr>
                <w:p w14:paraId="1992AA75">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0.33</w:t>
                  </w:r>
                </w:p>
              </w:tc>
              <w:tc>
                <w:tcPr>
                  <w:tcW w:w="2023" w:type="pct"/>
                  <w:vMerge w:val="continue"/>
                  <w:tcBorders>
                    <w:tl2br w:val="nil"/>
                    <w:tr2bl w:val="nil"/>
                  </w:tcBorders>
                  <w:noWrap w:val="0"/>
                  <w:vAlign w:val="center"/>
                </w:tcPr>
                <w:p w14:paraId="7C9497C3">
                  <w:pPr>
                    <w:pStyle w:val="8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pPr>
                </w:p>
              </w:tc>
            </w:tr>
            <w:tr w14:paraId="50933C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6105D3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restart"/>
                  <w:tcBorders>
                    <w:tl2br w:val="nil"/>
                    <w:tr2bl w:val="nil"/>
                  </w:tcBorders>
                  <w:noWrap w:val="0"/>
                  <w:vAlign w:val="center"/>
                </w:tcPr>
                <w:p w14:paraId="77AD2F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天然气燃烧废气</w:t>
                  </w:r>
                </w:p>
              </w:tc>
              <w:tc>
                <w:tcPr>
                  <w:tcW w:w="705" w:type="pct"/>
                  <w:tcBorders>
                    <w:tl2br w:val="nil"/>
                    <w:tr2bl w:val="nil"/>
                  </w:tcBorders>
                  <w:noWrap w:val="0"/>
                  <w:vAlign w:val="center"/>
                </w:tcPr>
                <w:p w14:paraId="55279F13">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烟尘</w:t>
                  </w:r>
                </w:p>
              </w:tc>
              <w:tc>
                <w:tcPr>
                  <w:tcW w:w="594" w:type="pct"/>
                  <w:tcBorders>
                    <w:tl2br w:val="nil"/>
                    <w:tr2bl w:val="nil"/>
                  </w:tcBorders>
                  <w:noWrap w:val="0"/>
                  <w:vAlign w:val="center"/>
                </w:tcPr>
                <w:p w14:paraId="643930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mg/m</w:t>
                  </w:r>
                  <w:r>
                    <w:rPr>
                      <w:rFonts w:hint="default" w:ascii="Times New Roman" w:hAnsi="Times New Roman" w:cs="Times New Roman"/>
                      <w:bCs/>
                      <w:color w:val="000000" w:themeColor="text1"/>
                      <w:szCs w:val="21"/>
                      <w:vertAlign w:val="superscript"/>
                      <w14:textFill>
                        <w14:solidFill>
                          <w14:schemeClr w14:val="tx1"/>
                        </w14:solidFill>
                      </w14:textFill>
                    </w:rPr>
                    <w:t>3</w:t>
                  </w:r>
                </w:p>
              </w:tc>
              <w:tc>
                <w:tcPr>
                  <w:tcW w:w="679" w:type="pct"/>
                  <w:tcBorders>
                    <w:tl2br w:val="nil"/>
                    <w:tr2bl w:val="nil"/>
                  </w:tcBorders>
                  <w:noWrap w:val="0"/>
                  <w:vAlign w:val="center"/>
                </w:tcPr>
                <w:p w14:paraId="7F43E4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0</w:t>
                  </w:r>
                </w:p>
              </w:tc>
              <w:tc>
                <w:tcPr>
                  <w:tcW w:w="2023" w:type="pct"/>
                  <w:vMerge w:val="restart"/>
                  <w:tcBorders>
                    <w:tl2br w:val="nil"/>
                    <w:tr2bl w:val="nil"/>
                  </w:tcBorders>
                  <w:noWrap w:val="0"/>
                  <w:vAlign w:val="center"/>
                </w:tcPr>
                <w:p w14:paraId="4FFB79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420" w:firstLineChars="200"/>
                    <w:jc w:val="both"/>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《工业炉窑大气污染物排放标准》（DB13/1640－2012）表1、表2标准限值要求</w:t>
                  </w:r>
                </w:p>
              </w:tc>
            </w:tr>
            <w:tr w14:paraId="650905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6DEE214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continue"/>
                  <w:tcBorders>
                    <w:tl2br w:val="nil"/>
                    <w:tr2bl w:val="nil"/>
                  </w:tcBorders>
                  <w:noWrap w:val="0"/>
                  <w:vAlign w:val="center"/>
                </w:tcPr>
                <w:p w14:paraId="6193A2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705" w:type="pct"/>
                  <w:tcBorders>
                    <w:tl2br w:val="nil"/>
                    <w:tr2bl w:val="nil"/>
                  </w:tcBorders>
                  <w:noWrap w:val="0"/>
                  <w:vAlign w:val="center"/>
                </w:tcPr>
                <w:p w14:paraId="7001B821">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SO</w:t>
                  </w:r>
                  <w:r>
                    <w:rPr>
                      <w:rFonts w:hint="default" w:ascii="Times New Roman" w:hAnsi="Times New Roman" w:cs="Times New Roman"/>
                      <w:color w:val="000000" w:themeColor="text1"/>
                      <w:vertAlign w:val="subscript"/>
                      <w14:textFill>
                        <w14:solidFill>
                          <w14:schemeClr w14:val="tx1"/>
                        </w14:solidFill>
                      </w14:textFill>
                    </w:rPr>
                    <w:t>2</w:t>
                  </w:r>
                </w:p>
              </w:tc>
              <w:tc>
                <w:tcPr>
                  <w:tcW w:w="594" w:type="pct"/>
                  <w:tcBorders>
                    <w:tl2br w:val="nil"/>
                    <w:tr2bl w:val="nil"/>
                  </w:tcBorders>
                  <w:noWrap w:val="0"/>
                  <w:vAlign w:val="center"/>
                </w:tcPr>
                <w:p w14:paraId="49C2AD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mg/m</w:t>
                  </w:r>
                  <w:r>
                    <w:rPr>
                      <w:rFonts w:hint="default" w:ascii="Times New Roman" w:hAnsi="Times New Roman" w:cs="Times New Roman"/>
                      <w:bCs/>
                      <w:color w:val="000000" w:themeColor="text1"/>
                      <w:szCs w:val="21"/>
                      <w:vertAlign w:val="superscript"/>
                      <w14:textFill>
                        <w14:solidFill>
                          <w14:schemeClr w14:val="tx1"/>
                        </w14:solidFill>
                      </w14:textFill>
                    </w:rPr>
                    <w:t>3</w:t>
                  </w:r>
                </w:p>
              </w:tc>
              <w:tc>
                <w:tcPr>
                  <w:tcW w:w="679" w:type="pct"/>
                  <w:tcBorders>
                    <w:tl2br w:val="nil"/>
                    <w:tr2bl w:val="nil"/>
                  </w:tcBorders>
                  <w:noWrap w:val="0"/>
                  <w:vAlign w:val="center"/>
                </w:tcPr>
                <w:p w14:paraId="718B4B6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400</w:t>
                  </w:r>
                </w:p>
              </w:tc>
              <w:tc>
                <w:tcPr>
                  <w:tcW w:w="2023" w:type="pct"/>
                  <w:vMerge w:val="continue"/>
                  <w:tcBorders>
                    <w:tl2br w:val="nil"/>
                    <w:tr2bl w:val="nil"/>
                  </w:tcBorders>
                  <w:noWrap w:val="0"/>
                  <w:vAlign w:val="center"/>
                </w:tcPr>
                <w:p w14:paraId="69E96D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r>
            <w:tr w14:paraId="3897D0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454123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continue"/>
                  <w:tcBorders>
                    <w:tl2br w:val="nil"/>
                    <w:tr2bl w:val="nil"/>
                  </w:tcBorders>
                  <w:noWrap w:val="0"/>
                  <w:vAlign w:val="center"/>
                </w:tcPr>
                <w:p w14:paraId="2C75FD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705" w:type="pct"/>
                  <w:tcBorders>
                    <w:tl2br w:val="nil"/>
                    <w:tr2bl w:val="nil"/>
                  </w:tcBorders>
                  <w:noWrap w:val="0"/>
                  <w:vAlign w:val="center"/>
                </w:tcPr>
                <w:p w14:paraId="3EA6980F">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NO</w:t>
                  </w:r>
                  <w:r>
                    <w:rPr>
                      <w:rFonts w:hint="default" w:ascii="Times New Roman" w:hAnsi="Times New Roman" w:cs="Times New Roman"/>
                      <w:color w:val="000000" w:themeColor="text1"/>
                      <w:vertAlign w:val="subscript"/>
                      <w14:textFill>
                        <w14:solidFill>
                          <w14:schemeClr w14:val="tx1"/>
                        </w14:solidFill>
                      </w14:textFill>
                    </w:rPr>
                    <w:t>x</w:t>
                  </w:r>
                </w:p>
              </w:tc>
              <w:tc>
                <w:tcPr>
                  <w:tcW w:w="594" w:type="pct"/>
                  <w:tcBorders>
                    <w:tl2br w:val="nil"/>
                    <w:tr2bl w:val="nil"/>
                  </w:tcBorders>
                  <w:noWrap w:val="0"/>
                  <w:vAlign w:val="center"/>
                </w:tcPr>
                <w:p w14:paraId="01421F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m</w:t>
                  </w:r>
                  <w:r>
                    <w:rPr>
                      <w:rFonts w:hint="default" w:ascii="Times New Roman" w:hAnsi="Times New Roman" w:cs="Times New Roman"/>
                      <w:bCs/>
                      <w:color w:val="000000" w:themeColor="text1"/>
                      <w:szCs w:val="21"/>
                      <w14:textFill>
                        <w14:solidFill>
                          <w14:schemeClr w14:val="tx1"/>
                        </w14:solidFill>
                      </w14:textFill>
                    </w:rPr>
                    <w:t>g/m</w:t>
                  </w:r>
                  <w:r>
                    <w:rPr>
                      <w:rFonts w:hint="default" w:ascii="Times New Roman" w:hAnsi="Times New Roman" w:cs="Times New Roman"/>
                      <w:bCs/>
                      <w:color w:val="000000" w:themeColor="text1"/>
                      <w:szCs w:val="21"/>
                      <w:vertAlign w:val="superscript"/>
                      <w14:textFill>
                        <w14:solidFill>
                          <w14:schemeClr w14:val="tx1"/>
                        </w14:solidFill>
                      </w14:textFill>
                    </w:rPr>
                    <w:t>3</w:t>
                  </w:r>
                </w:p>
              </w:tc>
              <w:tc>
                <w:tcPr>
                  <w:tcW w:w="679" w:type="pct"/>
                  <w:tcBorders>
                    <w:tl2br w:val="nil"/>
                    <w:tr2bl w:val="nil"/>
                  </w:tcBorders>
                  <w:noWrap w:val="0"/>
                  <w:vAlign w:val="center"/>
                </w:tcPr>
                <w:p w14:paraId="083FC56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4</w:t>
                  </w:r>
                  <w:r>
                    <w:rPr>
                      <w:rFonts w:hint="default" w:ascii="Times New Roman" w:hAnsi="Times New Roman" w:cs="Times New Roman"/>
                      <w:color w:val="000000" w:themeColor="text1"/>
                      <w:szCs w:val="21"/>
                      <w14:textFill>
                        <w14:solidFill>
                          <w14:schemeClr w14:val="tx1"/>
                        </w14:solidFill>
                      </w14:textFill>
                    </w:rPr>
                    <w:t>00</w:t>
                  </w:r>
                </w:p>
              </w:tc>
              <w:tc>
                <w:tcPr>
                  <w:tcW w:w="2023" w:type="pct"/>
                  <w:vMerge w:val="continue"/>
                  <w:tcBorders>
                    <w:tl2br w:val="nil"/>
                    <w:tr2bl w:val="nil"/>
                  </w:tcBorders>
                  <w:noWrap w:val="0"/>
                  <w:vAlign w:val="center"/>
                </w:tcPr>
                <w:p w14:paraId="6D97C5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r>
            <w:tr w14:paraId="1E571F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5A162F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restart"/>
                  <w:tcBorders>
                    <w:tl2br w:val="nil"/>
                    <w:tr2bl w:val="nil"/>
                  </w:tcBorders>
                  <w:shd w:val="clear" w:color="auto" w:fill="auto"/>
                  <w:noWrap w:val="0"/>
                  <w:vAlign w:val="center"/>
                </w:tcPr>
                <w:p w14:paraId="2AB73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蒸汽</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锅炉</w:t>
                  </w:r>
                </w:p>
                <w:p w14:paraId="3FF3D7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705" w:type="pct"/>
                  <w:tcBorders>
                    <w:tl2br w:val="nil"/>
                    <w:tr2bl w:val="nil"/>
                  </w:tcBorders>
                  <w:shd w:val="clear" w:color="auto" w:fill="auto"/>
                  <w:noWrap w:val="0"/>
                  <w:vAlign w:val="center"/>
                </w:tcPr>
                <w:p w14:paraId="6758A0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10"/>
                      <w:sz w:val="21"/>
                      <w:szCs w:val="21"/>
                      <w14:textFill>
                        <w14:solidFill>
                          <w14:schemeClr w14:val="tx1"/>
                        </w14:solidFill>
                      </w14:textFill>
                    </w:rPr>
                    <w:t>烟尘</w:t>
                  </w:r>
                </w:p>
              </w:tc>
              <w:tc>
                <w:tcPr>
                  <w:tcW w:w="594" w:type="pct"/>
                  <w:tcBorders>
                    <w:tl2br w:val="nil"/>
                    <w:tr2bl w:val="nil"/>
                  </w:tcBorders>
                  <w:shd w:val="clear" w:color="auto" w:fill="auto"/>
                  <w:noWrap w:val="0"/>
                  <w:vAlign w:val="center"/>
                </w:tcPr>
                <w:p w14:paraId="31811C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mg/m</w:t>
                  </w:r>
                  <w:r>
                    <w:rPr>
                      <w:rFonts w:hint="default" w:ascii="Times New Roman" w:hAnsi="Times New Roman" w:cs="Times New Roman"/>
                      <w:bCs/>
                      <w:color w:val="000000" w:themeColor="text1"/>
                      <w:szCs w:val="21"/>
                      <w:vertAlign w:val="superscript"/>
                      <w14:textFill>
                        <w14:solidFill>
                          <w14:schemeClr w14:val="tx1"/>
                        </w14:solidFill>
                      </w14:textFill>
                    </w:rPr>
                    <w:t>3</w:t>
                  </w:r>
                </w:p>
              </w:tc>
              <w:tc>
                <w:tcPr>
                  <w:tcW w:w="679" w:type="pct"/>
                  <w:tcBorders>
                    <w:tl2br w:val="nil"/>
                    <w:tr2bl w:val="nil"/>
                  </w:tcBorders>
                  <w:shd w:val="clear" w:color="auto" w:fill="auto"/>
                  <w:noWrap w:val="0"/>
                  <w:vAlign w:val="center"/>
                </w:tcPr>
                <w:p w14:paraId="13A25A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pacing w:val="5"/>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5</w:t>
                  </w:r>
                </w:p>
              </w:tc>
              <w:tc>
                <w:tcPr>
                  <w:tcW w:w="2023" w:type="pct"/>
                  <w:vMerge w:val="restart"/>
                  <w:tcBorders>
                    <w:tl2br w:val="nil"/>
                    <w:tr2bl w:val="nil"/>
                  </w:tcBorders>
                  <w:noWrap w:val="0"/>
                  <w:vAlign w:val="center"/>
                </w:tcPr>
                <w:p w14:paraId="1D742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《锅炉大气污染物排放标准》（DB13/5161—2020）表1大气污染物排放限值</w:t>
                  </w:r>
                </w:p>
              </w:tc>
            </w:tr>
            <w:tr w14:paraId="32F944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03FE90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continue"/>
                  <w:tcBorders>
                    <w:tl2br w:val="nil"/>
                    <w:tr2bl w:val="nil"/>
                  </w:tcBorders>
                  <w:noWrap w:val="0"/>
                  <w:vAlign w:val="center"/>
                </w:tcPr>
                <w:p w14:paraId="378089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705" w:type="pct"/>
                  <w:tcBorders>
                    <w:tl2br w:val="nil"/>
                    <w:tr2bl w:val="nil"/>
                  </w:tcBorders>
                  <w:shd w:val="clear" w:color="auto" w:fill="auto"/>
                  <w:noWrap w:val="0"/>
                  <w:vAlign w:val="center"/>
                </w:tcPr>
                <w:p w14:paraId="73259E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10"/>
                      <w:sz w:val="21"/>
                      <w:szCs w:val="21"/>
                      <w14:textFill>
                        <w14:solidFill>
                          <w14:schemeClr w14:val="tx1"/>
                        </w14:solidFill>
                      </w14:textFill>
                    </w:rPr>
                    <w:t>SO</w:t>
                  </w:r>
                  <w:r>
                    <w:rPr>
                      <w:rFonts w:hint="default" w:ascii="Times New Roman" w:hAnsi="Times New Roman" w:eastAsia="宋体" w:cs="Times New Roman"/>
                      <w:color w:val="000000" w:themeColor="text1"/>
                      <w:spacing w:val="-10"/>
                      <w:sz w:val="21"/>
                      <w:szCs w:val="21"/>
                      <w:vertAlign w:val="subscript"/>
                      <w14:textFill>
                        <w14:solidFill>
                          <w14:schemeClr w14:val="tx1"/>
                        </w14:solidFill>
                      </w14:textFill>
                    </w:rPr>
                    <w:t>2</w:t>
                  </w:r>
                </w:p>
              </w:tc>
              <w:tc>
                <w:tcPr>
                  <w:tcW w:w="594" w:type="pct"/>
                  <w:tcBorders>
                    <w:tl2br w:val="nil"/>
                    <w:tr2bl w:val="nil"/>
                  </w:tcBorders>
                  <w:shd w:val="clear" w:color="auto" w:fill="auto"/>
                  <w:noWrap w:val="0"/>
                  <w:vAlign w:val="center"/>
                </w:tcPr>
                <w:p w14:paraId="127B2C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mg/m</w:t>
                  </w:r>
                  <w:r>
                    <w:rPr>
                      <w:rFonts w:hint="default" w:ascii="Times New Roman" w:hAnsi="Times New Roman" w:cs="Times New Roman"/>
                      <w:bCs/>
                      <w:color w:val="000000" w:themeColor="text1"/>
                      <w:szCs w:val="21"/>
                      <w:vertAlign w:val="superscript"/>
                      <w14:textFill>
                        <w14:solidFill>
                          <w14:schemeClr w14:val="tx1"/>
                        </w14:solidFill>
                      </w14:textFill>
                    </w:rPr>
                    <w:t>3</w:t>
                  </w:r>
                </w:p>
              </w:tc>
              <w:tc>
                <w:tcPr>
                  <w:tcW w:w="679" w:type="pct"/>
                  <w:tcBorders>
                    <w:tl2br w:val="nil"/>
                    <w:tr2bl w:val="nil"/>
                  </w:tcBorders>
                  <w:shd w:val="clear" w:color="auto" w:fill="auto"/>
                  <w:noWrap w:val="0"/>
                  <w:vAlign w:val="center"/>
                </w:tcPr>
                <w:p w14:paraId="267B96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pacing w:val="7"/>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10</w:t>
                  </w:r>
                </w:p>
              </w:tc>
              <w:tc>
                <w:tcPr>
                  <w:tcW w:w="2023" w:type="pct"/>
                  <w:vMerge w:val="continue"/>
                  <w:tcBorders>
                    <w:tl2br w:val="nil"/>
                    <w:tr2bl w:val="nil"/>
                  </w:tcBorders>
                  <w:noWrap w:val="0"/>
                  <w:vAlign w:val="center"/>
                </w:tcPr>
                <w:p w14:paraId="57EB0F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r>
            <w:tr w14:paraId="5CAE41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588F34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continue"/>
                  <w:tcBorders>
                    <w:tl2br w:val="nil"/>
                    <w:tr2bl w:val="nil"/>
                  </w:tcBorders>
                  <w:noWrap w:val="0"/>
                  <w:vAlign w:val="center"/>
                </w:tcPr>
                <w:p w14:paraId="7C8625E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705" w:type="pct"/>
                  <w:tcBorders>
                    <w:tl2br w:val="nil"/>
                    <w:tr2bl w:val="nil"/>
                  </w:tcBorders>
                  <w:shd w:val="clear" w:color="auto" w:fill="auto"/>
                  <w:noWrap w:val="0"/>
                  <w:vAlign w:val="center"/>
                </w:tcPr>
                <w:p w14:paraId="26B64F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10"/>
                      <w:sz w:val="21"/>
                      <w:szCs w:val="21"/>
                      <w14:textFill>
                        <w14:solidFill>
                          <w14:schemeClr w14:val="tx1"/>
                        </w14:solidFill>
                      </w14:textFill>
                    </w:rPr>
                    <w:t>NOx</w:t>
                  </w:r>
                </w:p>
              </w:tc>
              <w:tc>
                <w:tcPr>
                  <w:tcW w:w="594" w:type="pct"/>
                  <w:tcBorders>
                    <w:tl2br w:val="nil"/>
                    <w:tr2bl w:val="nil"/>
                  </w:tcBorders>
                  <w:shd w:val="clear" w:color="auto" w:fill="auto"/>
                  <w:noWrap w:val="0"/>
                  <w:vAlign w:val="center"/>
                </w:tcPr>
                <w:p w14:paraId="2D0608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mg/m</w:t>
                  </w:r>
                  <w:r>
                    <w:rPr>
                      <w:rFonts w:hint="default" w:ascii="Times New Roman" w:hAnsi="Times New Roman" w:cs="Times New Roman"/>
                      <w:bCs/>
                      <w:color w:val="000000" w:themeColor="text1"/>
                      <w:szCs w:val="21"/>
                      <w:vertAlign w:val="superscript"/>
                      <w14:textFill>
                        <w14:solidFill>
                          <w14:schemeClr w14:val="tx1"/>
                        </w14:solidFill>
                      </w14:textFill>
                    </w:rPr>
                    <w:t>3</w:t>
                  </w:r>
                </w:p>
              </w:tc>
              <w:tc>
                <w:tcPr>
                  <w:tcW w:w="679" w:type="pct"/>
                  <w:tcBorders>
                    <w:tl2br w:val="nil"/>
                    <w:tr2bl w:val="nil"/>
                  </w:tcBorders>
                  <w:shd w:val="clear" w:color="auto" w:fill="auto"/>
                  <w:noWrap w:val="0"/>
                  <w:vAlign w:val="center"/>
                </w:tcPr>
                <w:p w14:paraId="20497A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pacing w:val="7"/>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50</w:t>
                  </w:r>
                </w:p>
              </w:tc>
              <w:tc>
                <w:tcPr>
                  <w:tcW w:w="2023" w:type="pct"/>
                  <w:vMerge w:val="continue"/>
                  <w:tcBorders>
                    <w:tl2br w:val="nil"/>
                    <w:tr2bl w:val="nil"/>
                  </w:tcBorders>
                  <w:noWrap w:val="0"/>
                  <w:vAlign w:val="center"/>
                </w:tcPr>
                <w:p w14:paraId="23E148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r>
            <w:tr w14:paraId="1D18D7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1AA95C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continue"/>
                  <w:tcBorders>
                    <w:tl2br w:val="nil"/>
                    <w:tr2bl w:val="nil"/>
                  </w:tcBorders>
                  <w:noWrap w:val="0"/>
                  <w:vAlign w:val="center"/>
                </w:tcPr>
                <w:p w14:paraId="74930E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705" w:type="pct"/>
                  <w:tcBorders>
                    <w:tl2br w:val="nil"/>
                    <w:tr2bl w:val="nil"/>
                  </w:tcBorders>
                  <w:shd w:val="clear" w:color="auto" w:fill="auto"/>
                  <w:noWrap w:val="0"/>
                  <w:vAlign w:val="center"/>
                </w:tcPr>
                <w:p w14:paraId="3904FA5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烟气黑度</w:t>
                  </w:r>
                </w:p>
                <w:p w14:paraId="71D1BA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23"/>
                      <w:sz w:val="21"/>
                      <w:szCs w:val="21"/>
                      <w:highlight w:val="none"/>
                      <w:lang w:val="en-US" w:eastAsia="zh-CN"/>
                      <w14:textFill>
                        <w14:solidFill>
                          <w14:schemeClr w14:val="tx1"/>
                        </w14:solidFill>
                      </w14:textFill>
                    </w:rPr>
                    <w:t>（林格曼黑度）</w:t>
                  </w:r>
                </w:p>
              </w:tc>
              <w:tc>
                <w:tcPr>
                  <w:tcW w:w="594" w:type="pct"/>
                  <w:tcBorders>
                    <w:tl2br w:val="nil"/>
                    <w:tr2bl w:val="nil"/>
                  </w:tcBorders>
                  <w:shd w:val="clear" w:color="auto" w:fill="auto"/>
                  <w:noWrap w:val="0"/>
                  <w:vAlign w:val="center"/>
                </w:tcPr>
                <w:p w14:paraId="5BAD2F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20"/>
                      <w:sz w:val="21"/>
                      <w:szCs w:val="21"/>
                      <w:highlight w:val="none"/>
                      <w:lang w:val="en-US" w:eastAsia="zh-CN"/>
                      <w14:textFill>
                        <w14:solidFill>
                          <w14:schemeClr w14:val="tx1"/>
                        </w14:solidFill>
                      </w14:textFill>
                    </w:rPr>
                    <w:t>级</w:t>
                  </w:r>
                </w:p>
              </w:tc>
              <w:tc>
                <w:tcPr>
                  <w:tcW w:w="679" w:type="pct"/>
                  <w:tcBorders>
                    <w:tl2br w:val="nil"/>
                    <w:tr2bl w:val="nil"/>
                  </w:tcBorders>
                  <w:shd w:val="clear" w:color="auto" w:fill="auto"/>
                  <w:noWrap w:val="0"/>
                  <w:vAlign w:val="center"/>
                </w:tcPr>
                <w:p w14:paraId="0C59AE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pacing w:val="7"/>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2023" w:type="pct"/>
                  <w:vMerge w:val="continue"/>
                  <w:tcBorders>
                    <w:tl2br w:val="nil"/>
                    <w:tr2bl w:val="nil"/>
                  </w:tcBorders>
                  <w:noWrap w:val="0"/>
                  <w:vAlign w:val="center"/>
                </w:tcPr>
                <w:p w14:paraId="6C69B6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r>
            <w:tr w14:paraId="31F62F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768723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restart"/>
                  <w:tcBorders>
                    <w:tl2br w:val="nil"/>
                    <w:tr2bl w:val="nil"/>
                  </w:tcBorders>
                  <w:noWrap w:val="0"/>
                  <w:vAlign w:val="center"/>
                </w:tcPr>
                <w:p w14:paraId="706355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default" w:ascii="Times New Roman" w:hAnsi="Times New Roman" w:cs="Times New Roman"/>
                      <w:b w:val="0"/>
                      <w:bCs w:val="0"/>
                      <w:color w:val="000000" w:themeColor="text1"/>
                      <w:sz w:val="21"/>
                      <w:szCs w:val="21"/>
                      <w:lang w:eastAsia="zh-CN"/>
                      <w14:textFill>
                        <w14:solidFill>
                          <w14:schemeClr w14:val="tx1"/>
                        </w14:solidFill>
                      </w14:textFill>
                    </w:rPr>
                    <w:t>无组织</w:t>
                  </w:r>
                </w:p>
              </w:tc>
              <w:tc>
                <w:tcPr>
                  <w:tcW w:w="705" w:type="pct"/>
                  <w:tcBorders>
                    <w:tl2br w:val="nil"/>
                    <w:tr2bl w:val="nil"/>
                  </w:tcBorders>
                  <w:noWrap w:val="0"/>
                  <w:vAlign w:val="center"/>
                </w:tcPr>
                <w:p w14:paraId="42608B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eastAsia="zh-CN"/>
                      <w14:textFill>
                        <w14:solidFill>
                          <w14:schemeClr w14:val="tx1"/>
                        </w14:solidFill>
                      </w14:textFill>
                    </w:rPr>
                    <w:t>颗粒物</w:t>
                  </w:r>
                </w:p>
              </w:tc>
              <w:tc>
                <w:tcPr>
                  <w:tcW w:w="594" w:type="pct"/>
                  <w:tcBorders>
                    <w:tl2br w:val="nil"/>
                    <w:tr2bl w:val="nil"/>
                  </w:tcBorders>
                  <w:noWrap w:val="0"/>
                  <w:vAlign w:val="center"/>
                </w:tcPr>
                <w:p w14:paraId="57CD97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p>
              </w:tc>
              <w:tc>
                <w:tcPr>
                  <w:tcW w:w="679" w:type="pct"/>
                  <w:tcBorders>
                    <w:tl2br w:val="nil"/>
                    <w:tr2bl w:val="nil"/>
                  </w:tcBorders>
                  <w:noWrap w:val="0"/>
                  <w:vAlign w:val="center"/>
                </w:tcPr>
                <w:p w14:paraId="16A606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1.0</w:t>
                  </w:r>
                </w:p>
              </w:tc>
              <w:tc>
                <w:tcPr>
                  <w:tcW w:w="2023" w:type="pct"/>
                  <w:tcBorders>
                    <w:tl2br w:val="nil"/>
                    <w:tr2bl w:val="nil"/>
                  </w:tcBorders>
                  <w:noWrap w:val="0"/>
                  <w:vAlign w:val="center"/>
                </w:tcPr>
                <w:p w14:paraId="184414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firstLine="420" w:firstLineChars="200"/>
                    <w:jc w:val="both"/>
                    <w:textAlignment w:val="auto"/>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r>
                    <w:rPr>
                      <w:rFonts w:hint="eastAsia" w:cs="Times New Roman"/>
                      <w:color w:val="000000" w:themeColor="text1"/>
                      <w:sz w:val="21"/>
                      <w:szCs w:val="21"/>
                      <w:lang w:eastAsia="zh-CN"/>
                      <w14:textFill>
                        <w14:solidFill>
                          <w14:schemeClr w14:val="tx1"/>
                        </w14:solidFill>
                      </w14:textFill>
                    </w:rPr>
                    <w:t>大气污染物综合排放标准</w:t>
                  </w:r>
                  <w:r>
                    <w:rPr>
                      <w:rFonts w:hint="default" w:ascii="Times New Roman" w:hAnsi="Times New Roman" w:cs="Times New Roman"/>
                      <w:color w:val="000000" w:themeColor="text1"/>
                      <w:sz w:val="21"/>
                      <w:szCs w:val="21"/>
                      <w14:textFill>
                        <w14:solidFill>
                          <w14:schemeClr w14:val="tx1"/>
                        </w14:solidFill>
                      </w14:textFill>
                    </w:rPr>
                    <w:t>》（GB16297-1996）中表2无组织排放浓度监控限值要求</w:t>
                  </w:r>
                </w:p>
              </w:tc>
            </w:tr>
            <w:tr w14:paraId="13300A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15E8BA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continue"/>
                  <w:tcBorders>
                    <w:tl2br w:val="nil"/>
                    <w:tr2bl w:val="nil"/>
                  </w:tcBorders>
                  <w:noWrap w:val="0"/>
                  <w:vAlign w:val="center"/>
                </w:tcPr>
                <w:p w14:paraId="72F0C2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eastAsia="zh-CN"/>
                      <w14:textFill>
                        <w14:solidFill>
                          <w14:schemeClr w14:val="tx1"/>
                        </w14:solidFill>
                      </w14:textFill>
                    </w:rPr>
                  </w:pPr>
                </w:p>
              </w:tc>
              <w:tc>
                <w:tcPr>
                  <w:tcW w:w="705" w:type="pct"/>
                  <w:tcBorders>
                    <w:tl2br w:val="nil"/>
                    <w:tr2bl w:val="nil"/>
                  </w:tcBorders>
                  <w:noWrap w:val="0"/>
                  <w:vAlign w:val="center"/>
                </w:tcPr>
                <w:p w14:paraId="1FE8E7B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eastAsia="zh-CN"/>
                      <w14:textFill>
                        <w14:solidFill>
                          <w14:schemeClr w14:val="tx1"/>
                        </w14:solidFill>
                      </w14:textFill>
                    </w:rPr>
                  </w:pPr>
                  <w:r>
                    <w:rPr>
                      <w:rFonts w:hint="default" w:ascii="Times New Roman" w:hAnsi="Times New Roman" w:cs="Times New Roman"/>
                      <w:b w:val="0"/>
                      <w:bCs w:val="0"/>
                      <w:color w:val="000000" w:themeColor="text1"/>
                      <w:sz w:val="21"/>
                      <w:szCs w:val="21"/>
                      <w:lang w:eastAsia="zh-CN"/>
                      <w14:textFill>
                        <w14:solidFill>
                          <w14:schemeClr w14:val="tx1"/>
                        </w14:solidFill>
                      </w14:textFill>
                    </w:rPr>
                    <w:t>氨</w:t>
                  </w:r>
                </w:p>
              </w:tc>
              <w:tc>
                <w:tcPr>
                  <w:tcW w:w="594" w:type="pct"/>
                  <w:tcBorders>
                    <w:tl2br w:val="nil"/>
                    <w:tr2bl w:val="nil"/>
                  </w:tcBorders>
                  <w:noWrap w:val="0"/>
                  <w:vAlign w:val="center"/>
                </w:tcPr>
                <w:p w14:paraId="041F71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p>
              </w:tc>
              <w:tc>
                <w:tcPr>
                  <w:tcW w:w="679" w:type="pct"/>
                  <w:tcBorders>
                    <w:tl2br w:val="nil"/>
                    <w:tr2bl w:val="nil"/>
                  </w:tcBorders>
                  <w:noWrap w:val="0"/>
                  <w:vAlign w:val="center"/>
                </w:tcPr>
                <w:p w14:paraId="10DA0B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1.5</w:t>
                  </w:r>
                </w:p>
              </w:tc>
              <w:tc>
                <w:tcPr>
                  <w:tcW w:w="2023" w:type="pct"/>
                  <w:vMerge w:val="restart"/>
                  <w:tcBorders>
                    <w:tl2br w:val="nil"/>
                    <w:tr2bl w:val="nil"/>
                  </w:tcBorders>
                  <w:noWrap w:val="0"/>
                  <w:vAlign w:val="center"/>
                </w:tcPr>
                <w:p w14:paraId="1D88D5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firstLine="420" w:firstLineChars="20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《恶臭污染物排放标准》 (GB14554-93)标准表1二级新扩改建标准</w:t>
                  </w:r>
                </w:p>
              </w:tc>
            </w:tr>
            <w:tr w14:paraId="48BDC6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31FBEF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continue"/>
                  <w:tcBorders>
                    <w:tl2br w:val="nil"/>
                    <w:tr2bl w:val="nil"/>
                  </w:tcBorders>
                  <w:noWrap w:val="0"/>
                  <w:vAlign w:val="center"/>
                </w:tcPr>
                <w:p w14:paraId="709F2A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eastAsia="zh-CN"/>
                      <w14:textFill>
                        <w14:solidFill>
                          <w14:schemeClr w14:val="tx1"/>
                        </w14:solidFill>
                      </w14:textFill>
                    </w:rPr>
                  </w:pPr>
                </w:p>
              </w:tc>
              <w:tc>
                <w:tcPr>
                  <w:tcW w:w="705" w:type="pct"/>
                  <w:tcBorders>
                    <w:tl2br w:val="nil"/>
                    <w:tr2bl w:val="nil"/>
                  </w:tcBorders>
                  <w:noWrap w:val="0"/>
                  <w:vAlign w:val="center"/>
                </w:tcPr>
                <w:p w14:paraId="2E0BCD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eastAsia="zh-CN"/>
                      <w14:textFill>
                        <w14:solidFill>
                          <w14:schemeClr w14:val="tx1"/>
                        </w14:solidFill>
                      </w14:textFill>
                    </w:rPr>
                  </w:pPr>
                  <w:r>
                    <w:rPr>
                      <w:rFonts w:hint="eastAsia" w:ascii="Times New Roman" w:hAnsi="Times New Roman" w:cs="Times New Roman"/>
                      <w:b w:val="0"/>
                      <w:bCs w:val="0"/>
                      <w:color w:val="000000" w:themeColor="text1"/>
                      <w:sz w:val="21"/>
                      <w:szCs w:val="21"/>
                      <w:lang w:eastAsia="zh-CN"/>
                      <w14:textFill>
                        <w14:solidFill>
                          <w14:schemeClr w14:val="tx1"/>
                        </w14:solidFill>
                      </w14:textFill>
                    </w:rPr>
                    <w:t>硫化氢</w:t>
                  </w:r>
                </w:p>
              </w:tc>
              <w:tc>
                <w:tcPr>
                  <w:tcW w:w="594" w:type="pct"/>
                  <w:tcBorders>
                    <w:tl2br w:val="nil"/>
                    <w:tr2bl w:val="nil"/>
                  </w:tcBorders>
                  <w:noWrap w:val="0"/>
                  <w:vAlign w:val="center"/>
                </w:tcPr>
                <w:p w14:paraId="2E6D63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p>
              </w:tc>
              <w:tc>
                <w:tcPr>
                  <w:tcW w:w="679" w:type="pct"/>
                  <w:tcBorders>
                    <w:tl2br w:val="nil"/>
                    <w:tr2bl w:val="nil"/>
                  </w:tcBorders>
                  <w:noWrap w:val="0"/>
                  <w:vAlign w:val="center"/>
                </w:tcPr>
                <w:p w14:paraId="20DD54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0.06</w:t>
                  </w:r>
                </w:p>
              </w:tc>
              <w:tc>
                <w:tcPr>
                  <w:tcW w:w="2023" w:type="pct"/>
                  <w:vMerge w:val="continue"/>
                  <w:tcBorders>
                    <w:tl2br w:val="nil"/>
                    <w:tr2bl w:val="nil"/>
                  </w:tcBorders>
                  <w:noWrap w:val="0"/>
                  <w:vAlign w:val="center"/>
                </w:tcPr>
                <w:p w14:paraId="68D3D6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firstLine="420" w:firstLineChars="20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4A2F9E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69" w:type="pct"/>
                  <w:vMerge w:val="continue"/>
                  <w:tcBorders>
                    <w:tl2br w:val="nil"/>
                    <w:tr2bl w:val="nil"/>
                  </w:tcBorders>
                  <w:noWrap w:val="0"/>
                  <w:vAlign w:val="center"/>
                </w:tcPr>
                <w:p w14:paraId="0FC41A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14:textFill>
                        <w14:solidFill>
                          <w14:schemeClr w14:val="tx1"/>
                        </w14:solidFill>
                      </w14:textFill>
                    </w:rPr>
                  </w:pPr>
                </w:p>
              </w:tc>
              <w:tc>
                <w:tcPr>
                  <w:tcW w:w="728" w:type="pct"/>
                  <w:vMerge w:val="continue"/>
                  <w:tcBorders>
                    <w:tl2br w:val="nil"/>
                    <w:tr2bl w:val="nil"/>
                  </w:tcBorders>
                  <w:noWrap w:val="0"/>
                  <w:vAlign w:val="center"/>
                </w:tcPr>
                <w:p w14:paraId="4AE9DB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eastAsia="zh-CN"/>
                      <w14:textFill>
                        <w14:solidFill>
                          <w14:schemeClr w14:val="tx1"/>
                        </w14:solidFill>
                      </w14:textFill>
                    </w:rPr>
                  </w:pPr>
                </w:p>
              </w:tc>
              <w:tc>
                <w:tcPr>
                  <w:tcW w:w="705" w:type="pct"/>
                  <w:tcBorders>
                    <w:tl2br w:val="nil"/>
                    <w:tr2bl w:val="nil"/>
                  </w:tcBorders>
                  <w:noWrap w:val="0"/>
                  <w:vAlign w:val="center"/>
                </w:tcPr>
                <w:p w14:paraId="2AD40A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ascii="Times New Roman" w:hAnsi="Times New Roman" w:cs="Times New Roman"/>
                      <w:b w:val="0"/>
                      <w:bCs w:val="0"/>
                      <w:color w:val="000000" w:themeColor="text1"/>
                      <w:sz w:val="21"/>
                      <w:szCs w:val="21"/>
                      <w:lang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臭气浓度</w:t>
                  </w:r>
                </w:p>
              </w:tc>
              <w:tc>
                <w:tcPr>
                  <w:tcW w:w="594" w:type="pct"/>
                  <w:tcBorders>
                    <w:tl2br w:val="nil"/>
                    <w:tr2bl w:val="nil"/>
                  </w:tcBorders>
                  <w:noWrap w:val="0"/>
                  <w:vAlign w:val="center"/>
                </w:tcPr>
                <w:p w14:paraId="09CE06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无量纲</w:t>
                  </w:r>
                </w:p>
              </w:tc>
              <w:tc>
                <w:tcPr>
                  <w:tcW w:w="679" w:type="pct"/>
                  <w:tcBorders>
                    <w:tl2br w:val="nil"/>
                    <w:tr2bl w:val="nil"/>
                  </w:tcBorders>
                  <w:noWrap w:val="0"/>
                  <w:vAlign w:val="center"/>
                </w:tcPr>
                <w:p w14:paraId="0DE108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20</w:t>
                  </w:r>
                </w:p>
              </w:tc>
              <w:tc>
                <w:tcPr>
                  <w:tcW w:w="2023" w:type="pct"/>
                  <w:vMerge w:val="continue"/>
                  <w:tcBorders>
                    <w:tl2br w:val="nil"/>
                    <w:tr2bl w:val="nil"/>
                  </w:tcBorders>
                  <w:noWrap w:val="0"/>
                  <w:vAlign w:val="center"/>
                </w:tcPr>
                <w:p w14:paraId="5131C0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firstLine="420" w:firstLineChars="20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r>
          </w:tbl>
          <w:p w14:paraId="1AB9A680">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default" w:ascii="Times New Roman" w:hAnsi="Times New Roman"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废水</w:t>
            </w:r>
          </w:p>
          <w:p w14:paraId="1679F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ascii="Times New Roman" w:hAnsi="Times New Roman" w:cs="Times New Roman"/>
                <w:color w:val="auto"/>
                <w:kern w:val="0"/>
                <w:sz w:val="24"/>
              </w:rPr>
            </w:pPr>
            <w:r>
              <w:rPr>
                <w:rFonts w:hint="default" w:ascii="Times New Roman" w:hAnsi="Times New Roman" w:cs="Times New Roman"/>
                <w:color w:val="000000" w:themeColor="text1"/>
                <w:sz w:val="24"/>
                <w14:textFill>
                  <w14:solidFill>
                    <w14:schemeClr w14:val="tx1"/>
                  </w14:solidFill>
                </w14:textFill>
              </w:rPr>
              <w:t>废水排放执行</w:t>
            </w:r>
            <w:r>
              <w:rPr>
                <w:rFonts w:hint="default" w:ascii="Times New Roman" w:hAnsi="Times New Roman" w:cs="Times New Roman"/>
                <w:color w:val="000000" w:themeColor="text1"/>
                <w:sz w:val="24"/>
                <w:lang w:val="en-US" w:eastAsia="zh-CN"/>
                <w14:textFill>
                  <w14:solidFill>
                    <w14:schemeClr w14:val="tx1"/>
                  </w14:solidFill>
                </w14:textFill>
              </w:rPr>
              <w:t>《污</w:t>
            </w:r>
            <w:r>
              <w:rPr>
                <w:rFonts w:hint="default" w:ascii="Times New Roman" w:hAnsi="Times New Roman" w:cs="Times New Roman"/>
                <w:color w:val="auto"/>
                <w:sz w:val="24"/>
                <w:lang w:val="en-US" w:eastAsia="zh-CN"/>
              </w:rPr>
              <w:t>水综合排放标准》（GB8978-1996）表4三级标准</w:t>
            </w:r>
            <w:r>
              <w:rPr>
                <w:rFonts w:hint="default" w:ascii="Times New Roman" w:hAnsi="Times New Roman" w:cs="Times New Roman"/>
                <w:color w:val="auto"/>
                <w:sz w:val="24"/>
              </w:rPr>
              <w:t>，同时满足</w:t>
            </w:r>
            <w:r>
              <w:rPr>
                <w:rFonts w:hint="default" w:ascii="Times New Roman" w:hAnsi="Times New Roman" w:cs="Times New Roman"/>
                <w:color w:val="auto"/>
                <w:sz w:val="24"/>
                <w:lang w:val="en-US" w:eastAsia="zh-CN"/>
              </w:rPr>
              <w:t>魏县经济开发区污水处理有限公司</w:t>
            </w:r>
            <w:r>
              <w:rPr>
                <w:rFonts w:hint="default" w:ascii="Times New Roman" w:hAnsi="Times New Roman" w:cs="Times New Roman"/>
                <w:color w:val="auto"/>
                <w:sz w:val="24"/>
              </w:rPr>
              <w:t>进水水质要求</w:t>
            </w:r>
            <w:r>
              <w:rPr>
                <w:rFonts w:hint="default" w:ascii="Times New Roman" w:hAnsi="Times New Roman" w:cs="Times New Roman"/>
                <w:color w:val="auto"/>
                <w:kern w:val="0"/>
                <w:sz w:val="24"/>
              </w:rPr>
              <w:t>。详见表</w:t>
            </w:r>
            <w:r>
              <w:rPr>
                <w:rFonts w:hint="default" w:ascii="Times New Roman" w:hAnsi="Times New Roman" w:cs="Times New Roman"/>
                <w:color w:val="auto"/>
                <w:kern w:val="0"/>
                <w:sz w:val="24"/>
                <w:lang w:val="en-US" w:eastAsia="zh-CN"/>
              </w:rPr>
              <w:t>3-7</w:t>
            </w:r>
            <w:r>
              <w:rPr>
                <w:rFonts w:hint="default" w:ascii="Times New Roman" w:hAnsi="Times New Roman" w:cs="Times New Roman"/>
                <w:color w:val="auto"/>
                <w:kern w:val="0"/>
                <w:sz w:val="24"/>
              </w:rPr>
              <w:t>。</w:t>
            </w:r>
          </w:p>
          <w:p w14:paraId="3FDAEB0F">
            <w:pPr>
              <w:keepNext w:val="0"/>
              <w:keepLines w:val="0"/>
              <w:suppressLineNumbers w:val="0"/>
              <w:spacing w:before="0" w:beforeAutospacing="0" w:after="0" w:afterAutospacing="0" w:line="500" w:lineRule="exact"/>
              <w:ind w:left="0" w:right="0"/>
              <w:jc w:val="center"/>
              <w:rPr>
                <w:rFonts w:hint="eastAsia" w:ascii="Times New Roman" w:hAnsi="Times New Roman" w:eastAsia="宋体" w:cs="Times New Roman"/>
                <w:b/>
                <w:color w:val="auto"/>
                <w:sz w:val="24"/>
                <w:lang w:val="en-US" w:eastAsia="zh-CN"/>
              </w:rPr>
            </w:pPr>
            <w:r>
              <w:rPr>
                <w:rFonts w:hint="default" w:ascii="Times New Roman" w:hAnsi="Times New Roman" w:cs="Times New Roman"/>
                <w:b/>
                <w:color w:val="auto"/>
                <w:sz w:val="24"/>
              </w:rPr>
              <w:t>表</w:t>
            </w:r>
            <w:r>
              <w:rPr>
                <w:rFonts w:hint="default" w:ascii="Times New Roman" w:hAnsi="Times New Roman" w:cs="Times New Roman"/>
                <w:b/>
                <w:color w:val="auto"/>
                <w:sz w:val="24"/>
                <w:lang w:val="en-US" w:eastAsia="zh-CN"/>
              </w:rPr>
              <w:t>3-7</w:t>
            </w:r>
            <w:r>
              <w:rPr>
                <w:rFonts w:hint="default" w:ascii="Times New Roman" w:hAnsi="Times New Roman" w:cs="Times New Roman"/>
                <w:b/>
                <w:color w:val="auto"/>
                <w:sz w:val="24"/>
              </w:rPr>
              <w:t xml:space="preserve">  污染物排放限值</w:t>
            </w:r>
            <w:r>
              <w:rPr>
                <w:rFonts w:hint="eastAsia" w:cs="Times New Roman"/>
                <w:b/>
                <w:color w:val="auto"/>
                <w:sz w:val="24"/>
                <w:lang w:eastAsia="zh-CN"/>
              </w:rPr>
              <w:t>一览表</w:t>
            </w:r>
          </w:p>
          <w:tbl>
            <w:tblPr>
              <w:tblStyle w:val="33"/>
              <w:tblW w:w="79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908"/>
              <w:gridCol w:w="1694"/>
              <w:gridCol w:w="1385"/>
              <w:gridCol w:w="1385"/>
              <w:gridCol w:w="2625"/>
            </w:tblGrid>
            <w:tr w14:paraId="525A62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tcBorders>
                    <w:tl2br w:val="nil"/>
                    <w:tr2bl w:val="nil"/>
                  </w:tcBorders>
                  <w:noWrap w:val="0"/>
                  <w:vAlign w:val="center"/>
                </w:tcPr>
                <w:p w14:paraId="0EEDF5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bCs w:val="0"/>
                      <w:color w:val="auto"/>
                      <w:kern w:val="0"/>
                      <w:szCs w:val="21"/>
                    </w:rPr>
                  </w:pPr>
                  <w:r>
                    <w:rPr>
                      <w:rFonts w:hint="default" w:ascii="Times New Roman" w:hAnsi="Times New Roman" w:cs="Times New Roman"/>
                      <w:b/>
                      <w:bCs w:val="0"/>
                      <w:color w:val="auto"/>
                      <w:szCs w:val="21"/>
                    </w:rPr>
                    <w:t>环境要素</w:t>
                  </w:r>
                </w:p>
              </w:tc>
              <w:tc>
                <w:tcPr>
                  <w:tcW w:w="1694" w:type="dxa"/>
                  <w:tcBorders>
                    <w:tl2br w:val="nil"/>
                    <w:tr2bl w:val="nil"/>
                  </w:tcBorders>
                  <w:noWrap w:val="0"/>
                  <w:vAlign w:val="center"/>
                </w:tcPr>
                <w:p w14:paraId="7EFEA187">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b/>
                      <w:bCs w:val="0"/>
                      <w:color w:val="auto"/>
                      <w:kern w:val="0"/>
                      <w:szCs w:val="21"/>
                    </w:rPr>
                  </w:pPr>
                  <w:r>
                    <w:rPr>
                      <w:rFonts w:hint="default" w:ascii="Times New Roman" w:hAnsi="Times New Roman" w:cs="Times New Roman"/>
                      <w:b/>
                      <w:bCs w:val="0"/>
                      <w:color w:val="auto"/>
                      <w:kern w:val="0"/>
                      <w:szCs w:val="21"/>
                    </w:rPr>
                    <w:t>评价因子</w:t>
                  </w:r>
                </w:p>
              </w:tc>
              <w:tc>
                <w:tcPr>
                  <w:tcW w:w="1385" w:type="dxa"/>
                  <w:tcBorders>
                    <w:tl2br w:val="nil"/>
                    <w:tr2bl w:val="nil"/>
                  </w:tcBorders>
                  <w:noWrap w:val="0"/>
                  <w:vAlign w:val="center"/>
                </w:tcPr>
                <w:p w14:paraId="75040B28">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b/>
                      <w:bCs w:val="0"/>
                      <w:color w:val="auto"/>
                      <w:kern w:val="0"/>
                      <w:szCs w:val="21"/>
                    </w:rPr>
                  </w:pPr>
                  <w:r>
                    <w:rPr>
                      <w:rFonts w:hint="eastAsia" w:cs="Times New Roman"/>
                      <w:b/>
                      <w:bCs w:val="0"/>
                      <w:color w:val="auto"/>
                      <w:sz w:val="21"/>
                      <w:szCs w:val="21"/>
                      <w:lang w:eastAsia="zh-CN"/>
                    </w:rPr>
                    <w:t>单位</w:t>
                  </w:r>
                </w:p>
              </w:tc>
              <w:tc>
                <w:tcPr>
                  <w:tcW w:w="1385" w:type="dxa"/>
                  <w:tcBorders>
                    <w:tl2br w:val="nil"/>
                    <w:tr2bl w:val="nil"/>
                  </w:tcBorders>
                  <w:noWrap w:val="0"/>
                  <w:vAlign w:val="center"/>
                </w:tcPr>
                <w:p w14:paraId="7AD94A9D">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b/>
                      <w:bCs w:val="0"/>
                      <w:color w:val="auto"/>
                      <w:kern w:val="0"/>
                      <w:szCs w:val="21"/>
                    </w:rPr>
                  </w:pPr>
                  <w:r>
                    <w:rPr>
                      <w:rFonts w:hint="default" w:ascii="Times New Roman" w:hAnsi="Times New Roman" w:cs="Times New Roman"/>
                      <w:b/>
                      <w:bCs w:val="0"/>
                      <w:color w:val="auto"/>
                      <w:kern w:val="0"/>
                      <w:szCs w:val="21"/>
                    </w:rPr>
                    <w:t>标准值</w:t>
                  </w:r>
                </w:p>
              </w:tc>
              <w:tc>
                <w:tcPr>
                  <w:tcW w:w="2625" w:type="dxa"/>
                  <w:tcBorders>
                    <w:tl2br w:val="nil"/>
                    <w:tr2bl w:val="nil"/>
                  </w:tcBorders>
                  <w:noWrap w:val="0"/>
                  <w:vAlign w:val="center"/>
                </w:tcPr>
                <w:p w14:paraId="21D14139">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b/>
                      <w:bCs w:val="0"/>
                      <w:color w:val="auto"/>
                      <w:kern w:val="0"/>
                      <w:szCs w:val="21"/>
                    </w:rPr>
                  </w:pPr>
                  <w:r>
                    <w:rPr>
                      <w:rFonts w:hint="default" w:ascii="Times New Roman" w:hAnsi="Times New Roman" w:cs="Times New Roman"/>
                      <w:b/>
                      <w:bCs w:val="0"/>
                      <w:color w:val="auto"/>
                      <w:kern w:val="0"/>
                      <w:szCs w:val="21"/>
                    </w:rPr>
                    <w:t>标准名称</w:t>
                  </w:r>
                </w:p>
              </w:tc>
            </w:tr>
            <w:tr w14:paraId="744D3F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restart"/>
                  <w:tcBorders>
                    <w:tl2br w:val="nil"/>
                    <w:tr2bl w:val="nil"/>
                  </w:tcBorders>
                  <w:noWrap w:val="0"/>
                  <w:vAlign w:val="center"/>
                </w:tcPr>
                <w:p w14:paraId="4B0236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bCs/>
                      <w:color w:val="auto"/>
                      <w:kern w:val="0"/>
                      <w:szCs w:val="21"/>
                    </w:rPr>
                  </w:pPr>
                  <w:r>
                    <w:rPr>
                      <w:rFonts w:hint="default" w:ascii="Times New Roman" w:hAnsi="Times New Roman" w:cs="Times New Roman"/>
                      <w:bCs/>
                      <w:color w:val="auto"/>
                      <w:kern w:val="0"/>
                      <w:szCs w:val="21"/>
                    </w:rPr>
                    <w:t>废水</w:t>
                  </w:r>
                </w:p>
              </w:tc>
              <w:tc>
                <w:tcPr>
                  <w:tcW w:w="1694" w:type="dxa"/>
                  <w:tcBorders>
                    <w:tl2br w:val="nil"/>
                    <w:tr2bl w:val="nil"/>
                  </w:tcBorders>
                  <w:noWrap w:val="0"/>
                  <w:vAlign w:val="center"/>
                </w:tcPr>
                <w:p w14:paraId="16048FED">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lang w:eastAsia="zh-CN"/>
                    </w:rPr>
                    <w:t>pH</w:t>
                  </w:r>
                </w:p>
              </w:tc>
              <w:tc>
                <w:tcPr>
                  <w:tcW w:w="1385" w:type="dxa"/>
                  <w:tcBorders>
                    <w:tl2br w:val="nil"/>
                    <w:tr2bl w:val="nil"/>
                  </w:tcBorders>
                  <w:noWrap w:val="0"/>
                  <w:vAlign w:val="center"/>
                </w:tcPr>
                <w:p w14:paraId="1B2E81B9">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Times New Roman" w:hAnsi="Times New Roman" w:eastAsia="宋体" w:cs="Times New Roman"/>
                      <w:color w:val="auto"/>
                      <w:lang w:eastAsia="zh-CN"/>
                    </w:rPr>
                  </w:pPr>
                  <w:r>
                    <w:rPr>
                      <w:rFonts w:hint="eastAsia" w:cs="Times New Roman"/>
                      <w:color w:val="auto"/>
                      <w:lang w:eastAsia="zh-CN"/>
                    </w:rPr>
                    <w:t>无量纲</w:t>
                  </w:r>
                </w:p>
              </w:tc>
              <w:tc>
                <w:tcPr>
                  <w:tcW w:w="1385" w:type="dxa"/>
                  <w:tcBorders>
                    <w:tl2br w:val="nil"/>
                    <w:tr2bl w:val="nil"/>
                  </w:tcBorders>
                  <w:noWrap w:val="0"/>
                  <w:vAlign w:val="center"/>
                </w:tcPr>
                <w:p w14:paraId="3F649F8D">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rPr>
                    <w:t>6~9</w:t>
                  </w:r>
                </w:p>
              </w:tc>
              <w:tc>
                <w:tcPr>
                  <w:tcW w:w="2625" w:type="dxa"/>
                  <w:vMerge w:val="restart"/>
                  <w:tcBorders>
                    <w:tl2br w:val="nil"/>
                    <w:tr2bl w:val="nil"/>
                  </w:tcBorders>
                  <w:noWrap w:val="0"/>
                  <w:vAlign w:val="center"/>
                </w:tcPr>
                <w:p w14:paraId="4BAF028D">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firstLine="420" w:firstLineChars="20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《污水综合排放标准》</w:t>
                  </w:r>
                </w:p>
                <w:p w14:paraId="76782B82">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（GB8978-96）表4中的三级标准</w:t>
                  </w:r>
                </w:p>
              </w:tc>
            </w:tr>
            <w:tr w14:paraId="0BD34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525CFA71">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43203BA4">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rPr>
                    <w:t>COD</w:t>
                  </w:r>
                </w:p>
              </w:tc>
              <w:tc>
                <w:tcPr>
                  <w:tcW w:w="1385" w:type="dxa"/>
                  <w:tcBorders>
                    <w:tl2br w:val="nil"/>
                    <w:tr2bl w:val="nil"/>
                  </w:tcBorders>
                  <w:noWrap w:val="0"/>
                  <w:vAlign w:val="center"/>
                </w:tcPr>
                <w:p w14:paraId="39B663B9">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t>mg/L</w:t>
                  </w:r>
                </w:p>
              </w:tc>
              <w:tc>
                <w:tcPr>
                  <w:tcW w:w="1385" w:type="dxa"/>
                  <w:tcBorders>
                    <w:tl2br w:val="nil"/>
                    <w:tr2bl w:val="nil"/>
                  </w:tcBorders>
                  <w:noWrap w:val="0"/>
                  <w:vAlign w:val="center"/>
                </w:tcPr>
                <w:p w14:paraId="5DC1D703">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rPr>
                    <w:t>500</w:t>
                  </w:r>
                </w:p>
              </w:tc>
              <w:tc>
                <w:tcPr>
                  <w:tcW w:w="2625" w:type="dxa"/>
                  <w:vMerge w:val="continue"/>
                  <w:tcBorders>
                    <w:tl2br w:val="nil"/>
                    <w:tr2bl w:val="nil"/>
                  </w:tcBorders>
                  <w:noWrap w:val="0"/>
                  <w:vAlign w:val="center"/>
                </w:tcPr>
                <w:p w14:paraId="4BCBEE03">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color w:val="auto"/>
                      <w:kern w:val="0"/>
                      <w:szCs w:val="21"/>
                    </w:rPr>
                  </w:pPr>
                </w:p>
              </w:tc>
            </w:tr>
            <w:tr w14:paraId="1F3FA3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4847A8ED">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47637D82">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1385" w:type="dxa"/>
                  <w:tcBorders>
                    <w:tl2br w:val="nil"/>
                    <w:tr2bl w:val="nil"/>
                  </w:tcBorders>
                  <w:noWrap w:val="0"/>
                  <w:vAlign w:val="center"/>
                </w:tcPr>
                <w:p w14:paraId="6C3FDDE3">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t>mg/L</w:t>
                  </w:r>
                </w:p>
              </w:tc>
              <w:tc>
                <w:tcPr>
                  <w:tcW w:w="1385" w:type="dxa"/>
                  <w:tcBorders>
                    <w:tl2br w:val="nil"/>
                    <w:tr2bl w:val="nil"/>
                  </w:tcBorders>
                  <w:noWrap w:val="0"/>
                  <w:vAlign w:val="center"/>
                </w:tcPr>
                <w:p w14:paraId="18AFF85A">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rPr>
                    <w:t>300</w:t>
                  </w:r>
                </w:p>
              </w:tc>
              <w:tc>
                <w:tcPr>
                  <w:tcW w:w="2625" w:type="dxa"/>
                  <w:vMerge w:val="continue"/>
                  <w:tcBorders>
                    <w:tl2br w:val="nil"/>
                    <w:tr2bl w:val="nil"/>
                  </w:tcBorders>
                  <w:noWrap w:val="0"/>
                  <w:vAlign w:val="center"/>
                </w:tcPr>
                <w:p w14:paraId="2773F6BF">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color w:val="auto"/>
                      <w:kern w:val="0"/>
                      <w:szCs w:val="21"/>
                    </w:rPr>
                  </w:pPr>
                </w:p>
              </w:tc>
            </w:tr>
            <w:tr w14:paraId="0FEF0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3AA49D00">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1CB67319">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rPr>
                    <w:t>SS</w:t>
                  </w:r>
                </w:p>
              </w:tc>
              <w:tc>
                <w:tcPr>
                  <w:tcW w:w="1385" w:type="dxa"/>
                  <w:tcBorders>
                    <w:tl2br w:val="nil"/>
                    <w:tr2bl w:val="nil"/>
                  </w:tcBorders>
                  <w:noWrap w:val="0"/>
                  <w:vAlign w:val="center"/>
                </w:tcPr>
                <w:p w14:paraId="30C8FC59">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t>mg/L</w:t>
                  </w:r>
                </w:p>
              </w:tc>
              <w:tc>
                <w:tcPr>
                  <w:tcW w:w="1385" w:type="dxa"/>
                  <w:tcBorders>
                    <w:tl2br w:val="nil"/>
                    <w:tr2bl w:val="nil"/>
                  </w:tcBorders>
                  <w:noWrap w:val="0"/>
                  <w:vAlign w:val="center"/>
                </w:tcPr>
                <w:p w14:paraId="00132861">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rPr>
                    <w:t>400</w:t>
                  </w:r>
                </w:p>
              </w:tc>
              <w:tc>
                <w:tcPr>
                  <w:tcW w:w="2625" w:type="dxa"/>
                  <w:vMerge w:val="continue"/>
                  <w:tcBorders>
                    <w:tl2br w:val="nil"/>
                    <w:tr2bl w:val="nil"/>
                  </w:tcBorders>
                  <w:noWrap w:val="0"/>
                  <w:vAlign w:val="center"/>
                </w:tcPr>
                <w:p w14:paraId="392F6403">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color w:val="auto"/>
                      <w:kern w:val="0"/>
                      <w:szCs w:val="21"/>
                    </w:rPr>
                  </w:pPr>
                </w:p>
              </w:tc>
            </w:tr>
            <w:tr w14:paraId="3DD5DC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2AE255E3">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70D84D91">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szCs w:val="21"/>
                    </w:rPr>
                    <w:t>氨氮</w:t>
                  </w:r>
                </w:p>
              </w:tc>
              <w:tc>
                <w:tcPr>
                  <w:tcW w:w="1385" w:type="dxa"/>
                  <w:tcBorders>
                    <w:tl2br w:val="nil"/>
                    <w:tr2bl w:val="nil"/>
                  </w:tcBorders>
                  <w:noWrap w:val="0"/>
                  <w:vAlign w:val="center"/>
                </w:tcPr>
                <w:p w14:paraId="296B1011">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rPr>
                    <w:t>mg/L</w:t>
                  </w:r>
                </w:p>
              </w:tc>
              <w:tc>
                <w:tcPr>
                  <w:tcW w:w="1385" w:type="dxa"/>
                  <w:tcBorders>
                    <w:tl2br w:val="nil"/>
                    <w:tr2bl w:val="nil"/>
                  </w:tcBorders>
                  <w:noWrap w:val="0"/>
                  <w:vAlign w:val="center"/>
                </w:tcPr>
                <w:p w14:paraId="63450A06">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szCs w:val="21"/>
                    </w:rPr>
                    <w:t>—</w:t>
                  </w:r>
                </w:p>
              </w:tc>
              <w:tc>
                <w:tcPr>
                  <w:tcW w:w="2625" w:type="dxa"/>
                  <w:vMerge w:val="continue"/>
                  <w:tcBorders>
                    <w:tl2br w:val="nil"/>
                    <w:tr2bl w:val="nil"/>
                  </w:tcBorders>
                  <w:noWrap w:val="0"/>
                  <w:vAlign w:val="center"/>
                </w:tcPr>
                <w:p w14:paraId="5135F564">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color w:val="auto"/>
                      <w:kern w:val="0"/>
                      <w:szCs w:val="21"/>
                    </w:rPr>
                  </w:pPr>
                </w:p>
              </w:tc>
            </w:tr>
            <w:tr w14:paraId="544B8E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6F9F0063">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7CF2B8AE">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Cs w:val="21"/>
                      <w:lang w:eastAsia="zh-CN"/>
                    </w:rPr>
                    <w:t>动植物油</w:t>
                  </w:r>
                </w:p>
              </w:tc>
              <w:tc>
                <w:tcPr>
                  <w:tcW w:w="1385" w:type="dxa"/>
                  <w:tcBorders>
                    <w:tl2br w:val="nil"/>
                    <w:tr2bl w:val="nil"/>
                  </w:tcBorders>
                  <w:noWrap w:val="0"/>
                  <w:vAlign w:val="center"/>
                </w:tcPr>
                <w:p w14:paraId="7A064142">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eastAsia"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01738101">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Cs w:val="21"/>
                      <w:lang w:val="en-US" w:eastAsia="zh-CN"/>
                    </w:rPr>
                    <w:t>100</w:t>
                  </w:r>
                </w:p>
              </w:tc>
              <w:tc>
                <w:tcPr>
                  <w:tcW w:w="2625" w:type="dxa"/>
                  <w:vMerge w:val="continue"/>
                  <w:tcBorders>
                    <w:tl2br w:val="nil"/>
                    <w:tr2bl w:val="nil"/>
                  </w:tcBorders>
                  <w:noWrap w:val="0"/>
                  <w:vAlign w:val="center"/>
                </w:tcPr>
                <w:p w14:paraId="7BABB596">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color w:val="auto"/>
                      <w:kern w:val="0"/>
                      <w:szCs w:val="21"/>
                    </w:rPr>
                  </w:pPr>
                </w:p>
              </w:tc>
            </w:tr>
            <w:tr w14:paraId="7C083F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6FB72891">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01B86B07">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eastAsia="zh-CN"/>
                    </w:rPr>
                    <w:t>pH</w:t>
                  </w:r>
                </w:p>
              </w:tc>
              <w:tc>
                <w:tcPr>
                  <w:tcW w:w="1385" w:type="dxa"/>
                  <w:tcBorders>
                    <w:tl2br w:val="nil"/>
                    <w:tr2bl w:val="nil"/>
                  </w:tcBorders>
                  <w:noWrap w:val="0"/>
                  <w:vAlign w:val="center"/>
                </w:tcPr>
                <w:p w14:paraId="0403CA5D">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kern w:val="0"/>
                      <w:szCs w:val="21"/>
                    </w:rPr>
                  </w:pPr>
                  <w:r>
                    <w:rPr>
                      <w:rFonts w:hint="eastAsia" w:cs="Times New Roman"/>
                      <w:color w:val="auto"/>
                      <w:lang w:eastAsia="zh-CN"/>
                    </w:rPr>
                    <w:t>无量纲</w:t>
                  </w:r>
                </w:p>
              </w:tc>
              <w:tc>
                <w:tcPr>
                  <w:tcW w:w="1385" w:type="dxa"/>
                  <w:tcBorders>
                    <w:tl2br w:val="nil"/>
                    <w:tr2bl w:val="nil"/>
                  </w:tcBorders>
                  <w:noWrap w:val="0"/>
                  <w:vAlign w:val="center"/>
                </w:tcPr>
                <w:p w14:paraId="1CCEBF76">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6~9</w:t>
                  </w:r>
                </w:p>
              </w:tc>
              <w:tc>
                <w:tcPr>
                  <w:tcW w:w="2625" w:type="dxa"/>
                  <w:vMerge w:val="restart"/>
                  <w:tcBorders>
                    <w:tl2br w:val="nil"/>
                    <w:tr2bl w:val="nil"/>
                  </w:tcBorders>
                  <w:noWrap w:val="0"/>
                  <w:vAlign w:val="center"/>
                </w:tcPr>
                <w:p w14:paraId="4EE9A490">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both"/>
                    <w:textAlignment w:val="auto"/>
                    <w:rPr>
                      <w:rFonts w:hint="default" w:ascii="Times New Roman" w:hAnsi="Times New Roman" w:cs="Times New Roman"/>
                      <w:color w:val="auto"/>
                      <w:kern w:val="0"/>
                      <w:szCs w:val="21"/>
                    </w:rPr>
                  </w:pPr>
                  <w:r>
                    <w:rPr>
                      <w:rFonts w:hint="eastAsia" w:cs="Times New Roman"/>
                      <w:color w:val="auto"/>
                      <w:kern w:val="0"/>
                      <w:szCs w:val="21"/>
                      <w:lang w:val="en-US" w:eastAsia="zh-CN"/>
                    </w:rPr>
                    <w:t xml:space="preserve">    </w:t>
                  </w:r>
                  <w:r>
                    <w:rPr>
                      <w:rFonts w:hint="default" w:ascii="Times New Roman" w:hAnsi="Times New Roman" w:cs="Times New Roman"/>
                      <w:color w:val="auto"/>
                      <w:kern w:val="0"/>
                      <w:szCs w:val="21"/>
                      <w:lang w:eastAsia="zh-CN"/>
                    </w:rPr>
                    <w:t>魏县经济开发区污水处理有限公司</w:t>
                  </w:r>
                  <w:r>
                    <w:rPr>
                      <w:rFonts w:hint="default" w:ascii="Times New Roman" w:hAnsi="Times New Roman" w:cs="Times New Roman"/>
                      <w:color w:val="auto"/>
                      <w:kern w:val="0"/>
                      <w:szCs w:val="21"/>
                    </w:rPr>
                    <w:t>进水水质要求</w:t>
                  </w:r>
                </w:p>
              </w:tc>
            </w:tr>
            <w:tr w14:paraId="522623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33766DBB">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72D15710">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COD</w:t>
                  </w:r>
                </w:p>
              </w:tc>
              <w:tc>
                <w:tcPr>
                  <w:tcW w:w="1385" w:type="dxa"/>
                  <w:tcBorders>
                    <w:tl2br w:val="nil"/>
                    <w:tr2bl w:val="nil"/>
                  </w:tcBorders>
                  <w:noWrap w:val="0"/>
                  <w:vAlign w:val="center"/>
                </w:tcPr>
                <w:p w14:paraId="1D8FA65C">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34455F24">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kern w:val="0"/>
                      <w:szCs w:val="21"/>
                      <w:lang w:val="en-US" w:eastAsia="zh-CN"/>
                    </w:rPr>
                    <w:t>700</w:t>
                  </w:r>
                </w:p>
              </w:tc>
              <w:tc>
                <w:tcPr>
                  <w:tcW w:w="2625" w:type="dxa"/>
                  <w:vMerge w:val="continue"/>
                  <w:tcBorders>
                    <w:tl2br w:val="nil"/>
                    <w:tr2bl w:val="nil"/>
                  </w:tcBorders>
                  <w:noWrap w:val="0"/>
                  <w:vAlign w:val="center"/>
                </w:tcPr>
                <w:p w14:paraId="5414D3EF">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rPr>
                  </w:pPr>
                </w:p>
              </w:tc>
            </w:tr>
            <w:tr w14:paraId="629B63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31F89018">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62BC75C9">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BOD</w:t>
                  </w:r>
                  <w:r>
                    <w:rPr>
                      <w:rFonts w:hint="default" w:ascii="Times New Roman" w:hAnsi="Times New Roman" w:cs="Times New Roman"/>
                      <w:color w:val="auto"/>
                      <w:kern w:val="0"/>
                      <w:szCs w:val="21"/>
                      <w:vertAlign w:val="subscript"/>
                    </w:rPr>
                    <w:t>5</w:t>
                  </w:r>
                </w:p>
              </w:tc>
              <w:tc>
                <w:tcPr>
                  <w:tcW w:w="1385" w:type="dxa"/>
                  <w:tcBorders>
                    <w:tl2br w:val="nil"/>
                    <w:tr2bl w:val="nil"/>
                  </w:tcBorders>
                  <w:noWrap w:val="0"/>
                  <w:vAlign w:val="center"/>
                </w:tcPr>
                <w:p w14:paraId="6BAF749A">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1A7961CA">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kern w:val="0"/>
                      <w:szCs w:val="21"/>
                      <w:lang w:val="en-US" w:eastAsia="zh-CN"/>
                    </w:rPr>
                    <w:t>400</w:t>
                  </w:r>
                </w:p>
              </w:tc>
              <w:tc>
                <w:tcPr>
                  <w:tcW w:w="2625" w:type="dxa"/>
                  <w:vMerge w:val="continue"/>
                  <w:tcBorders>
                    <w:tl2br w:val="nil"/>
                    <w:tr2bl w:val="nil"/>
                  </w:tcBorders>
                  <w:noWrap w:val="0"/>
                  <w:vAlign w:val="center"/>
                </w:tcPr>
                <w:p w14:paraId="09D02AB2">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rPr>
                  </w:pPr>
                </w:p>
              </w:tc>
            </w:tr>
            <w:tr w14:paraId="26D5C7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634A0DEF">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63741777">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SS</w:t>
                  </w:r>
                </w:p>
              </w:tc>
              <w:tc>
                <w:tcPr>
                  <w:tcW w:w="1385" w:type="dxa"/>
                  <w:tcBorders>
                    <w:tl2br w:val="nil"/>
                    <w:tr2bl w:val="nil"/>
                  </w:tcBorders>
                  <w:noWrap w:val="0"/>
                  <w:vAlign w:val="center"/>
                </w:tcPr>
                <w:p w14:paraId="602E9C0E">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23C9A039">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kern w:val="0"/>
                      <w:szCs w:val="21"/>
                      <w:lang w:val="en-US" w:eastAsia="zh-CN"/>
                    </w:rPr>
                    <w:t>1000</w:t>
                  </w:r>
                </w:p>
              </w:tc>
              <w:tc>
                <w:tcPr>
                  <w:tcW w:w="2625" w:type="dxa"/>
                  <w:vMerge w:val="continue"/>
                  <w:tcBorders>
                    <w:tl2br w:val="nil"/>
                    <w:tr2bl w:val="nil"/>
                  </w:tcBorders>
                  <w:noWrap w:val="0"/>
                  <w:vAlign w:val="center"/>
                </w:tcPr>
                <w:p w14:paraId="6476B1C2">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rPr>
                  </w:pPr>
                </w:p>
              </w:tc>
            </w:tr>
            <w:tr w14:paraId="7FB7D8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5B303F46">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104E82BD">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氨氮</w:t>
                  </w:r>
                </w:p>
              </w:tc>
              <w:tc>
                <w:tcPr>
                  <w:tcW w:w="1385" w:type="dxa"/>
                  <w:tcBorders>
                    <w:tl2br w:val="nil"/>
                    <w:tr2bl w:val="nil"/>
                  </w:tcBorders>
                  <w:noWrap w:val="0"/>
                  <w:vAlign w:val="center"/>
                </w:tcPr>
                <w:p w14:paraId="534712F1">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7DF3EABD">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60</w:t>
                  </w:r>
                </w:p>
              </w:tc>
              <w:tc>
                <w:tcPr>
                  <w:tcW w:w="2625" w:type="dxa"/>
                  <w:vMerge w:val="continue"/>
                  <w:tcBorders>
                    <w:tl2br w:val="nil"/>
                    <w:tr2bl w:val="nil"/>
                  </w:tcBorders>
                  <w:noWrap w:val="0"/>
                  <w:vAlign w:val="center"/>
                </w:tcPr>
                <w:p w14:paraId="2829CD6D">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p>
              </w:tc>
            </w:tr>
            <w:tr w14:paraId="2F4DE0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24987F79">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77F7EF50">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Cs w:val="21"/>
                      <w:lang w:eastAsia="zh-CN"/>
                    </w:rPr>
                    <w:t>动植物油</w:t>
                  </w:r>
                </w:p>
              </w:tc>
              <w:tc>
                <w:tcPr>
                  <w:tcW w:w="1385" w:type="dxa"/>
                  <w:tcBorders>
                    <w:tl2br w:val="nil"/>
                    <w:tr2bl w:val="nil"/>
                  </w:tcBorders>
                  <w:noWrap w:val="0"/>
                  <w:vAlign w:val="center"/>
                </w:tcPr>
                <w:p w14:paraId="547E6A03">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eastAsia"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05456291">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Cs w:val="21"/>
                      <w:lang w:val="en-US" w:eastAsia="zh-CN"/>
                    </w:rPr>
                    <w:t>10</w:t>
                  </w:r>
                  <w:r>
                    <w:rPr>
                      <w:rFonts w:hint="default" w:ascii="Times New Roman" w:hAnsi="Times New Roman" w:cs="Times New Roman"/>
                      <w:color w:val="auto"/>
                      <w:kern w:val="0"/>
                      <w:szCs w:val="21"/>
                      <w:lang w:val="en-US" w:eastAsia="zh-CN"/>
                    </w:rPr>
                    <w:t>0</w:t>
                  </w:r>
                </w:p>
              </w:tc>
              <w:tc>
                <w:tcPr>
                  <w:tcW w:w="2625" w:type="dxa"/>
                  <w:vMerge w:val="continue"/>
                  <w:tcBorders>
                    <w:tl2br w:val="nil"/>
                    <w:tr2bl w:val="nil"/>
                  </w:tcBorders>
                  <w:noWrap w:val="0"/>
                  <w:vAlign w:val="center"/>
                </w:tcPr>
                <w:p w14:paraId="73FB1AF9">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p>
              </w:tc>
            </w:tr>
            <w:tr w14:paraId="126ABE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324ACE60">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0BFACF33">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eastAsia="zh-CN"/>
                    </w:rPr>
                    <w:t>pH</w:t>
                  </w:r>
                </w:p>
              </w:tc>
              <w:tc>
                <w:tcPr>
                  <w:tcW w:w="1385" w:type="dxa"/>
                  <w:tcBorders>
                    <w:tl2br w:val="nil"/>
                    <w:tr2bl w:val="nil"/>
                  </w:tcBorders>
                  <w:noWrap w:val="0"/>
                  <w:vAlign w:val="center"/>
                </w:tcPr>
                <w:p w14:paraId="5B3A00B8">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spacing w:val="-20"/>
                      <w:kern w:val="0"/>
                      <w:sz w:val="21"/>
                      <w:szCs w:val="21"/>
                      <w:highlight w:val="none"/>
                      <w:lang w:val="en-US" w:eastAsia="zh-CN"/>
                    </w:rPr>
                    <w:t>无量纲</w:t>
                  </w:r>
                </w:p>
              </w:tc>
              <w:tc>
                <w:tcPr>
                  <w:tcW w:w="1385" w:type="dxa"/>
                  <w:tcBorders>
                    <w:tl2br w:val="nil"/>
                    <w:tr2bl w:val="nil"/>
                  </w:tcBorders>
                  <w:noWrap w:val="0"/>
                  <w:vAlign w:val="center"/>
                </w:tcPr>
                <w:p w14:paraId="61CD7D76">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6~9</w:t>
                  </w:r>
                </w:p>
              </w:tc>
              <w:tc>
                <w:tcPr>
                  <w:tcW w:w="2625" w:type="dxa"/>
                  <w:vMerge w:val="restart"/>
                  <w:tcBorders>
                    <w:tl2br w:val="nil"/>
                    <w:tr2bl w:val="nil"/>
                  </w:tcBorders>
                  <w:noWrap w:val="0"/>
                  <w:vAlign w:val="center"/>
                </w:tcPr>
                <w:p w14:paraId="12A08F32">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本项目执行标准</w:t>
                  </w:r>
                </w:p>
              </w:tc>
            </w:tr>
            <w:tr w14:paraId="2769DF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55F1ACA0">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6C36329D">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COD</w:t>
                  </w:r>
                </w:p>
              </w:tc>
              <w:tc>
                <w:tcPr>
                  <w:tcW w:w="1385" w:type="dxa"/>
                  <w:tcBorders>
                    <w:tl2br w:val="nil"/>
                    <w:tr2bl w:val="nil"/>
                  </w:tcBorders>
                  <w:noWrap w:val="0"/>
                  <w:vAlign w:val="center"/>
                </w:tcPr>
                <w:p w14:paraId="0E50C8F4">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19377997">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500</w:t>
                  </w:r>
                </w:p>
              </w:tc>
              <w:tc>
                <w:tcPr>
                  <w:tcW w:w="2625" w:type="dxa"/>
                  <w:vMerge w:val="continue"/>
                  <w:tcBorders>
                    <w:tl2br w:val="nil"/>
                    <w:tr2bl w:val="nil"/>
                  </w:tcBorders>
                  <w:noWrap w:val="0"/>
                  <w:vAlign w:val="center"/>
                </w:tcPr>
                <w:p w14:paraId="6AE97AC2">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p>
              </w:tc>
            </w:tr>
            <w:tr w14:paraId="2ED057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2B597B7A">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68DDA4FE">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BOD</w:t>
                  </w:r>
                  <w:r>
                    <w:rPr>
                      <w:rFonts w:hint="default" w:ascii="Times New Roman" w:hAnsi="Times New Roman" w:cs="Times New Roman"/>
                      <w:color w:val="auto"/>
                      <w:kern w:val="0"/>
                      <w:szCs w:val="21"/>
                      <w:vertAlign w:val="subscript"/>
                    </w:rPr>
                    <w:t>5</w:t>
                  </w:r>
                </w:p>
              </w:tc>
              <w:tc>
                <w:tcPr>
                  <w:tcW w:w="1385" w:type="dxa"/>
                  <w:tcBorders>
                    <w:tl2br w:val="nil"/>
                    <w:tr2bl w:val="nil"/>
                  </w:tcBorders>
                  <w:noWrap w:val="0"/>
                  <w:vAlign w:val="center"/>
                </w:tcPr>
                <w:p w14:paraId="45BE1EBF">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719BC322">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300</w:t>
                  </w:r>
                </w:p>
              </w:tc>
              <w:tc>
                <w:tcPr>
                  <w:tcW w:w="2625" w:type="dxa"/>
                  <w:vMerge w:val="continue"/>
                  <w:tcBorders>
                    <w:tl2br w:val="nil"/>
                    <w:tr2bl w:val="nil"/>
                  </w:tcBorders>
                  <w:noWrap w:val="0"/>
                  <w:vAlign w:val="center"/>
                </w:tcPr>
                <w:p w14:paraId="34C4C97E">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p>
              </w:tc>
            </w:tr>
            <w:tr w14:paraId="74EC7C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1DDF48BE">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53D48A68">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SS</w:t>
                  </w:r>
                </w:p>
              </w:tc>
              <w:tc>
                <w:tcPr>
                  <w:tcW w:w="1385" w:type="dxa"/>
                  <w:tcBorders>
                    <w:tl2br w:val="nil"/>
                    <w:tr2bl w:val="nil"/>
                  </w:tcBorders>
                  <w:noWrap w:val="0"/>
                  <w:vAlign w:val="center"/>
                </w:tcPr>
                <w:p w14:paraId="5A641BA8">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17802F48">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400</w:t>
                  </w:r>
                </w:p>
              </w:tc>
              <w:tc>
                <w:tcPr>
                  <w:tcW w:w="2625" w:type="dxa"/>
                  <w:vMerge w:val="continue"/>
                  <w:tcBorders>
                    <w:tl2br w:val="nil"/>
                    <w:tr2bl w:val="nil"/>
                  </w:tcBorders>
                  <w:noWrap w:val="0"/>
                  <w:vAlign w:val="center"/>
                </w:tcPr>
                <w:p w14:paraId="485AF502">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p>
              </w:tc>
            </w:tr>
            <w:tr w14:paraId="3BFFB2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052B9845">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5EDB584A">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氨氮</w:t>
                  </w:r>
                </w:p>
              </w:tc>
              <w:tc>
                <w:tcPr>
                  <w:tcW w:w="1385" w:type="dxa"/>
                  <w:tcBorders>
                    <w:tl2br w:val="nil"/>
                    <w:tr2bl w:val="nil"/>
                  </w:tcBorders>
                  <w:noWrap w:val="0"/>
                  <w:vAlign w:val="center"/>
                </w:tcPr>
                <w:p w14:paraId="45230082">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34300BFE">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60</w:t>
                  </w:r>
                </w:p>
              </w:tc>
              <w:tc>
                <w:tcPr>
                  <w:tcW w:w="2625" w:type="dxa"/>
                  <w:vMerge w:val="continue"/>
                  <w:tcBorders>
                    <w:tl2br w:val="nil"/>
                    <w:tr2bl w:val="nil"/>
                  </w:tcBorders>
                  <w:noWrap w:val="0"/>
                  <w:vAlign w:val="center"/>
                </w:tcPr>
                <w:p w14:paraId="75447B78">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p>
              </w:tc>
            </w:tr>
            <w:tr w14:paraId="1F233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908" w:type="dxa"/>
                  <w:vMerge w:val="continue"/>
                  <w:tcBorders>
                    <w:tl2br w:val="nil"/>
                    <w:tr2bl w:val="nil"/>
                  </w:tcBorders>
                  <w:noWrap w:val="0"/>
                  <w:vAlign w:val="center"/>
                </w:tcPr>
                <w:p w14:paraId="45FB07F4">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Times New Roman" w:hAnsi="Times New Roman" w:cs="Times New Roman"/>
                      <w:b/>
                      <w:bCs/>
                      <w:color w:val="auto"/>
                      <w:kern w:val="0"/>
                      <w:szCs w:val="21"/>
                    </w:rPr>
                  </w:pPr>
                </w:p>
              </w:tc>
              <w:tc>
                <w:tcPr>
                  <w:tcW w:w="1694" w:type="dxa"/>
                  <w:tcBorders>
                    <w:tl2br w:val="nil"/>
                    <w:tr2bl w:val="nil"/>
                  </w:tcBorders>
                  <w:noWrap w:val="0"/>
                  <w:vAlign w:val="center"/>
                </w:tcPr>
                <w:p w14:paraId="44EC2BCB">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auto"/>
                      <w:kern w:val="0"/>
                      <w:szCs w:val="21"/>
                      <w:lang w:eastAsia="zh-CN"/>
                    </w:rPr>
                  </w:pPr>
                  <w:r>
                    <w:rPr>
                      <w:rFonts w:hint="eastAsia" w:cs="Times New Roman"/>
                      <w:color w:val="auto"/>
                      <w:kern w:val="0"/>
                      <w:szCs w:val="21"/>
                      <w:lang w:eastAsia="zh-CN"/>
                    </w:rPr>
                    <w:t>动植物油</w:t>
                  </w:r>
                </w:p>
              </w:tc>
              <w:tc>
                <w:tcPr>
                  <w:tcW w:w="1385" w:type="dxa"/>
                  <w:tcBorders>
                    <w:tl2br w:val="nil"/>
                    <w:tr2bl w:val="nil"/>
                  </w:tcBorders>
                  <w:noWrap w:val="0"/>
                  <w:vAlign w:val="center"/>
                </w:tcPr>
                <w:p w14:paraId="5BF48876">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eastAsia" w:cs="Times New Roman"/>
                      <w:color w:val="auto"/>
                      <w:kern w:val="0"/>
                      <w:szCs w:val="21"/>
                      <w:lang w:val="en-US" w:eastAsia="zh-CN"/>
                    </w:rPr>
                  </w:pPr>
                  <w:r>
                    <w:rPr>
                      <w:rFonts w:hint="default" w:ascii="Times New Roman" w:hAnsi="Times New Roman" w:cs="Times New Roman"/>
                      <w:color w:val="auto"/>
                      <w:kern w:val="0"/>
                      <w:szCs w:val="21"/>
                    </w:rPr>
                    <w:t>mg/L</w:t>
                  </w:r>
                </w:p>
              </w:tc>
              <w:tc>
                <w:tcPr>
                  <w:tcW w:w="1385" w:type="dxa"/>
                  <w:tcBorders>
                    <w:tl2br w:val="nil"/>
                    <w:tr2bl w:val="nil"/>
                  </w:tcBorders>
                  <w:noWrap w:val="0"/>
                  <w:vAlign w:val="center"/>
                </w:tcPr>
                <w:p w14:paraId="12CFE0CF">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10</w:t>
                  </w:r>
                  <w:r>
                    <w:rPr>
                      <w:rFonts w:hint="default" w:ascii="Times New Roman" w:hAnsi="Times New Roman" w:cs="Times New Roman"/>
                      <w:color w:val="auto"/>
                      <w:kern w:val="0"/>
                      <w:szCs w:val="21"/>
                      <w:lang w:val="en-US" w:eastAsia="zh-CN"/>
                    </w:rPr>
                    <w:t>0</w:t>
                  </w:r>
                </w:p>
              </w:tc>
              <w:tc>
                <w:tcPr>
                  <w:tcW w:w="2625" w:type="dxa"/>
                  <w:vMerge w:val="continue"/>
                  <w:tcBorders>
                    <w:tl2br w:val="nil"/>
                    <w:tr2bl w:val="nil"/>
                  </w:tcBorders>
                  <w:noWrap w:val="0"/>
                  <w:vAlign w:val="center"/>
                </w:tcPr>
                <w:p w14:paraId="13029711">
                  <w:pPr>
                    <w:keepNext w:val="0"/>
                    <w:keepLines w:val="0"/>
                    <w:pageBreakBefore w:val="0"/>
                    <w:widowControl/>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cs="Times New Roman"/>
                      <w:color w:val="auto"/>
                      <w:kern w:val="0"/>
                      <w:szCs w:val="21"/>
                    </w:rPr>
                  </w:pPr>
                </w:p>
              </w:tc>
            </w:tr>
          </w:tbl>
          <w:p w14:paraId="3F548F26">
            <w:pPr>
              <w:pStyle w:val="75"/>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500" w:lineRule="exact"/>
              <w:ind w:left="0" w:right="0" w:firstLine="500"/>
              <w:textAlignment w:val="auto"/>
              <w:rPr>
                <w:rFonts w:hint="default" w:ascii="Times New Roman" w:hAnsi="Times New Roman" w:eastAsia="宋体" w:cs="Times New Roman"/>
                <w:b/>
                <w:bCs/>
                <w:color w:val="auto"/>
                <w:sz w:val="24"/>
                <w:szCs w:val="20"/>
                <w:lang w:val="en-US" w:eastAsia="zh-CN"/>
              </w:rPr>
            </w:pPr>
            <w:r>
              <w:rPr>
                <w:rFonts w:hint="default" w:ascii="Times New Roman" w:hAnsi="Times New Roman" w:eastAsia="宋体" w:cs="Times New Roman"/>
                <w:b/>
                <w:bCs/>
                <w:color w:val="auto"/>
                <w:sz w:val="24"/>
                <w:szCs w:val="20"/>
                <w:lang w:val="en-US" w:eastAsia="zh-CN"/>
              </w:rPr>
              <w:t>（</w:t>
            </w:r>
            <w:r>
              <w:rPr>
                <w:rFonts w:hint="default" w:ascii="Times New Roman" w:hAnsi="Times New Roman" w:cs="Times New Roman"/>
                <w:b/>
                <w:bCs/>
                <w:color w:val="auto"/>
                <w:sz w:val="24"/>
                <w:szCs w:val="20"/>
                <w:lang w:val="en-US" w:eastAsia="zh-CN"/>
              </w:rPr>
              <w:t>3</w:t>
            </w:r>
            <w:r>
              <w:rPr>
                <w:rFonts w:hint="default" w:ascii="Times New Roman" w:hAnsi="Times New Roman" w:eastAsia="宋体" w:cs="Times New Roman"/>
                <w:b/>
                <w:bCs/>
                <w:color w:val="auto"/>
                <w:sz w:val="24"/>
                <w:szCs w:val="20"/>
                <w:lang w:val="en-US" w:eastAsia="zh-CN"/>
              </w:rPr>
              <w:t>）噪声</w:t>
            </w:r>
          </w:p>
          <w:p w14:paraId="15929CC8">
            <w:pPr>
              <w:pStyle w:val="75"/>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500" w:lineRule="exact"/>
              <w:ind w:left="0" w:right="0" w:firstLine="500"/>
              <w:textAlignment w:val="auto"/>
              <w:rPr>
                <w:rFonts w:hint="default" w:ascii="Times New Roman" w:hAnsi="Times New Roman" w:cs="Times New Roman"/>
                <w:color w:val="auto"/>
                <w:sz w:val="24"/>
                <w:szCs w:val="20"/>
                <w:lang w:val="en-US" w:eastAsia="zh-CN"/>
              </w:rPr>
            </w:pPr>
            <w:r>
              <w:rPr>
                <w:rFonts w:hint="default" w:ascii="Times New Roman" w:hAnsi="Times New Roman" w:cs="Times New Roman"/>
                <w:color w:val="auto"/>
                <w:sz w:val="24"/>
                <w:szCs w:val="20"/>
                <w:lang w:val="en-US" w:eastAsia="zh-CN"/>
              </w:rPr>
              <w:t>根据《河北魏县经济开发区总体发展规划(2022-2030年)环境影响报告书》以及魏县人民政府办公室关于印发《魏县城区声环境功能区划分方案》的通知（魏政办字〔2020〕4号），先进装备制造园区位于魏县城区声环境功能区划范围内，规划产业区主要以工业生产为主要功能，声环境属于3类功能区。</w:t>
            </w:r>
          </w:p>
          <w:p w14:paraId="286DDBAD">
            <w:pPr>
              <w:pStyle w:val="75"/>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500" w:lineRule="exact"/>
              <w:ind w:left="0" w:right="0" w:firstLine="500"/>
              <w:textAlignment w:val="auto"/>
              <w:rPr>
                <w:rFonts w:hint="default" w:ascii="Times New Roman" w:hAnsi="Times New Roman" w:eastAsia="宋体" w:cs="Times New Roman"/>
                <w:color w:val="auto"/>
                <w:sz w:val="24"/>
                <w:szCs w:val="20"/>
                <w:lang w:val="en-US" w:eastAsia="zh-CN"/>
              </w:rPr>
            </w:pPr>
            <w:r>
              <w:rPr>
                <w:rFonts w:hint="default" w:ascii="Times New Roman" w:hAnsi="Times New Roman" w:eastAsia="宋体" w:cs="Times New Roman"/>
                <w:color w:val="auto"/>
                <w:sz w:val="24"/>
                <w:szCs w:val="20"/>
                <w:lang w:val="en-US" w:eastAsia="zh-CN"/>
              </w:rPr>
              <w:t>运营期厂界噪声排放执行《工业企业厂界环境噪声排放标准》(GB12348-2008) 3类标准。</w:t>
            </w:r>
          </w:p>
          <w:p w14:paraId="7417E3B7">
            <w:pPr>
              <w:keepNext w:val="0"/>
              <w:keepLines w:val="0"/>
              <w:suppressLineNumbers w:val="0"/>
              <w:autoSpaceDE w:val="0"/>
              <w:autoSpaceDN w:val="0"/>
              <w:adjustRightInd w:val="0"/>
              <w:spacing w:before="0" w:beforeAutospacing="0" w:after="0" w:afterAutospacing="0" w:line="440" w:lineRule="exact"/>
              <w:ind w:left="0" w:right="0" w:firstLine="510"/>
              <w:jc w:val="center"/>
              <w:rPr>
                <w:rFonts w:hint="default" w:ascii="Times New Roman" w:hAnsi="Times New Roman" w:cs="Times New Roman"/>
                <w:b/>
                <w:color w:val="auto"/>
                <w:spacing w:val="5"/>
                <w:sz w:val="24"/>
              </w:rPr>
            </w:pPr>
            <w:r>
              <w:rPr>
                <w:rFonts w:hint="default" w:ascii="Times New Roman" w:hAnsi="Times New Roman" w:cs="Times New Roman"/>
                <w:b/>
                <w:color w:val="auto"/>
                <w:spacing w:val="5"/>
                <w:sz w:val="24"/>
              </w:rPr>
              <w:t>表</w:t>
            </w:r>
            <w:r>
              <w:rPr>
                <w:rFonts w:hint="default" w:ascii="Times New Roman" w:hAnsi="Times New Roman" w:cs="Times New Roman"/>
                <w:b/>
                <w:color w:val="auto"/>
                <w:spacing w:val="5"/>
                <w:sz w:val="24"/>
                <w:lang w:val="en-US" w:eastAsia="zh-CN"/>
              </w:rPr>
              <w:t>3-8</w:t>
            </w:r>
            <w:r>
              <w:rPr>
                <w:rFonts w:hint="default" w:ascii="Times New Roman" w:hAnsi="Times New Roman" w:cs="Times New Roman"/>
                <w:b/>
                <w:color w:val="auto"/>
                <w:spacing w:val="5"/>
                <w:sz w:val="24"/>
              </w:rPr>
              <w:t xml:space="preserve">  营运期厂界噪声排放标准一览表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365"/>
              <w:gridCol w:w="1890"/>
              <w:gridCol w:w="3424"/>
            </w:tblGrid>
            <w:tr w14:paraId="0744FB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39" w:type="pct"/>
                  <w:vMerge w:val="restart"/>
                  <w:tcBorders>
                    <w:tl2br w:val="nil"/>
                    <w:tr2bl w:val="nil"/>
                  </w:tcBorders>
                  <w:noWrap w:val="0"/>
                  <w:vAlign w:val="center"/>
                </w:tcPr>
                <w:p w14:paraId="00DA9605">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要素分类</w:t>
                  </w:r>
                </w:p>
              </w:tc>
              <w:tc>
                <w:tcPr>
                  <w:tcW w:w="2027" w:type="pct"/>
                  <w:gridSpan w:val="2"/>
                  <w:tcBorders>
                    <w:tl2br w:val="nil"/>
                    <w:tr2bl w:val="nil"/>
                  </w:tcBorders>
                  <w:noWrap w:val="0"/>
                  <w:vAlign w:val="center"/>
                </w:tcPr>
                <w:p w14:paraId="4F95BA3E">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标准限值</w:t>
                  </w:r>
                </w:p>
              </w:tc>
              <w:tc>
                <w:tcPr>
                  <w:tcW w:w="2133" w:type="pct"/>
                  <w:vMerge w:val="restart"/>
                  <w:tcBorders>
                    <w:tl2br w:val="nil"/>
                    <w:tr2bl w:val="nil"/>
                  </w:tcBorders>
                  <w:noWrap w:val="0"/>
                  <w:vAlign w:val="center"/>
                </w:tcPr>
                <w:p w14:paraId="10657A40">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标准名称</w:t>
                  </w:r>
                </w:p>
              </w:tc>
            </w:tr>
            <w:tr w14:paraId="020D63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39" w:type="pct"/>
                  <w:vMerge w:val="continue"/>
                  <w:tcBorders>
                    <w:tl2br w:val="nil"/>
                    <w:tr2bl w:val="nil"/>
                  </w:tcBorders>
                  <w:noWrap w:val="0"/>
                  <w:vAlign w:val="center"/>
                </w:tcPr>
                <w:p w14:paraId="515FEE1A">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jc w:val="center"/>
                    <w:textAlignment w:val="auto"/>
                    <w:rPr>
                      <w:rFonts w:hint="default" w:ascii="Times New Roman" w:hAnsi="Times New Roman" w:cs="Times New Roman"/>
                      <w:color w:val="auto"/>
                    </w:rPr>
                  </w:pPr>
                </w:p>
              </w:tc>
              <w:tc>
                <w:tcPr>
                  <w:tcW w:w="850" w:type="pct"/>
                  <w:tcBorders>
                    <w:tl2br w:val="nil"/>
                    <w:tr2bl w:val="nil"/>
                  </w:tcBorders>
                  <w:noWrap w:val="0"/>
                  <w:vAlign w:val="center"/>
                </w:tcPr>
                <w:p w14:paraId="3725137B">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参数名称</w:t>
                  </w:r>
                </w:p>
              </w:tc>
              <w:tc>
                <w:tcPr>
                  <w:tcW w:w="1177" w:type="pct"/>
                  <w:tcBorders>
                    <w:tl2br w:val="nil"/>
                    <w:tr2bl w:val="nil"/>
                  </w:tcBorders>
                  <w:noWrap w:val="0"/>
                  <w:vAlign w:val="center"/>
                </w:tcPr>
                <w:p w14:paraId="102E3318">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标准限值</w:t>
                  </w:r>
                </w:p>
              </w:tc>
              <w:tc>
                <w:tcPr>
                  <w:tcW w:w="2133" w:type="pct"/>
                  <w:vMerge w:val="continue"/>
                  <w:tcBorders>
                    <w:tl2br w:val="nil"/>
                    <w:tr2bl w:val="nil"/>
                  </w:tcBorders>
                  <w:noWrap w:val="0"/>
                  <w:vAlign w:val="center"/>
                </w:tcPr>
                <w:p w14:paraId="3FFEE4AB">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jc w:val="center"/>
                    <w:textAlignment w:val="auto"/>
                    <w:rPr>
                      <w:rFonts w:hint="default" w:ascii="Times New Roman" w:hAnsi="Times New Roman" w:cs="Times New Roman"/>
                      <w:color w:val="auto"/>
                    </w:rPr>
                  </w:pPr>
                </w:p>
              </w:tc>
            </w:tr>
            <w:tr w14:paraId="4D4D66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39" w:type="pct"/>
                  <w:tcBorders>
                    <w:tl2br w:val="nil"/>
                    <w:tr2bl w:val="nil"/>
                  </w:tcBorders>
                  <w:noWrap w:val="0"/>
                  <w:vAlign w:val="center"/>
                </w:tcPr>
                <w:p w14:paraId="5348F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运营期</w:t>
                  </w:r>
                </w:p>
              </w:tc>
              <w:tc>
                <w:tcPr>
                  <w:tcW w:w="850" w:type="pct"/>
                  <w:tcBorders>
                    <w:tl2br w:val="nil"/>
                    <w:tr2bl w:val="nil"/>
                  </w:tcBorders>
                  <w:noWrap w:val="0"/>
                  <w:vAlign w:val="center"/>
                </w:tcPr>
                <w:p w14:paraId="57868714">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26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等效连续声级Leq</w:t>
                  </w:r>
                </w:p>
              </w:tc>
              <w:tc>
                <w:tcPr>
                  <w:tcW w:w="1177" w:type="pct"/>
                  <w:tcBorders>
                    <w:tl2br w:val="nil"/>
                    <w:tr2bl w:val="nil"/>
                  </w:tcBorders>
                  <w:noWrap w:val="0"/>
                  <w:vAlign w:val="center"/>
                </w:tcPr>
                <w:p w14:paraId="2E59B3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昼间  65dB(A)</w:t>
                  </w:r>
                </w:p>
                <w:p w14:paraId="64EA6D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夜间  55dB(A)</w:t>
                  </w:r>
                </w:p>
              </w:tc>
              <w:tc>
                <w:tcPr>
                  <w:tcW w:w="2133" w:type="pct"/>
                  <w:tcBorders>
                    <w:tl2br w:val="nil"/>
                    <w:tr2bl w:val="nil"/>
                  </w:tcBorders>
                  <w:noWrap w:val="0"/>
                  <w:vAlign w:val="center"/>
                </w:tcPr>
                <w:p w14:paraId="461F8749">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26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《工业企业厂界环境噪声排放标准》（GB12348-2008）3类标准</w:t>
                  </w:r>
                </w:p>
              </w:tc>
            </w:tr>
          </w:tbl>
          <w:p w14:paraId="23DA34C0">
            <w:pPr>
              <w:pStyle w:val="75"/>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460" w:lineRule="exact"/>
              <w:ind w:left="0" w:right="0" w:firstLine="500"/>
              <w:textAlignment w:val="auto"/>
              <w:rPr>
                <w:rFonts w:hint="default" w:ascii="Times New Roman" w:hAnsi="Times New Roman" w:eastAsia="宋体" w:cs="Times New Roman"/>
                <w:b/>
                <w:bCs/>
                <w:color w:val="auto"/>
                <w:sz w:val="24"/>
                <w:szCs w:val="20"/>
                <w:lang w:val="en-US" w:eastAsia="zh-CN"/>
              </w:rPr>
            </w:pPr>
            <w:r>
              <w:rPr>
                <w:rFonts w:hint="default" w:ascii="Times New Roman" w:hAnsi="Times New Roman" w:eastAsia="宋体" w:cs="Times New Roman"/>
                <w:b/>
                <w:bCs/>
                <w:color w:val="auto"/>
                <w:sz w:val="24"/>
                <w:szCs w:val="20"/>
                <w:lang w:val="en-US" w:eastAsia="zh-CN"/>
              </w:rPr>
              <w:t>（</w:t>
            </w:r>
            <w:r>
              <w:rPr>
                <w:rFonts w:hint="default" w:ascii="Times New Roman" w:hAnsi="Times New Roman" w:cs="Times New Roman"/>
                <w:b/>
                <w:bCs/>
                <w:color w:val="auto"/>
                <w:sz w:val="24"/>
                <w:szCs w:val="20"/>
                <w:lang w:val="en-US" w:eastAsia="zh-CN"/>
              </w:rPr>
              <w:t>4</w:t>
            </w:r>
            <w:r>
              <w:rPr>
                <w:rFonts w:hint="default" w:ascii="Times New Roman" w:hAnsi="Times New Roman" w:eastAsia="宋体" w:cs="Times New Roman"/>
                <w:b/>
                <w:bCs/>
                <w:color w:val="auto"/>
                <w:sz w:val="24"/>
                <w:szCs w:val="20"/>
                <w:lang w:val="en-US" w:eastAsia="zh-CN"/>
              </w:rPr>
              <w:t>）固废标准</w:t>
            </w:r>
          </w:p>
          <w:p w14:paraId="01FD3EDF">
            <w:pPr>
              <w:pStyle w:val="75"/>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460" w:lineRule="exact"/>
              <w:ind w:left="0" w:right="0" w:firstLine="500"/>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sz w:val="24"/>
              </w:rPr>
              <w:t>生活垃圾处理参照执行《中华人民共和国固体废物污染环境防治法》（2020年09月实施） 中</w:t>
            </w:r>
            <w:r>
              <w:rPr>
                <w:rFonts w:hint="eastAsia" w:ascii="Times New Roman" w:cs="Times New Roman"/>
                <w:color w:val="auto"/>
                <w:sz w:val="24"/>
                <w:lang w:eastAsia="zh-CN"/>
              </w:rPr>
              <w:t>第四章</w:t>
            </w:r>
            <w:r>
              <w:rPr>
                <w:rFonts w:hint="default" w:ascii="Times New Roman" w:hAnsi="Times New Roman" w:cs="Times New Roman"/>
                <w:color w:val="auto"/>
                <w:sz w:val="24"/>
              </w:rPr>
              <w:t>的相关内容</w:t>
            </w:r>
            <w:r>
              <w:rPr>
                <w:rFonts w:hint="default" w:ascii="Times New Roman" w:hAnsi="Times New Roman" w:cs="Times New Roman"/>
                <w:color w:val="auto"/>
                <w:sz w:val="24"/>
                <w:lang w:eastAsia="zh-CN"/>
              </w:rPr>
              <w:t>；</w:t>
            </w:r>
            <w:r>
              <w:rPr>
                <w:rFonts w:hint="default" w:ascii="Times New Roman" w:hAnsi="Times New Roman" w:eastAsia="宋体" w:cs="Times New Roman"/>
                <w:color w:val="auto"/>
                <w:sz w:val="24"/>
                <w:szCs w:val="20"/>
                <w:lang w:val="en-US" w:eastAsia="zh-CN"/>
              </w:rPr>
              <w:t>一般工业固体废物执行《一般工业固体废物贮存和填埋污染控制标准》(GB18599-2020)；危险废物执行《危险废物贮存污染控制标准》（GB18597-2023）</w:t>
            </w:r>
            <w:r>
              <w:rPr>
                <w:rFonts w:hint="eastAsia" w:ascii="Times New Roman" w:cs="Times New Roman"/>
                <w:color w:val="auto"/>
                <w:sz w:val="24"/>
                <w:szCs w:val="20"/>
                <w:lang w:val="en-US" w:eastAsia="zh-CN"/>
              </w:rPr>
              <w:t>。</w:t>
            </w:r>
          </w:p>
        </w:tc>
      </w:tr>
      <w:tr w14:paraId="7EC89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 w:type="pct"/>
            <w:tcMar>
              <w:left w:w="28" w:type="dxa"/>
              <w:right w:w="28" w:type="dxa"/>
            </w:tcMar>
            <w:vAlign w:val="center"/>
          </w:tcPr>
          <w:p w14:paraId="181E0320">
            <w:pPr>
              <w:keepNext w:val="0"/>
              <w:keepLines w:val="0"/>
              <w:pageBreakBefore w:val="0"/>
              <w:widowControl w:val="0"/>
              <w:suppressLineNumbers w:val="0"/>
              <w:kinsoku/>
              <w:wordWrap/>
              <w:overflowPunct/>
              <w:topLinePunct w:val="0"/>
              <w:bidi w:val="0"/>
              <w:adjustRightInd/>
              <w:snapToGrid w:val="0"/>
              <w:spacing w:before="0" w:beforeAutospacing="0" w:after="0" w:afterAutospacing="0"/>
              <w:ind w:left="-105" w:leftChars="-50" w:right="-105" w:rightChars="-50"/>
              <w:jc w:val="center"/>
              <w:textAlignment w:val="auto"/>
              <w:rPr>
                <w:rFonts w:hint="eastAsia" w:ascii="Times New Roman" w:hAnsi="Times New Roman" w:eastAsia="宋体" w:cs="Times New Roman"/>
                <w:b/>
                <w:bCs/>
                <w:color w:val="auto"/>
                <w:kern w:val="0"/>
                <w:sz w:val="24"/>
                <w:szCs w:val="24"/>
                <w:lang w:eastAsia="zh-CN"/>
              </w:rPr>
            </w:pPr>
            <w:r>
              <w:rPr>
                <w:rFonts w:hint="eastAsia" w:cs="Times New Roman"/>
                <w:b/>
                <w:bCs/>
                <w:color w:val="auto"/>
                <w:kern w:val="0"/>
                <w:sz w:val="24"/>
                <w:szCs w:val="24"/>
                <w:lang w:eastAsia="zh-CN"/>
              </w:rPr>
              <w:t>总量控制指标</w:t>
            </w:r>
          </w:p>
        </w:tc>
        <w:tc>
          <w:tcPr>
            <w:tcW w:w="4837" w:type="pct"/>
            <w:vAlign w:val="top"/>
          </w:tcPr>
          <w:p w14:paraId="01DBA00C">
            <w:pPr>
              <w:pStyle w:val="75"/>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460" w:lineRule="exact"/>
              <w:ind w:left="0" w:right="0" w:firstLine="5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rPr>
              <w:t>根据本项目污染物排放特征及《关于印发&lt;建设项目主要污染物排放总量指标审核及管理暂行办法&gt;的通知》(环发[2014]197号)、《河北省环境保护厅关于进一步改革和优化建设项目主要污染物排放总量核定工作的通知》(冀环总[2014]283号)及《河北省生态环境厅办公室关于进一步做好建设项目新增水主要污染物排污权核定有关事宜的通知》（冀环办字函</w:t>
            </w:r>
          </w:p>
        </w:tc>
      </w:tr>
      <w:tr w14:paraId="3EB5D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41" w:hRule="atLeast"/>
          <w:jc w:val="center"/>
        </w:trPr>
        <w:tc>
          <w:tcPr>
            <w:tcW w:w="162" w:type="pct"/>
            <w:tcMar>
              <w:left w:w="28" w:type="dxa"/>
              <w:right w:w="28" w:type="dxa"/>
            </w:tcMar>
            <w:vAlign w:val="center"/>
          </w:tcPr>
          <w:p w14:paraId="6ED5DD9A">
            <w:pPr>
              <w:keepNext w:val="0"/>
              <w:keepLines w:val="0"/>
              <w:pageBreakBefore w:val="0"/>
              <w:widowControl w:val="0"/>
              <w:suppressLineNumbers w:val="0"/>
              <w:kinsoku/>
              <w:wordWrap/>
              <w:overflowPunct/>
              <w:topLinePunct w:val="0"/>
              <w:bidi w:val="0"/>
              <w:adjustRightInd/>
              <w:snapToGrid w:val="0"/>
              <w:spacing w:before="0" w:beforeAutospacing="0" w:after="0" w:afterAutospacing="0"/>
              <w:ind w:left="-105" w:leftChars="-50" w:right="-105" w:rightChars="-5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总量控制指标</w:t>
            </w:r>
          </w:p>
        </w:tc>
        <w:tc>
          <w:tcPr>
            <w:tcW w:w="4837" w:type="pct"/>
            <w:vAlign w:val="top"/>
          </w:tcPr>
          <w:p w14:paraId="4E66C7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szCs w:val="24"/>
              </w:rPr>
              <w:t>[2023]283号）的规定核算</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按照国家污染物总量控制要求，</w:t>
            </w:r>
            <w:r>
              <w:rPr>
                <w:rFonts w:hint="default" w:ascii="Times New Roman" w:hAnsi="Times New Roman" w:cs="Times New Roman"/>
                <w:color w:val="auto"/>
                <w:sz w:val="24"/>
                <w:szCs w:val="24"/>
                <w:lang w:val="en-US" w:eastAsia="zh-CN"/>
              </w:rPr>
              <w:t>企业</w:t>
            </w:r>
            <w:r>
              <w:rPr>
                <w:rFonts w:hint="default" w:ascii="Times New Roman" w:hAnsi="Times New Roman" w:cs="Times New Roman"/>
                <w:color w:val="auto"/>
                <w:sz w:val="24"/>
                <w:szCs w:val="24"/>
              </w:rPr>
              <w:t>实施总量控制指标的项目为COD、NH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-N、SO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、NOx。</w:t>
            </w:r>
          </w:p>
          <w:p w14:paraId="42124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center"/>
              <w:textAlignment w:val="auto"/>
              <w:rPr>
                <w:rFonts w:hint="default" w:ascii="Times New Roman" w:hAnsi="Times New Roman" w:cs="Times New Roman"/>
                <w:color w:val="0000FF"/>
                <w:sz w:val="24"/>
              </w:rPr>
            </w:pPr>
            <w:r>
              <w:rPr>
                <w:rFonts w:hint="default" w:ascii="Times New Roman" w:hAnsi="Times New Roman" w:cs="Times New Roman"/>
                <w:color w:val="auto"/>
                <w:sz w:val="24"/>
                <w:lang w:val="en-US" w:eastAsia="zh-CN"/>
              </w:rPr>
              <w:t>项目</w:t>
            </w:r>
            <w:r>
              <w:rPr>
                <w:rFonts w:hint="default" w:ascii="Times New Roman" w:hAnsi="Times New Roman" w:cs="Times New Roman"/>
                <w:color w:val="auto"/>
                <w:sz w:val="24"/>
                <w:lang w:eastAsia="zh-CN"/>
              </w:rPr>
              <w:t>生活废水经化粪池处理后经园区污水管网排入魏县经济开发区污水处理有限公司。</w:t>
            </w:r>
            <w:r>
              <w:rPr>
                <w:rFonts w:hint="eastAsia" w:cs="Times New Roman"/>
                <w:color w:val="auto"/>
                <w:sz w:val="24"/>
                <w:lang w:eastAsia="zh-CN"/>
              </w:rPr>
              <w:t>生产废水</w:t>
            </w:r>
            <w:r>
              <w:rPr>
                <w:rFonts w:hint="default" w:ascii="Times New Roman" w:hAnsi="Times New Roman" w:cs="Times New Roman"/>
                <w:color w:val="auto"/>
                <w:sz w:val="24"/>
                <w:lang w:eastAsia="zh-CN"/>
              </w:rPr>
              <w:t>处理达到魏县经济开发区污水处理有限公司进水水质要求后排入魏县经济开发区污水处理有限公司深度处理。</w:t>
            </w:r>
            <w:r>
              <w:rPr>
                <w:rFonts w:hint="default" w:ascii="Times New Roman" w:hAnsi="Times New Roman" w:cs="Times New Roman"/>
                <w:color w:val="auto"/>
                <w:sz w:val="24"/>
              </w:rPr>
              <w:t>废水根据国家有关政策要求，结合本项目污染特征及污染排放情况，按照</w:t>
            </w:r>
            <w:r>
              <w:rPr>
                <w:rFonts w:hint="default" w:ascii="Times New Roman" w:hAnsi="Times New Roman" w:cs="Times New Roman"/>
                <w:color w:val="auto"/>
                <w:sz w:val="24"/>
                <w:lang w:eastAsia="zh-CN"/>
              </w:rPr>
              <w:t>魏县经济开发区污水处理有限公司</w:t>
            </w:r>
            <w:r>
              <w:rPr>
                <w:rFonts w:hint="default" w:ascii="Times New Roman" w:hAnsi="Times New Roman" w:cs="Times New Roman"/>
                <w:color w:val="auto"/>
                <w:sz w:val="24"/>
              </w:rPr>
              <w:t>排水水质核算，</w:t>
            </w:r>
            <w:r>
              <w:rPr>
                <w:rFonts w:hint="default" w:ascii="Times New Roman" w:hAnsi="Times New Roman" w:cs="Times New Roman"/>
                <w:color w:val="auto"/>
                <w:sz w:val="24"/>
                <w:lang w:eastAsia="zh-CN"/>
              </w:rPr>
              <w:t>本项目废水排放量为</w:t>
            </w:r>
            <w:r>
              <w:rPr>
                <w:rFonts w:hint="eastAsia" w:cs="Times New Roman"/>
                <w:color w:val="auto"/>
                <w:sz w:val="24"/>
                <w:lang w:val="en-US" w:eastAsia="zh-CN"/>
              </w:rPr>
              <w:t>39.43m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/d</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11829</w:t>
            </w:r>
            <w:r>
              <w:rPr>
                <w:rFonts w:hint="default" w:ascii="Times New Roman" w:hAnsi="Times New Roman" w:cs="Times New Roman"/>
                <w:color w:val="000000" w:themeColor="text1"/>
                <w:sz w:val="24"/>
                <w:lang w:val="en-US" w:eastAsia="zh-CN"/>
                <w14:textFill>
                  <w14:solidFill>
                    <w14:schemeClr w14:val="tx1"/>
                  </w14:solidFill>
                </w14:textFill>
              </w:rPr>
              <w:t>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/a）</w:t>
            </w:r>
            <w:r>
              <w:rPr>
                <w:rFonts w:hint="default" w:ascii="Times New Roman" w:hAnsi="Times New Roman" w:cs="Times New Roman"/>
                <w:color w:val="000000" w:themeColor="text1"/>
                <w:sz w:val="24"/>
                <w14:textFill>
                  <w14:solidFill>
                    <w14:schemeClr w14:val="tx1"/>
                  </w14:solidFill>
                </w14:textFill>
              </w:rPr>
              <w:t>，污水处理厂排水水质执行《城镇污水处理厂污染物排放标准》(GB18918-2002)表1中一级A标准和邯郸市水污染物暂行排放限值，要求为COD 30mg/L，NH</w:t>
            </w:r>
            <w:r>
              <w:rPr>
                <w:rFonts w:hint="default" w:ascii="Times New Roman" w:hAnsi="Times New Roman" w:cs="Times New Roman"/>
                <w:color w:val="000000" w:themeColor="text1"/>
                <w:sz w:val="24"/>
                <w:vertAlign w:val="sub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-N 1.5mg/L</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2.5</w:t>
            </w:r>
            <w:r>
              <w:rPr>
                <w:rFonts w:hint="default" w:ascii="Times New Roman" w:hAnsi="Times New Roman" w:cs="Times New Roman"/>
                <w:color w:val="000000" w:themeColor="text1"/>
                <w:sz w:val="24"/>
                <w14:textFill>
                  <w14:solidFill>
                    <w14:schemeClr w14:val="tx1"/>
                  </w14:solidFill>
                </w14:textFill>
              </w:rPr>
              <w:t>mg/L</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，确定</w:t>
            </w:r>
            <w:r>
              <w:rPr>
                <w:rFonts w:hint="default" w:ascii="Times New Roman" w:hAnsi="Times New Roman" w:cs="Times New Roman"/>
                <w:color w:val="000000" w:themeColor="text1"/>
                <w:sz w:val="24"/>
                <w:lang w:eastAsia="zh-CN"/>
                <w14:textFill>
                  <w14:solidFill>
                    <w14:schemeClr w14:val="tx1"/>
                  </w14:solidFill>
                </w14:textFill>
              </w:rPr>
              <w:t>本</w:t>
            </w:r>
            <w:r>
              <w:rPr>
                <w:rFonts w:hint="default" w:ascii="Times New Roman" w:hAnsi="Times New Roman" w:cs="Times New Roman"/>
                <w:color w:val="000000" w:themeColor="text1"/>
                <w:sz w:val="24"/>
                <w14:textFill>
                  <w14:solidFill>
                    <w14:schemeClr w14:val="tx1"/>
                  </w14:solidFill>
                </w14:textFill>
              </w:rPr>
              <w:t>项目水污染物排放总量控制指标为：</w:t>
            </w:r>
          </w:p>
          <w:p w14:paraId="73A63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COD=30mg/L×</w:t>
            </w:r>
            <w:r>
              <w:rPr>
                <w:rFonts w:hint="eastAsia" w:cs="Times New Roman"/>
                <w:sz w:val="24"/>
                <w:highlight w:val="none"/>
                <w:lang w:val="en-US" w:eastAsia="zh-CN"/>
              </w:rPr>
              <w:t>39.43</w:t>
            </w:r>
            <w:r>
              <w:rPr>
                <w:rFonts w:hint="default" w:ascii="Times New Roman" w:hAnsi="Times New Roman" w:cs="Times New Roman"/>
                <w:sz w:val="24"/>
                <w:highlight w:val="none"/>
              </w:rPr>
              <w:t>m</w:t>
            </w:r>
            <w:r>
              <w:rPr>
                <w:rFonts w:hint="default" w:ascii="Times New Roman" w:hAnsi="Times New Roman" w:cs="Times New Roman"/>
                <w:sz w:val="24"/>
                <w:highlight w:val="none"/>
                <w:vertAlign w:val="superscript"/>
              </w:rPr>
              <w:t>3</w:t>
            </w:r>
            <w:r>
              <w:rPr>
                <w:rFonts w:hint="default" w:ascii="Times New Roman" w:hAnsi="Times New Roman" w:cs="Times New Roman"/>
                <w:sz w:val="24"/>
                <w:highlight w:val="none"/>
              </w:rPr>
              <w:t>/a×300d=</w:t>
            </w:r>
            <w:r>
              <w:rPr>
                <w:rFonts w:hint="eastAsia" w:cs="Times New Roman"/>
                <w:sz w:val="24"/>
                <w:highlight w:val="none"/>
                <w:lang w:val="en-US" w:eastAsia="zh-CN"/>
              </w:rPr>
              <w:t>0.355</w:t>
            </w:r>
            <w:r>
              <w:rPr>
                <w:rFonts w:hint="default" w:ascii="Times New Roman" w:hAnsi="Times New Roman" w:cs="Times New Roman"/>
                <w:sz w:val="24"/>
                <w:highlight w:val="none"/>
              </w:rPr>
              <w:t>t/a；</w:t>
            </w:r>
          </w:p>
          <w:p w14:paraId="34463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NH</w:t>
            </w:r>
            <w:r>
              <w:rPr>
                <w:rFonts w:hint="default" w:ascii="Times New Roman" w:hAnsi="Times New Roman" w:cs="Times New Roman"/>
                <w:sz w:val="24"/>
                <w:highlight w:val="none"/>
                <w:vertAlign w:val="subscript"/>
              </w:rPr>
              <w:t>3</w:t>
            </w:r>
            <w:r>
              <w:rPr>
                <w:rFonts w:hint="default" w:ascii="Times New Roman" w:hAnsi="Times New Roman" w:cs="Times New Roman"/>
                <w:sz w:val="24"/>
                <w:highlight w:val="none"/>
              </w:rPr>
              <w:t>-N（冬季三个月）=</w:t>
            </w:r>
            <w:r>
              <w:rPr>
                <w:rFonts w:hint="default" w:ascii="Times New Roman" w:hAnsi="Times New Roman" w:cs="Times New Roman"/>
                <w:sz w:val="24"/>
                <w:highlight w:val="none"/>
                <w:lang w:val="en-US" w:eastAsia="zh-CN"/>
              </w:rPr>
              <w:t>2.5</w:t>
            </w:r>
            <w:r>
              <w:rPr>
                <w:rFonts w:hint="default" w:ascii="Times New Roman" w:hAnsi="Times New Roman" w:cs="Times New Roman"/>
                <w:sz w:val="24"/>
                <w:highlight w:val="none"/>
              </w:rPr>
              <w:t>mg/L×</w:t>
            </w:r>
            <w:r>
              <w:rPr>
                <w:rFonts w:hint="eastAsia" w:cs="Times New Roman"/>
                <w:sz w:val="24"/>
                <w:highlight w:val="none"/>
                <w:lang w:val="en-US" w:eastAsia="zh-CN"/>
              </w:rPr>
              <w:t>39.43</w:t>
            </w:r>
            <w:r>
              <w:rPr>
                <w:rFonts w:hint="default" w:ascii="Times New Roman" w:hAnsi="Times New Roman" w:cs="Times New Roman"/>
                <w:sz w:val="24"/>
                <w:highlight w:val="none"/>
              </w:rPr>
              <w:t>m</w:t>
            </w:r>
            <w:r>
              <w:rPr>
                <w:rFonts w:hint="default" w:ascii="Times New Roman" w:hAnsi="Times New Roman" w:cs="Times New Roman"/>
                <w:sz w:val="24"/>
                <w:highlight w:val="none"/>
                <w:vertAlign w:val="superscript"/>
              </w:rPr>
              <w:t>3</w:t>
            </w:r>
            <w:r>
              <w:rPr>
                <w:rFonts w:hint="default" w:ascii="Times New Roman" w:hAnsi="Times New Roman" w:cs="Times New Roman"/>
                <w:sz w:val="24"/>
                <w:highlight w:val="none"/>
              </w:rPr>
              <w:t>/a×90d</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vertAlign w:val="superscript"/>
                <w:lang w:val="en-US" w:eastAsia="zh-CN"/>
              </w:rPr>
              <w:t>-</w:t>
            </w:r>
            <w:r>
              <w:rPr>
                <w:rFonts w:hint="eastAsia" w:cs="Times New Roman"/>
                <w:sz w:val="24"/>
                <w:szCs w:val="24"/>
                <w:vertAlign w:val="superscript"/>
                <w:lang w:val="en-US" w:eastAsia="zh-CN"/>
              </w:rPr>
              <w:t>6</w:t>
            </w:r>
            <w:r>
              <w:rPr>
                <w:rFonts w:hint="default" w:ascii="Times New Roman" w:hAnsi="Times New Roman" w:cs="Times New Roman"/>
                <w:sz w:val="24"/>
                <w:highlight w:val="none"/>
              </w:rPr>
              <w:t>=</w:t>
            </w:r>
            <w:r>
              <w:rPr>
                <w:rFonts w:hint="eastAsia" w:cs="Times New Roman"/>
                <w:sz w:val="24"/>
                <w:highlight w:val="none"/>
                <w:lang w:val="en-US" w:eastAsia="zh-CN"/>
              </w:rPr>
              <w:t>0.009</w:t>
            </w:r>
            <w:r>
              <w:rPr>
                <w:rFonts w:hint="default" w:ascii="Times New Roman" w:hAnsi="Times New Roman" w:cs="Times New Roman"/>
                <w:sz w:val="24"/>
                <w:highlight w:val="none"/>
              </w:rPr>
              <w:t>t/a；</w:t>
            </w:r>
          </w:p>
          <w:p w14:paraId="7A89D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center"/>
              <w:textAlignment w:val="auto"/>
              <w:rPr>
                <w:rFonts w:hint="default" w:ascii="Times New Roman" w:hAnsi="Times New Roman" w:cs="Times New Roman"/>
                <w:sz w:val="24"/>
                <w:highlight w:val="yellow"/>
              </w:rPr>
            </w:pPr>
            <w:r>
              <w:rPr>
                <w:rFonts w:hint="default" w:ascii="Times New Roman" w:hAnsi="Times New Roman" w:cs="Times New Roman"/>
                <w:sz w:val="24"/>
                <w:highlight w:val="none"/>
              </w:rPr>
              <w:t>NH</w:t>
            </w:r>
            <w:r>
              <w:rPr>
                <w:rFonts w:hint="default" w:ascii="Times New Roman" w:hAnsi="Times New Roman" w:cs="Times New Roman"/>
                <w:sz w:val="24"/>
                <w:highlight w:val="none"/>
                <w:vertAlign w:val="subscript"/>
              </w:rPr>
              <w:t>3</w:t>
            </w:r>
            <w:r>
              <w:rPr>
                <w:rFonts w:hint="default" w:ascii="Times New Roman" w:hAnsi="Times New Roman" w:cs="Times New Roman"/>
                <w:sz w:val="24"/>
                <w:highlight w:val="none"/>
              </w:rPr>
              <w:t>-N（</w:t>
            </w:r>
            <w:r>
              <w:rPr>
                <w:rFonts w:hint="default" w:ascii="Times New Roman" w:hAnsi="Times New Roman" w:cs="Times New Roman"/>
                <w:sz w:val="24"/>
                <w:highlight w:val="none"/>
                <w:lang w:eastAsia="zh-CN"/>
              </w:rPr>
              <w:t>其余九</w:t>
            </w:r>
            <w:r>
              <w:rPr>
                <w:rFonts w:hint="default" w:ascii="Times New Roman" w:hAnsi="Times New Roman" w:cs="Times New Roman"/>
                <w:sz w:val="24"/>
                <w:highlight w:val="none"/>
              </w:rPr>
              <w:t>个月）=1.5mg/L×</w:t>
            </w:r>
            <w:r>
              <w:rPr>
                <w:rFonts w:hint="eastAsia" w:cs="Times New Roman"/>
                <w:sz w:val="24"/>
                <w:highlight w:val="none"/>
                <w:lang w:val="en-US" w:eastAsia="zh-CN"/>
              </w:rPr>
              <w:t>39.43</w:t>
            </w:r>
            <w:r>
              <w:rPr>
                <w:rFonts w:hint="default" w:ascii="Times New Roman" w:hAnsi="Times New Roman" w:cs="Times New Roman"/>
                <w:sz w:val="24"/>
                <w:highlight w:val="none"/>
              </w:rPr>
              <w:t>m</w:t>
            </w:r>
            <w:r>
              <w:rPr>
                <w:rFonts w:hint="default" w:ascii="Times New Roman" w:hAnsi="Times New Roman" w:cs="Times New Roman"/>
                <w:sz w:val="24"/>
                <w:highlight w:val="none"/>
                <w:vertAlign w:val="superscript"/>
              </w:rPr>
              <w:t>3</w:t>
            </w:r>
            <w:r>
              <w:rPr>
                <w:rFonts w:hint="default" w:ascii="Times New Roman" w:hAnsi="Times New Roman" w:cs="Times New Roman"/>
                <w:sz w:val="24"/>
                <w:highlight w:val="none"/>
              </w:rPr>
              <w:t>/a×210d</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vertAlign w:val="superscript"/>
                <w:lang w:val="en-US" w:eastAsia="zh-CN"/>
              </w:rPr>
              <w:t>-</w:t>
            </w:r>
            <w:r>
              <w:rPr>
                <w:rFonts w:hint="eastAsia" w:cs="Times New Roman"/>
                <w:sz w:val="24"/>
                <w:szCs w:val="24"/>
                <w:vertAlign w:val="superscript"/>
                <w:lang w:val="en-US" w:eastAsia="zh-CN"/>
              </w:rPr>
              <w:t>6</w:t>
            </w:r>
            <w:r>
              <w:rPr>
                <w:rFonts w:hint="default" w:ascii="Times New Roman" w:hAnsi="Times New Roman" w:cs="Times New Roman"/>
                <w:sz w:val="24"/>
                <w:highlight w:val="none"/>
              </w:rPr>
              <w:t>=</w:t>
            </w:r>
            <w:r>
              <w:rPr>
                <w:rFonts w:hint="eastAsia" w:cs="Times New Roman"/>
                <w:sz w:val="24"/>
                <w:highlight w:val="none"/>
                <w:lang w:val="en-US" w:eastAsia="zh-CN"/>
              </w:rPr>
              <w:t>0.012</w:t>
            </w:r>
            <w:r>
              <w:rPr>
                <w:rFonts w:hint="default" w:ascii="Times New Roman" w:hAnsi="Times New Roman" w:cs="Times New Roman"/>
                <w:sz w:val="24"/>
                <w:highlight w:val="none"/>
              </w:rPr>
              <w:t>t/a。</w:t>
            </w:r>
          </w:p>
          <w:p w14:paraId="58549A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lang w:eastAsia="zh-CN"/>
              </w:rPr>
              <w:t>项目</w:t>
            </w:r>
            <w:r>
              <w:rPr>
                <w:rFonts w:hint="eastAsia" w:cs="Times New Roman"/>
                <w:color w:val="auto"/>
                <w:sz w:val="24"/>
                <w:lang w:eastAsia="zh-CN"/>
              </w:rPr>
              <w:t>烘干烤箱、蒸煮</w:t>
            </w:r>
            <w:r>
              <w:rPr>
                <w:rFonts w:hint="eastAsia" w:cs="Times New Roman"/>
                <w:color w:val="auto"/>
                <w:sz w:val="24"/>
                <w:lang w:val="en-US" w:eastAsia="zh-CN"/>
              </w:rPr>
              <w:t>/</w:t>
            </w:r>
            <w:r>
              <w:rPr>
                <w:rFonts w:hint="eastAsia" w:cs="Times New Roman"/>
                <w:color w:val="auto"/>
                <w:sz w:val="24"/>
                <w:lang w:eastAsia="zh-CN"/>
              </w:rPr>
              <w:t>卤制等</w:t>
            </w:r>
            <w:r>
              <w:rPr>
                <w:rFonts w:hint="default" w:ascii="Times New Roman" w:hAnsi="Times New Roman" w:cs="Times New Roman"/>
                <w:color w:val="auto"/>
                <w:sz w:val="24"/>
                <w:lang w:eastAsia="zh-CN"/>
              </w:rPr>
              <w:t>工序采用天然气为热源，</w:t>
            </w:r>
            <w:r>
              <w:rPr>
                <w:rFonts w:hint="default" w:ascii="Times New Roman" w:hAnsi="Times New Roman" w:cs="Times New Roman"/>
                <w:color w:val="auto"/>
                <w:sz w:val="24"/>
              </w:rPr>
              <w:t>根据国家有关政策要求，结合本项目污染特征及污染排放情况，</w:t>
            </w:r>
            <w:r>
              <w:rPr>
                <w:rFonts w:hint="eastAsia" w:cs="Times New Roman"/>
                <w:color w:val="auto"/>
                <w:sz w:val="24"/>
                <w:lang w:eastAsia="zh-CN"/>
              </w:rPr>
              <w:t>烤箱天然气燃烧</w:t>
            </w:r>
            <w:r>
              <w:rPr>
                <w:rFonts w:hint="default" w:ascii="Times New Roman" w:hAnsi="Times New Roman" w:cs="Times New Roman"/>
                <w:color w:val="auto"/>
                <w:sz w:val="24"/>
                <w:lang w:eastAsia="zh-CN"/>
              </w:rPr>
              <w:t>废气</w:t>
            </w:r>
            <w:r>
              <w:rPr>
                <w:rFonts w:hint="default" w:ascii="Times New Roman" w:hAnsi="Times New Roman" w:cs="Times New Roman"/>
                <w:color w:val="auto"/>
                <w:sz w:val="24"/>
              </w:rPr>
              <w:t>根据国家有关政策要求，结合本项目污染特征及污染排放情况，按照《工业炉窑大气污染物排放标准》（DB13/1640-2012）标准核算，即SO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：400mg/m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；NO</w:t>
            </w:r>
            <w:r>
              <w:rPr>
                <w:rFonts w:hint="default" w:ascii="Times New Roman" w:hAnsi="Times New Roman" w:cs="Times New Roman"/>
                <w:color w:val="auto"/>
                <w:sz w:val="24"/>
                <w:vertAlign w:val="subscript"/>
              </w:rPr>
              <w:t>X</w:t>
            </w:r>
            <w:r>
              <w:rPr>
                <w:rFonts w:hint="default" w:ascii="Times New Roman" w:hAnsi="Times New Roman" w:cs="Times New Roman"/>
                <w:color w:val="auto"/>
                <w:sz w:val="24"/>
              </w:rPr>
              <w:t>：400mg/m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。本项目</w:t>
            </w:r>
            <w:r>
              <w:rPr>
                <w:rFonts w:hint="eastAsia" w:cs="Times New Roman"/>
                <w:color w:val="auto"/>
                <w:sz w:val="24"/>
                <w:lang w:eastAsia="zh-CN"/>
              </w:rPr>
              <w:t>烤箱烘干</w:t>
            </w:r>
            <w:r>
              <w:rPr>
                <w:rFonts w:hint="default" w:ascii="Times New Roman" w:hAnsi="Times New Roman" w:cs="Times New Roman"/>
                <w:color w:val="auto"/>
                <w:sz w:val="24"/>
              </w:rPr>
              <w:t>天然气使用量为</w:t>
            </w:r>
            <w:r>
              <w:rPr>
                <w:rFonts w:hint="eastAsia" w:cs="Times New Roman"/>
                <w:color w:val="auto"/>
                <w:sz w:val="24"/>
                <w:lang w:val="en-US" w:eastAsia="zh-CN"/>
              </w:rPr>
              <w:t>10</w:t>
            </w:r>
            <w:r>
              <w:rPr>
                <w:rFonts w:hint="default" w:ascii="Times New Roman" w:hAnsi="Times New Roman" w:cs="Times New Roman"/>
                <w:color w:val="auto"/>
                <w:sz w:val="24"/>
              </w:rPr>
              <w:t>万m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w:t>
            </w:r>
            <w:r>
              <w:rPr>
                <w:rFonts w:hint="default" w:ascii="Times New Roman" w:hAnsi="Times New Roman" w:eastAsia="宋体" w:cs="Times New Roman"/>
                <w:b w:val="0"/>
                <w:bCs w:val="0"/>
                <w:color w:val="auto"/>
                <w:sz w:val="24"/>
                <w:szCs w:val="24"/>
                <w:lang w:val="en-US" w:eastAsia="zh-CN" w:bidi="ar"/>
              </w:rPr>
              <w:t>废气量13.6万m</w:t>
            </w:r>
            <w:r>
              <w:rPr>
                <w:rFonts w:hint="default" w:ascii="Times New Roman" w:hAnsi="Times New Roman" w:eastAsia="宋体" w:cs="Times New Roman"/>
                <w:b w:val="0"/>
                <w:bCs w:val="0"/>
                <w:color w:val="auto"/>
                <w:sz w:val="24"/>
                <w:szCs w:val="24"/>
                <w:vertAlign w:val="superscript"/>
                <w:lang w:val="en-US" w:eastAsia="zh-CN" w:bidi="ar"/>
              </w:rPr>
              <w:t>3</w:t>
            </w:r>
            <w:r>
              <w:rPr>
                <w:rFonts w:hint="default" w:ascii="Times New Roman" w:hAnsi="Times New Roman" w:eastAsia="宋体" w:cs="Times New Roman"/>
                <w:b w:val="0"/>
                <w:bCs w:val="0"/>
                <w:color w:val="auto"/>
                <w:sz w:val="24"/>
                <w:szCs w:val="24"/>
                <w:lang w:val="en-US" w:eastAsia="zh-CN" w:bidi="ar"/>
              </w:rPr>
              <w:t>/万m</w:t>
            </w:r>
            <w:r>
              <w:rPr>
                <w:rFonts w:hint="default" w:ascii="Times New Roman" w:hAnsi="Times New Roman" w:eastAsia="宋体" w:cs="Times New Roman"/>
                <w:b w:val="0"/>
                <w:bCs w:val="0"/>
                <w:color w:val="auto"/>
                <w:sz w:val="24"/>
                <w:szCs w:val="24"/>
                <w:vertAlign w:val="superscript"/>
                <w:lang w:val="en-US" w:eastAsia="zh-CN" w:bidi="ar"/>
              </w:rPr>
              <w:t>3</w:t>
            </w:r>
            <w:r>
              <w:rPr>
                <w:rFonts w:hint="default" w:ascii="Times New Roman" w:hAnsi="Times New Roman" w:eastAsia="宋体" w:cs="Times New Roman"/>
                <w:b w:val="0"/>
                <w:bCs w:val="0"/>
                <w:color w:val="auto"/>
                <w:sz w:val="24"/>
                <w:szCs w:val="24"/>
                <w:lang w:val="en-US" w:eastAsia="zh-CN" w:bidi="ar"/>
              </w:rPr>
              <w:t>-原料</w:t>
            </w:r>
            <w:r>
              <w:rPr>
                <w:rFonts w:hint="eastAsia" w:cs="Times New Roman"/>
                <w:b w:val="0"/>
                <w:bCs w:val="0"/>
                <w:color w:val="auto"/>
                <w:sz w:val="24"/>
                <w:szCs w:val="24"/>
                <w:lang w:val="en-US" w:eastAsia="zh-CN" w:bidi="ar"/>
              </w:rPr>
              <w:t>，</w:t>
            </w:r>
            <w:r>
              <w:rPr>
                <w:rFonts w:hint="eastAsia" w:ascii="Times New Roman" w:hAnsi="Times New Roman" w:cs="Times New Roman"/>
                <w:color w:val="auto"/>
                <w:sz w:val="24"/>
                <w:lang w:eastAsia="zh-CN"/>
              </w:rPr>
              <w:t>则</w:t>
            </w:r>
            <w:r>
              <w:rPr>
                <w:rFonts w:hint="default" w:ascii="Times New Roman" w:hAnsi="Times New Roman" w:cs="Times New Roman"/>
                <w:color w:val="auto"/>
                <w:sz w:val="24"/>
              </w:rPr>
              <w:t>废气量</w:t>
            </w:r>
            <w:r>
              <w:rPr>
                <w:rFonts w:hint="eastAsia" w:cs="Times New Roman"/>
                <w:color w:val="auto"/>
                <w:sz w:val="24"/>
                <w:lang w:val="en-US" w:eastAsia="zh-CN"/>
              </w:rPr>
              <w:t>136</w:t>
            </w:r>
            <w:r>
              <w:rPr>
                <w:rFonts w:hint="default" w:ascii="Times New Roman" w:hAnsi="Times New Roman" w:cs="Times New Roman"/>
                <w:color w:val="auto"/>
                <w:sz w:val="24"/>
              </w:rPr>
              <w:t>万m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w:t>
            </w:r>
          </w:p>
          <w:p w14:paraId="003ED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4" w:firstLineChars="202"/>
              <w:jc w:val="center"/>
              <w:textAlignment w:val="auto"/>
              <w:rPr>
                <w:rFonts w:hint="default" w:ascii="Times New Roman" w:hAnsi="Times New Roman" w:eastAsia="Times New Roman" w:cs="Times New Roman"/>
                <w:color w:val="auto"/>
                <w:sz w:val="24"/>
                <w:szCs w:val="24"/>
              </w:rPr>
            </w:pPr>
            <w:r>
              <w:rPr>
                <w:rFonts w:hint="default" w:ascii="Times New Roman" w:hAnsi="Times New Roman" w:eastAsia="宋体" w:cs="Times New Roman"/>
                <w:color w:val="auto"/>
                <w:sz w:val="24"/>
                <w:szCs w:val="24"/>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Times New Roman" w:cs="Times New Roman"/>
                <w:color w:val="auto"/>
                <w:sz w:val="24"/>
                <w:szCs w:val="24"/>
              </w:rPr>
              <w:t>=</w:t>
            </w:r>
            <w:r>
              <w:rPr>
                <w:rFonts w:hint="default" w:ascii="Times New Roman" w:hAnsi="Times New Roman" w:eastAsia="宋体" w:cs="Times New Roman"/>
                <w:color w:val="auto"/>
                <w:sz w:val="24"/>
                <w:szCs w:val="24"/>
                <w:lang w:val="en-US" w:eastAsia="zh-CN"/>
              </w:rPr>
              <w:t>400</w:t>
            </w:r>
            <w:r>
              <w:rPr>
                <w:rFonts w:hint="default" w:ascii="Times New Roman" w:hAnsi="Times New Roman" w:eastAsia="Times New Roman" w:cs="Times New Roman"/>
                <w:color w:val="auto"/>
                <w:sz w:val="24"/>
                <w:szCs w:val="24"/>
              </w:rPr>
              <w:t>mg/</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Times New Roman" w:cs="Times New Roman"/>
                <w:color w:val="auto"/>
                <w:sz w:val="24"/>
                <w:szCs w:val="24"/>
              </w:rPr>
              <w:t>×</w:t>
            </w:r>
            <w:r>
              <w:rPr>
                <w:rFonts w:hint="eastAsia" w:cs="Times New Roman"/>
                <w:color w:val="auto"/>
                <w:sz w:val="24"/>
                <w:szCs w:val="24"/>
                <w:lang w:val="en-US" w:eastAsia="zh-CN"/>
              </w:rPr>
              <w:t>1360000</w:t>
            </w:r>
            <w:r>
              <w:rPr>
                <w:rFonts w:hint="default" w:ascii="Times New Roman" w:hAnsi="Times New Roman" w:eastAsia="Times New Roman" w:cs="Times New Roman"/>
                <w:color w:val="auto"/>
                <w:sz w:val="24"/>
                <w:szCs w:val="24"/>
              </w:rPr>
              <w:t>m</w:t>
            </w:r>
            <w:r>
              <w:rPr>
                <w:rFonts w:hint="default" w:ascii="Times New Roman" w:hAnsi="Times New Roman" w:eastAsia="Times New Roman" w:cs="Times New Roman"/>
                <w:color w:val="auto"/>
                <w:sz w:val="24"/>
                <w:szCs w:val="24"/>
                <w:vertAlign w:val="superscript"/>
              </w:rPr>
              <w:t>3</w:t>
            </w:r>
            <w:r>
              <w:rPr>
                <w:rFonts w:hint="default" w:ascii="Times New Roman" w:hAnsi="Times New Roman" w:eastAsia="Times New Roman" w:cs="Times New Roman"/>
                <w:color w:val="auto"/>
                <w:sz w:val="24"/>
                <w:szCs w:val="24"/>
              </w:rPr>
              <w:t>/a</w:t>
            </w:r>
            <w:bookmarkStart w:id="159" w:name="OLE_LINK18"/>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vertAlign w:val="superscript"/>
                <w:lang w:val="en-US" w:eastAsia="zh-CN"/>
              </w:rPr>
              <w:t>-9</w:t>
            </w:r>
            <w:bookmarkEnd w:id="159"/>
            <w:r>
              <w:rPr>
                <w:rFonts w:hint="default" w:ascii="Times New Roman" w:hAnsi="Times New Roman" w:eastAsia="Times New Roman" w:cs="Times New Roman"/>
                <w:color w:val="auto"/>
                <w:sz w:val="24"/>
                <w:szCs w:val="24"/>
              </w:rPr>
              <w:t>=</w:t>
            </w:r>
            <w:r>
              <w:rPr>
                <w:rFonts w:hint="eastAsia" w:cs="Times New Roman"/>
                <w:color w:val="auto"/>
                <w:sz w:val="24"/>
                <w:szCs w:val="24"/>
                <w:lang w:val="en-US" w:eastAsia="zh-CN"/>
              </w:rPr>
              <w:t>0.544</w:t>
            </w:r>
            <w:r>
              <w:rPr>
                <w:rFonts w:hint="default" w:ascii="Times New Roman" w:hAnsi="Times New Roman" w:eastAsia="Times New Roman" w:cs="Times New Roman"/>
                <w:color w:val="auto"/>
                <w:sz w:val="24"/>
                <w:szCs w:val="24"/>
              </w:rPr>
              <w:t>t/a</w:t>
            </w:r>
            <w:r>
              <w:rPr>
                <w:rFonts w:hint="default" w:ascii="Times New Roman" w:hAnsi="Times New Roman" w:cs="Times New Roman"/>
                <w:color w:val="auto"/>
                <w:sz w:val="24"/>
                <w:szCs w:val="24"/>
              </w:rPr>
              <w:t>；</w:t>
            </w:r>
          </w:p>
          <w:p w14:paraId="544CE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4" w:firstLineChars="202"/>
              <w:jc w:val="center"/>
              <w:textAlignment w:val="auto"/>
              <w:rPr>
                <w:rFonts w:hint="default" w:ascii="Times New Roman" w:hAnsi="Times New Roman" w:eastAsia="Times New Roman" w:cs="Times New Roman"/>
                <w:color w:val="0000FF"/>
                <w:sz w:val="24"/>
              </w:rPr>
            </w:pPr>
            <w:r>
              <w:rPr>
                <w:rFonts w:hint="default" w:ascii="Times New Roman" w:hAnsi="Times New Roman" w:cs="Times New Roman"/>
                <w:color w:val="auto"/>
                <w:sz w:val="24"/>
                <w:szCs w:val="24"/>
                <w:lang w:val="en-US" w:eastAsia="zh-CN"/>
              </w:rPr>
              <w:t>NO</w:t>
            </w:r>
            <w:r>
              <w:rPr>
                <w:rFonts w:hint="default" w:ascii="Times New Roman" w:hAnsi="Times New Roman" w:cs="Times New Roman"/>
                <w:color w:val="auto"/>
                <w:sz w:val="24"/>
                <w:szCs w:val="24"/>
                <w:vertAlign w:val="subscript"/>
                <w:lang w:val="en-US" w:eastAsia="zh-CN"/>
              </w:rPr>
              <w:t>X</w:t>
            </w:r>
            <w:r>
              <w:rPr>
                <w:rFonts w:hint="default" w:ascii="Times New Roman" w:hAnsi="Times New Roman" w:cs="Times New Roman"/>
                <w:color w:val="auto"/>
                <w:sz w:val="24"/>
                <w:szCs w:val="24"/>
              </w:rPr>
              <w:t>=</w:t>
            </w:r>
            <w:r>
              <w:rPr>
                <w:rFonts w:hint="default" w:ascii="Times New Roman" w:hAnsi="Times New Roman" w:eastAsia="宋体" w:cs="Times New Roman"/>
                <w:color w:val="auto"/>
                <w:sz w:val="24"/>
                <w:szCs w:val="24"/>
                <w:lang w:val="en-US" w:eastAsia="zh-CN"/>
              </w:rPr>
              <w:t>400</w:t>
            </w:r>
            <w:r>
              <w:rPr>
                <w:rFonts w:hint="default" w:ascii="Times New Roman" w:hAnsi="Times New Roman" w:eastAsia="Times New Roman" w:cs="Times New Roman"/>
                <w:color w:val="auto"/>
                <w:sz w:val="24"/>
                <w:szCs w:val="24"/>
              </w:rPr>
              <w:t>mg/</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Times New Roman" w:cs="Times New Roman"/>
                <w:color w:val="auto"/>
                <w:sz w:val="24"/>
                <w:szCs w:val="24"/>
              </w:rPr>
              <w:t>×</w:t>
            </w:r>
            <w:r>
              <w:rPr>
                <w:rFonts w:hint="eastAsia" w:cs="Times New Roman"/>
                <w:color w:val="auto"/>
                <w:sz w:val="24"/>
                <w:szCs w:val="24"/>
                <w:lang w:val="en-US" w:eastAsia="zh-CN"/>
              </w:rPr>
              <w:t>13600</w:t>
            </w:r>
            <w:r>
              <w:rPr>
                <w:rFonts w:hint="default" w:ascii="Times New Roman" w:hAnsi="Times New Roman" w:cs="Times New Roman"/>
                <w:color w:val="auto"/>
                <w:sz w:val="24"/>
                <w:szCs w:val="24"/>
                <w:lang w:val="en-US" w:eastAsia="zh-CN"/>
              </w:rPr>
              <w:t>00</w:t>
            </w:r>
            <w:r>
              <w:rPr>
                <w:rFonts w:hint="default" w:ascii="Times New Roman" w:hAnsi="Times New Roman" w:eastAsia="Times New Roman" w:cs="Times New Roman"/>
                <w:color w:val="auto"/>
                <w:sz w:val="24"/>
                <w:szCs w:val="24"/>
              </w:rPr>
              <w:t>m</w:t>
            </w:r>
            <w:r>
              <w:rPr>
                <w:rFonts w:hint="default" w:ascii="Times New Roman" w:hAnsi="Times New Roman" w:eastAsia="Times New Roman" w:cs="Times New Roman"/>
                <w:color w:val="auto"/>
                <w:sz w:val="24"/>
                <w:szCs w:val="24"/>
                <w:vertAlign w:val="superscript"/>
              </w:rPr>
              <w:t>3</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vertAlign w:val="superscript"/>
                <w:lang w:val="en-US" w:eastAsia="zh-CN"/>
              </w:rPr>
              <w:t>-9</w:t>
            </w:r>
            <w:r>
              <w:rPr>
                <w:rFonts w:hint="default" w:ascii="Times New Roman" w:hAnsi="Times New Roman" w:eastAsia="Times New Roman" w:cs="Times New Roman"/>
                <w:color w:val="auto"/>
                <w:sz w:val="24"/>
              </w:rPr>
              <w:t>=</w:t>
            </w:r>
            <w:r>
              <w:rPr>
                <w:rFonts w:hint="eastAsia" w:cs="Times New Roman"/>
                <w:color w:val="auto"/>
                <w:sz w:val="24"/>
                <w:lang w:val="en-US" w:eastAsia="zh-CN"/>
              </w:rPr>
              <w:t>0.544</w:t>
            </w:r>
            <w:r>
              <w:rPr>
                <w:rFonts w:hint="default" w:ascii="Times New Roman" w:hAnsi="Times New Roman" w:eastAsia="Times New Roman" w:cs="Times New Roman"/>
                <w:color w:val="auto"/>
                <w:sz w:val="24"/>
              </w:rPr>
              <w:t>t/a</w:t>
            </w:r>
            <w:r>
              <w:rPr>
                <w:rFonts w:hint="default" w:ascii="Times New Roman" w:hAnsi="Times New Roman" w:cs="Times New Roman"/>
                <w:color w:val="auto"/>
                <w:kern w:val="0"/>
                <w:sz w:val="24"/>
              </w:rPr>
              <w:t>。</w:t>
            </w:r>
          </w:p>
          <w:p w14:paraId="2EC74F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Times New Roman" w:hAnsi="Times New Roman" w:eastAsia="宋体" w:cs="Times New Roman"/>
                <w:color w:val="auto"/>
                <w:sz w:val="24"/>
                <w:lang w:eastAsia="zh-CN"/>
              </w:rPr>
            </w:pPr>
            <w:r>
              <w:rPr>
                <w:rFonts w:hint="eastAsia" w:cs="Times New Roman"/>
                <w:color w:val="auto"/>
                <w:sz w:val="24"/>
                <w:lang w:eastAsia="zh-CN"/>
              </w:rPr>
              <w:t>项目蒸煮</w:t>
            </w:r>
            <w:r>
              <w:rPr>
                <w:rFonts w:hint="eastAsia" w:cs="Times New Roman"/>
                <w:color w:val="auto"/>
                <w:sz w:val="24"/>
                <w:lang w:val="en-US" w:eastAsia="zh-CN"/>
              </w:rPr>
              <w:t>/</w:t>
            </w:r>
            <w:r>
              <w:rPr>
                <w:rFonts w:hint="eastAsia" w:cs="Times New Roman"/>
                <w:color w:val="auto"/>
                <w:sz w:val="24"/>
                <w:lang w:eastAsia="zh-CN"/>
              </w:rPr>
              <w:t>卤制工序热源由燃气蒸汽发生器提供，</w:t>
            </w:r>
            <w:r>
              <w:rPr>
                <w:rFonts w:hint="default" w:ascii="Times New Roman" w:hAnsi="Times New Roman" w:cs="Times New Roman"/>
                <w:color w:val="auto"/>
                <w:sz w:val="24"/>
                <w:szCs w:val="24"/>
                <w:highlight w:val="none"/>
              </w:rPr>
              <w:t>项目</w:t>
            </w:r>
            <w:r>
              <w:rPr>
                <w:rFonts w:hint="eastAsia" w:cs="Times New Roman"/>
                <w:color w:val="auto"/>
                <w:sz w:val="24"/>
                <w:szCs w:val="24"/>
                <w:highlight w:val="none"/>
                <w:lang w:eastAsia="zh-CN"/>
              </w:rPr>
              <w:t>蒸汽发生器</w:t>
            </w:r>
            <w:r>
              <w:rPr>
                <w:rFonts w:hint="default" w:ascii="Times New Roman" w:hAnsi="Times New Roman" w:cs="Times New Roman"/>
                <w:color w:val="auto"/>
                <w:sz w:val="24"/>
                <w:szCs w:val="24"/>
                <w:highlight w:val="none"/>
              </w:rPr>
              <w:t>年</w:t>
            </w:r>
            <w:r>
              <w:rPr>
                <w:rFonts w:hint="eastAsia" w:ascii="Times New Roman" w:hAnsi="Times New Roman" w:cs="Times New Roman"/>
                <w:color w:val="auto"/>
                <w:sz w:val="24"/>
                <w:szCs w:val="24"/>
                <w:highlight w:val="none"/>
                <w:lang w:eastAsia="zh-CN"/>
              </w:rPr>
              <w:t>消耗</w:t>
            </w:r>
            <w:r>
              <w:rPr>
                <w:rFonts w:hint="default" w:ascii="Times New Roman" w:hAnsi="Times New Roman" w:cs="Times New Roman"/>
                <w:color w:val="auto"/>
                <w:sz w:val="24"/>
                <w:szCs w:val="24"/>
                <w:highlight w:val="none"/>
              </w:rPr>
              <w:t>天然气</w:t>
            </w:r>
            <w:r>
              <w:rPr>
                <w:rFonts w:hint="eastAsia" w:cs="Times New Roman"/>
                <w:color w:val="auto"/>
                <w:sz w:val="24"/>
                <w:szCs w:val="24"/>
                <w:highlight w:val="none"/>
                <w:lang w:eastAsia="zh-CN"/>
              </w:rPr>
              <w:t>总量为</w:t>
            </w:r>
            <w:r>
              <w:rPr>
                <w:rFonts w:hint="eastAsia" w:cs="Times New Roman"/>
                <w:color w:val="auto"/>
                <w:sz w:val="24"/>
                <w:szCs w:val="24"/>
                <w:highlight w:val="none"/>
                <w:lang w:val="en-US" w:eastAsia="zh-CN"/>
              </w:rPr>
              <w:t>15.4</w:t>
            </w:r>
            <w:r>
              <w:rPr>
                <w:rFonts w:hint="eastAsia" w:ascii="Times New Roman" w:hAnsi="Times New Roman" w:cs="Times New Roman"/>
                <w:color w:val="auto"/>
                <w:sz w:val="24"/>
                <w:szCs w:val="24"/>
                <w:highlight w:val="none"/>
                <w:lang w:val="en-US" w:eastAsia="zh-CN"/>
              </w:rPr>
              <w:t>万</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kern w:val="0"/>
                <w:sz w:val="24"/>
                <w:szCs w:val="24"/>
                <w:highlight w:val="none"/>
              </w:rPr>
              <w:t>废气量为</w:t>
            </w:r>
            <w:r>
              <w:rPr>
                <w:rFonts w:hint="eastAsia" w:cs="Times New Roman"/>
                <w:b w:val="0"/>
                <w:bCs w:val="0"/>
                <w:color w:val="auto"/>
                <w:sz w:val="24"/>
                <w:lang w:val="en-US" w:eastAsia="zh-CN"/>
              </w:rPr>
              <w:t>1.659</w:t>
            </w:r>
            <w:r>
              <w:rPr>
                <w:rFonts w:hint="default" w:ascii="Times New Roman" w:hAnsi="Times New Roman" w:eastAsia="宋体" w:cs="Times New Roman"/>
                <w:b w:val="0"/>
                <w:bCs w:val="0"/>
                <w:color w:val="auto"/>
                <w:sz w:val="24"/>
              </w:rPr>
              <w:t>×10</w:t>
            </w:r>
            <w:r>
              <w:rPr>
                <w:rFonts w:hint="eastAsia" w:cs="Times New Roman"/>
                <w:b w:val="0"/>
                <w:bCs w:val="0"/>
                <w:color w:val="auto"/>
                <w:sz w:val="24"/>
                <w:vertAlign w:val="superscript"/>
                <w:lang w:val="en-US" w:eastAsia="zh-CN"/>
              </w:rPr>
              <w:t>6</w:t>
            </w:r>
            <w:r>
              <w:rPr>
                <w:rFonts w:hint="default" w:ascii="Times New Roman" w:hAnsi="Times New Roman" w:cs="Times New Roman"/>
                <w:color w:val="auto"/>
                <w:kern w:val="0"/>
                <w:sz w:val="24"/>
                <w:szCs w:val="24"/>
                <w:highlight w:val="none"/>
              </w:rPr>
              <w:t>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/a</w:t>
            </w:r>
            <w:r>
              <w:rPr>
                <w:rFonts w:hint="eastAsia" w:ascii="Times New Roman" w:hAnsi="Times New Roman" w:cs="Times New Roman"/>
                <w:color w:val="auto"/>
                <w:kern w:val="0"/>
                <w:sz w:val="24"/>
                <w:szCs w:val="24"/>
                <w:highlight w:val="none"/>
                <w:lang w:eastAsia="zh-CN"/>
              </w:rPr>
              <w:t>，</w:t>
            </w:r>
            <w:r>
              <w:rPr>
                <w:rFonts w:hint="default" w:ascii="Times New Roman" w:hAnsi="Times New Roman" w:cs="Times New Roman"/>
                <w:color w:val="auto"/>
                <w:spacing w:val="2"/>
                <w:kern w:val="0"/>
                <w:sz w:val="24"/>
                <w:szCs w:val="24"/>
                <w:highlight w:val="none"/>
              </w:rPr>
              <w:t>按照</w:t>
            </w:r>
            <w:r>
              <w:rPr>
                <w:rFonts w:hint="default" w:ascii="Times New Roman" w:hAnsi="Times New Roman" w:cs="Times New Roman"/>
                <w:color w:val="auto"/>
                <w:sz w:val="24"/>
                <w:szCs w:val="24"/>
                <w:highlight w:val="none"/>
                <w:lang w:eastAsia="zh-CN"/>
              </w:rPr>
              <w:t>《锅炉大气污染物排放标准》（DB13/5161—2020）表1大气污染物排放限值要求</w:t>
            </w:r>
            <w:r>
              <w:rPr>
                <w:rFonts w:hint="default" w:ascii="Times New Roman" w:hAnsi="Times New Roman" w:cs="Times New Roman"/>
                <w:color w:val="auto"/>
                <w:spacing w:val="2"/>
                <w:kern w:val="0"/>
                <w:sz w:val="24"/>
                <w:szCs w:val="24"/>
                <w:highlight w:val="none"/>
              </w:rPr>
              <w:t>，确定</w:t>
            </w:r>
            <w:r>
              <w:rPr>
                <w:rFonts w:hint="eastAsia" w:ascii="Times New Roman" w:hAnsi="Times New Roman" w:cs="Times New Roman"/>
                <w:color w:val="auto"/>
                <w:spacing w:val="2"/>
                <w:kern w:val="0"/>
                <w:sz w:val="24"/>
                <w:szCs w:val="24"/>
                <w:highlight w:val="none"/>
                <w:lang w:eastAsia="zh-CN"/>
              </w:rPr>
              <w:t>锅炉</w:t>
            </w:r>
            <w:r>
              <w:rPr>
                <w:rFonts w:hint="default" w:ascii="Times New Roman" w:hAnsi="Times New Roman" w:cs="Times New Roman"/>
                <w:color w:val="auto"/>
                <w:spacing w:val="2"/>
                <w:kern w:val="0"/>
                <w:sz w:val="24"/>
                <w:szCs w:val="24"/>
                <w:highlight w:val="none"/>
              </w:rPr>
              <w:t>大气污染物排放总量控制指标为</w:t>
            </w:r>
            <w:r>
              <w:rPr>
                <w:rFonts w:hint="eastAsia" w:cs="Times New Roman"/>
                <w:color w:val="auto"/>
                <w:spacing w:val="2"/>
                <w:kern w:val="0"/>
                <w:sz w:val="24"/>
                <w:szCs w:val="24"/>
                <w:highlight w:val="none"/>
                <w:lang w:eastAsia="zh-CN"/>
              </w:rPr>
              <w:t>：</w:t>
            </w:r>
          </w:p>
          <w:p w14:paraId="7CA813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4" w:firstLineChars="202"/>
              <w:jc w:val="center"/>
              <w:textAlignment w:val="auto"/>
              <w:rPr>
                <w:rFonts w:hint="default" w:ascii="Times New Roman" w:hAnsi="Times New Roman" w:eastAsia="Times New Roman" w:cs="Times New Roman"/>
                <w:color w:val="auto"/>
                <w:sz w:val="24"/>
                <w:szCs w:val="24"/>
              </w:rPr>
            </w:pPr>
            <w:r>
              <w:rPr>
                <w:rFonts w:hint="default" w:ascii="Times New Roman" w:hAnsi="Times New Roman" w:eastAsia="宋体" w:cs="Times New Roman"/>
                <w:color w:val="auto"/>
                <w:sz w:val="24"/>
                <w:szCs w:val="24"/>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Times New Roman" w:cs="Times New Roman"/>
                <w:color w:val="auto"/>
                <w:sz w:val="24"/>
                <w:szCs w:val="24"/>
              </w:rPr>
              <w:t>mg/</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Times New Roman" w:cs="Times New Roman"/>
                <w:color w:val="auto"/>
                <w:sz w:val="24"/>
                <w:szCs w:val="24"/>
              </w:rPr>
              <w:t>×</w:t>
            </w:r>
            <w:r>
              <w:rPr>
                <w:rFonts w:hint="eastAsia" w:cs="Times New Roman"/>
                <w:b w:val="0"/>
                <w:bCs w:val="0"/>
                <w:color w:val="auto"/>
                <w:sz w:val="24"/>
                <w:lang w:val="en-US" w:eastAsia="zh-CN"/>
              </w:rPr>
              <w:t>1.659</w:t>
            </w:r>
            <w:r>
              <w:rPr>
                <w:rFonts w:hint="default" w:ascii="Times New Roman" w:hAnsi="Times New Roman" w:eastAsia="宋体" w:cs="Times New Roman"/>
                <w:b w:val="0"/>
                <w:bCs w:val="0"/>
                <w:color w:val="auto"/>
                <w:sz w:val="24"/>
              </w:rPr>
              <w:t>×10</w:t>
            </w:r>
            <w:r>
              <w:rPr>
                <w:rFonts w:hint="eastAsia" w:cs="Times New Roman"/>
                <w:b w:val="0"/>
                <w:bCs w:val="0"/>
                <w:color w:val="auto"/>
                <w:sz w:val="24"/>
                <w:vertAlign w:val="superscript"/>
                <w:lang w:val="en-US" w:eastAsia="zh-CN"/>
              </w:rPr>
              <w:t>6</w:t>
            </w:r>
            <w:r>
              <w:rPr>
                <w:rFonts w:hint="default" w:ascii="Times New Roman" w:hAnsi="Times New Roman" w:eastAsia="Times New Roman" w:cs="Times New Roman"/>
                <w:color w:val="auto"/>
                <w:sz w:val="24"/>
                <w:szCs w:val="24"/>
              </w:rPr>
              <w:t>m</w:t>
            </w:r>
            <w:r>
              <w:rPr>
                <w:rFonts w:hint="default" w:ascii="Times New Roman" w:hAnsi="Times New Roman" w:eastAsia="Times New Roman" w:cs="Times New Roman"/>
                <w:color w:val="auto"/>
                <w:sz w:val="24"/>
                <w:szCs w:val="24"/>
                <w:vertAlign w:val="superscript"/>
              </w:rPr>
              <w:t>3</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vertAlign w:val="superscript"/>
                <w:lang w:val="en-US" w:eastAsia="zh-CN"/>
              </w:rPr>
              <w:t>-9</w:t>
            </w:r>
            <w:r>
              <w:rPr>
                <w:rFonts w:hint="default" w:ascii="Times New Roman" w:hAnsi="Times New Roman" w:eastAsia="Times New Roman" w:cs="Times New Roman"/>
                <w:color w:val="auto"/>
                <w:sz w:val="24"/>
                <w:szCs w:val="24"/>
              </w:rPr>
              <w:t>=</w:t>
            </w:r>
            <w:r>
              <w:rPr>
                <w:rFonts w:hint="eastAsia" w:cs="Times New Roman"/>
                <w:color w:val="auto"/>
                <w:sz w:val="24"/>
                <w:szCs w:val="24"/>
                <w:lang w:val="en-US" w:eastAsia="zh-CN"/>
              </w:rPr>
              <w:t>0.017</w:t>
            </w:r>
            <w:r>
              <w:rPr>
                <w:rFonts w:hint="default" w:ascii="Times New Roman" w:hAnsi="Times New Roman" w:eastAsia="Times New Roman" w:cs="Times New Roman"/>
                <w:color w:val="auto"/>
                <w:sz w:val="24"/>
                <w:szCs w:val="24"/>
              </w:rPr>
              <w:t>t/a</w:t>
            </w:r>
            <w:r>
              <w:rPr>
                <w:rFonts w:hint="default" w:ascii="Times New Roman" w:hAnsi="Times New Roman" w:cs="Times New Roman"/>
                <w:color w:val="auto"/>
                <w:sz w:val="24"/>
                <w:szCs w:val="24"/>
              </w:rPr>
              <w:t>；</w:t>
            </w:r>
          </w:p>
          <w:p w14:paraId="4E519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lang w:val="en-US" w:eastAsia="zh-CN"/>
              </w:rPr>
              <w:t>NO</w:t>
            </w:r>
            <w:r>
              <w:rPr>
                <w:rFonts w:hint="default" w:ascii="Times New Roman" w:hAnsi="Times New Roman" w:cs="Times New Roman"/>
                <w:color w:val="auto"/>
                <w:sz w:val="24"/>
                <w:szCs w:val="24"/>
                <w:vertAlign w:val="subscript"/>
                <w:lang w:val="en-US" w:eastAsia="zh-CN"/>
              </w:rPr>
              <w:t>X</w:t>
            </w:r>
            <w:r>
              <w:rPr>
                <w:rFonts w:hint="default" w:ascii="Times New Roman" w:hAnsi="Times New Roman" w:cs="Times New Roman"/>
                <w:color w:val="auto"/>
                <w:sz w:val="24"/>
                <w:szCs w:val="24"/>
              </w:rPr>
              <w:t>=</w:t>
            </w:r>
            <w:r>
              <w:rPr>
                <w:rFonts w:hint="eastAsia" w:ascii="Times New Roman" w:hAnsi="Times New Roman" w:eastAsia="宋体" w:cs="Times New Roman"/>
                <w:color w:val="auto"/>
                <w:sz w:val="24"/>
                <w:szCs w:val="24"/>
                <w:lang w:val="en-US" w:eastAsia="zh-CN"/>
              </w:rPr>
              <w:t>50</w:t>
            </w:r>
            <w:r>
              <w:rPr>
                <w:rFonts w:hint="default" w:ascii="Times New Roman" w:hAnsi="Times New Roman" w:eastAsia="Times New Roman" w:cs="Times New Roman"/>
                <w:color w:val="auto"/>
                <w:sz w:val="24"/>
                <w:szCs w:val="24"/>
              </w:rPr>
              <w:t>mg/</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Times New Roman" w:cs="Times New Roman"/>
                <w:color w:val="auto"/>
                <w:sz w:val="24"/>
                <w:szCs w:val="24"/>
              </w:rPr>
              <w:t>×</w:t>
            </w:r>
            <w:r>
              <w:rPr>
                <w:rFonts w:hint="eastAsia" w:cs="Times New Roman"/>
                <w:b w:val="0"/>
                <w:bCs w:val="0"/>
                <w:color w:val="auto"/>
                <w:sz w:val="24"/>
                <w:lang w:val="en-US" w:eastAsia="zh-CN"/>
              </w:rPr>
              <w:t>1.659</w:t>
            </w:r>
            <w:r>
              <w:rPr>
                <w:rFonts w:hint="default" w:ascii="Times New Roman" w:hAnsi="Times New Roman" w:eastAsia="宋体" w:cs="Times New Roman"/>
                <w:b w:val="0"/>
                <w:bCs w:val="0"/>
                <w:color w:val="auto"/>
                <w:sz w:val="24"/>
              </w:rPr>
              <w:t>×10</w:t>
            </w:r>
            <w:r>
              <w:rPr>
                <w:rFonts w:hint="eastAsia" w:cs="Times New Roman"/>
                <w:b w:val="0"/>
                <w:bCs w:val="0"/>
                <w:color w:val="auto"/>
                <w:sz w:val="24"/>
                <w:vertAlign w:val="superscript"/>
                <w:lang w:val="en-US" w:eastAsia="zh-CN"/>
              </w:rPr>
              <w:t>6</w:t>
            </w:r>
            <w:r>
              <w:rPr>
                <w:rFonts w:hint="default" w:ascii="Times New Roman" w:hAnsi="Times New Roman" w:eastAsia="Times New Roman" w:cs="Times New Roman"/>
                <w:color w:val="auto"/>
                <w:sz w:val="24"/>
                <w:szCs w:val="24"/>
              </w:rPr>
              <w:t>m</w:t>
            </w:r>
            <w:r>
              <w:rPr>
                <w:rFonts w:hint="default" w:ascii="Times New Roman" w:hAnsi="Times New Roman" w:eastAsia="Times New Roman" w:cs="Times New Roman"/>
                <w:color w:val="auto"/>
                <w:sz w:val="24"/>
                <w:szCs w:val="24"/>
                <w:vertAlign w:val="superscript"/>
              </w:rPr>
              <w:t>3</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vertAlign w:val="superscript"/>
                <w:lang w:val="en-US" w:eastAsia="zh-CN"/>
              </w:rPr>
              <w:t>-9</w:t>
            </w:r>
            <w:r>
              <w:rPr>
                <w:rFonts w:hint="default" w:ascii="Times New Roman" w:hAnsi="Times New Roman" w:eastAsia="Times New Roman" w:cs="Times New Roman"/>
                <w:color w:val="auto"/>
                <w:sz w:val="24"/>
              </w:rPr>
              <w:t>=</w:t>
            </w:r>
            <w:r>
              <w:rPr>
                <w:rFonts w:hint="eastAsia" w:cs="Times New Roman"/>
                <w:color w:val="auto"/>
                <w:sz w:val="24"/>
                <w:lang w:val="en-US" w:eastAsia="zh-CN"/>
              </w:rPr>
              <w:t>0.083</w:t>
            </w:r>
            <w:r>
              <w:rPr>
                <w:rFonts w:hint="default" w:ascii="Times New Roman" w:hAnsi="Times New Roman" w:eastAsia="Times New Roman" w:cs="Times New Roman"/>
                <w:color w:val="auto"/>
                <w:sz w:val="24"/>
              </w:rPr>
              <w:t>t/a</w:t>
            </w:r>
            <w:r>
              <w:rPr>
                <w:rFonts w:hint="default" w:ascii="Times New Roman" w:hAnsi="Times New Roman" w:cs="Times New Roman"/>
                <w:color w:val="auto"/>
                <w:kern w:val="0"/>
                <w:sz w:val="24"/>
              </w:rPr>
              <w:t>。</w:t>
            </w:r>
          </w:p>
          <w:p w14:paraId="1D36D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default" w:ascii="Times New Roman" w:hAnsi="Times New Roman" w:cs="Times New Roman"/>
                <w:color w:val="auto"/>
                <w:spacing w:val="0"/>
                <w:kern w:val="0"/>
                <w:sz w:val="24"/>
                <w:szCs w:val="24"/>
                <w:lang w:val="en-US" w:eastAsia="zh-CN" w:bidi="ar"/>
              </w:rPr>
            </w:pPr>
            <w:r>
              <w:rPr>
                <w:rFonts w:hint="default" w:ascii="Times New Roman" w:hAnsi="Times New Roman" w:cs="Times New Roman"/>
                <w:b/>
                <w:bCs/>
                <w:color w:val="auto"/>
                <w:sz w:val="24"/>
              </w:rPr>
              <w:t>本项目</w:t>
            </w:r>
            <w:r>
              <w:rPr>
                <w:rFonts w:hint="eastAsia" w:cs="Times New Roman"/>
                <w:b/>
                <w:bCs/>
                <w:color w:val="auto"/>
                <w:sz w:val="24"/>
                <w:lang w:eastAsia="zh-CN"/>
              </w:rPr>
              <w:t>全厂</w:t>
            </w:r>
            <w:r>
              <w:rPr>
                <w:rFonts w:hint="default" w:ascii="Times New Roman" w:hAnsi="Times New Roman" w:cs="Times New Roman"/>
                <w:b/>
                <w:bCs/>
                <w:color w:val="auto"/>
                <w:sz w:val="24"/>
              </w:rPr>
              <w:t>污染物总量控制指标：</w:t>
            </w:r>
            <w:r>
              <w:rPr>
                <w:rFonts w:hint="default" w:ascii="Times New Roman" w:hAnsi="Times New Roman" w:cs="Times New Roman"/>
                <w:color w:val="auto"/>
                <w:sz w:val="24"/>
              </w:rPr>
              <w:t>COD：</w:t>
            </w:r>
            <w:r>
              <w:rPr>
                <w:rFonts w:hint="eastAsia" w:cs="Times New Roman"/>
                <w:color w:val="auto"/>
                <w:sz w:val="24"/>
                <w:lang w:val="en-US" w:eastAsia="zh-CN"/>
              </w:rPr>
              <w:t>0.355</w:t>
            </w:r>
            <w:r>
              <w:rPr>
                <w:rFonts w:hint="default" w:ascii="Times New Roman" w:hAnsi="Times New Roman" w:cs="Times New Roman"/>
                <w:color w:val="auto"/>
                <w:sz w:val="24"/>
              </w:rPr>
              <w:t>t/a，NH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-N：</w:t>
            </w:r>
            <w:r>
              <w:rPr>
                <w:rFonts w:hint="eastAsia" w:cs="Times New Roman"/>
                <w:color w:val="auto"/>
                <w:sz w:val="24"/>
                <w:lang w:val="en-US" w:eastAsia="zh-CN"/>
              </w:rPr>
              <w:t>0.021</w:t>
            </w:r>
            <w:r>
              <w:rPr>
                <w:rFonts w:hint="default" w:ascii="Times New Roman" w:hAnsi="Times New Roman" w:cs="Times New Roman"/>
                <w:color w:val="auto"/>
                <w:sz w:val="24"/>
              </w:rPr>
              <w:t>t/a，SO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w:t>
            </w:r>
            <w:r>
              <w:rPr>
                <w:rFonts w:hint="eastAsia" w:cs="Times New Roman"/>
                <w:color w:val="auto"/>
                <w:sz w:val="24"/>
                <w:lang w:val="en-US" w:eastAsia="zh-CN"/>
              </w:rPr>
              <w:t>0.561</w:t>
            </w:r>
            <w:r>
              <w:rPr>
                <w:rFonts w:hint="default" w:ascii="Times New Roman" w:hAnsi="Times New Roman" w:cs="Times New Roman"/>
                <w:color w:val="auto"/>
                <w:sz w:val="24"/>
              </w:rPr>
              <w:t>t/a，NO</w:t>
            </w:r>
            <w:r>
              <w:rPr>
                <w:rFonts w:hint="default" w:ascii="Times New Roman" w:hAnsi="Times New Roman" w:cs="Times New Roman"/>
                <w:color w:val="auto"/>
                <w:sz w:val="24"/>
                <w:vertAlign w:val="subscript"/>
              </w:rPr>
              <w:t>X</w:t>
            </w:r>
            <w:r>
              <w:rPr>
                <w:rFonts w:hint="default" w:ascii="Times New Roman" w:hAnsi="Times New Roman" w:cs="Times New Roman"/>
                <w:color w:val="auto"/>
                <w:sz w:val="24"/>
              </w:rPr>
              <w:t>：</w:t>
            </w:r>
            <w:r>
              <w:rPr>
                <w:rFonts w:hint="eastAsia" w:cs="Times New Roman"/>
                <w:color w:val="auto"/>
                <w:sz w:val="24"/>
                <w:lang w:val="en-US" w:eastAsia="zh-CN"/>
              </w:rPr>
              <w:t>0.627</w:t>
            </w:r>
            <w:r>
              <w:rPr>
                <w:rFonts w:hint="default" w:ascii="Times New Roman" w:hAnsi="Times New Roman" w:cs="Times New Roman"/>
                <w:color w:val="auto"/>
                <w:sz w:val="24"/>
              </w:rPr>
              <w:t>t/a。</w:t>
            </w:r>
          </w:p>
        </w:tc>
      </w:tr>
    </w:tbl>
    <w:p w14:paraId="447FB3B6">
      <w:pPr>
        <w:pStyle w:val="32"/>
        <w:ind w:firstLine="480"/>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A794A3E">
      <w:pPr>
        <w:pStyle w:val="2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rPr>
      </w:pPr>
      <w:r>
        <w:rPr>
          <w:rFonts w:ascii="Times New Roman" w:hAnsi="Times New Roman" w:eastAsia="黑体"/>
          <w:b/>
          <w:bCs/>
          <w:snapToGrid w:val="0"/>
          <w:color w:val="auto"/>
          <w:sz w:val="30"/>
          <w:szCs w:val="30"/>
        </w:rPr>
        <w:t>四、主要环境影响和保护措施</w:t>
      </w:r>
    </w:p>
    <w:tbl>
      <w:tblPr>
        <w:tblStyle w:val="33"/>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2"/>
        <w:gridCol w:w="8804"/>
      </w:tblGrid>
      <w:tr w14:paraId="37FB9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72" w:type="dxa"/>
            <w:tcMar>
              <w:left w:w="28" w:type="dxa"/>
              <w:right w:w="28" w:type="dxa"/>
            </w:tcMar>
            <w:vAlign w:val="center"/>
          </w:tcPr>
          <w:p w14:paraId="6ECE71C3">
            <w:pPr>
              <w:pStyle w:val="28"/>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snapToGrid w:val="0"/>
                <w:color w:val="000000" w:themeColor="text1"/>
                <w:sz w:val="24"/>
                <w:szCs w:val="24"/>
                <w14:textFill>
                  <w14:solidFill>
                    <w14:schemeClr w14:val="tx1"/>
                  </w14:solidFill>
                </w14:textFill>
              </w:rPr>
              <w:t>施工期环境保护措施</w:t>
            </w:r>
          </w:p>
        </w:tc>
        <w:tc>
          <w:tcPr>
            <w:tcW w:w="8804" w:type="dxa"/>
            <w:vAlign w:val="center"/>
          </w:tcPr>
          <w:p w14:paraId="3219A1B6">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本项目位于</w:t>
            </w:r>
            <w:r>
              <w:rPr>
                <w:rFonts w:hint="eastAsia" w:cs="Times New Roman"/>
                <w:bCs/>
                <w:color w:val="000000" w:themeColor="text1"/>
                <w:sz w:val="24"/>
                <w:lang w:val="en-US" w:eastAsia="zh-CN"/>
                <w14:textFill>
                  <w14:solidFill>
                    <w14:schemeClr w14:val="tx1"/>
                  </w14:solidFill>
                </w14:textFill>
              </w:rPr>
              <w:t>河北省邯郸市魏县经济开发区魏县现代农业园区</w:t>
            </w:r>
            <w:r>
              <w:rPr>
                <w:rFonts w:hint="default" w:ascii="Times New Roman" w:hAnsi="Times New Roman" w:eastAsia="宋体" w:cs="Times New Roman"/>
                <w:bCs/>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在河北魏县经济开发区东区规划范围内</w:t>
            </w:r>
            <w:r>
              <w:rPr>
                <w:rFonts w:hint="default" w:ascii="Times New Roman" w:hAnsi="Times New Roman" w:eastAsia="宋体" w:cs="Times New Roman"/>
                <w:bCs/>
                <w:color w:val="000000" w:themeColor="text1"/>
                <w:sz w:val="24"/>
                <w:lang w:val="en-US" w:eastAsia="zh-CN"/>
                <w14:textFill>
                  <w14:solidFill>
                    <w14:schemeClr w14:val="tx1"/>
                  </w14:solidFill>
                </w14:textFill>
              </w:rPr>
              <w:t>。厂址占地为闲置工业用地。施工内容主要包括厂房建设、生产设备的安装与调试、废气净化设施等的安装与调试。在施工期间将产生废水、噪声和建筑垃圾等。此外，设备运输也将对运输路线两侧一定范围内大气、声环境产生不利影响。本项目施工期环境影响及污染物控制措施如下：</w:t>
            </w:r>
          </w:p>
          <w:p w14:paraId="59C34A7E">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lang w:val="en-US" w:eastAsia="zh-CN"/>
                <w14:textFill>
                  <w14:solidFill>
                    <w14:schemeClr w14:val="tx1"/>
                  </w14:solidFill>
                </w14:textFill>
              </w:rPr>
              <w:t>1、施工扬尘影响分析</w:t>
            </w:r>
          </w:p>
          <w:p w14:paraId="4C16F68A">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项目施工过程中涉及运输车辆的行驶、装卸施工材料引起的扬尘。施工扬尘能使区域内局部环境空气中含尘量增加，并可能随风迁移到周围区域， 影响附近居民及单位职工的生活和工作。</w:t>
            </w:r>
          </w:p>
          <w:p w14:paraId="07B3987A">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为有效控制扬尘污染，本评价要求</w:t>
            </w:r>
            <w:bookmarkStart w:id="160" w:name="_Hlk184972209"/>
            <w:r>
              <w:rPr>
                <w:rFonts w:hint="default" w:ascii="Times New Roman" w:hAnsi="Times New Roman" w:eastAsia="宋体" w:cs="Times New Roman"/>
                <w:bCs/>
                <w:color w:val="000000" w:themeColor="text1"/>
                <w:sz w:val="24"/>
                <w:lang w:val="en-US" w:eastAsia="zh-CN"/>
                <w14:textFill>
                  <w14:solidFill>
                    <w14:schemeClr w14:val="tx1"/>
                  </w14:solidFill>
                </w14:textFill>
              </w:rPr>
              <w:t>项目建设及施工单位严格执行《河北省扬尘污染防治办法》（河北省人民政府令〔2020〕第1号）、《施工场地扬尘排放标准》(DB13/2934-2019)、《河北省大气污染防治条例》（2016年1月13日）、《关于印发&lt;河北省建筑施工扬尘治理方案&gt;的通知》（冀建安</w:t>
            </w:r>
            <w:r>
              <w:rPr>
                <w:rFonts w:hint="eastAsia" w:cs="Times New Roman"/>
                <w:bCs/>
                <w:color w:val="000000" w:themeColor="text1"/>
                <w:sz w:val="24"/>
                <w:lang w:val="en-US" w:eastAsia="zh-CN"/>
                <w14:textFill>
                  <w14:solidFill>
                    <w14:schemeClr w14:val="tx1"/>
                  </w14:solidFill>
                </w14:textFill>
              </w:rPr>
              <w:t>〔2017〕9号</w:t>
            </w:r>
            <w:r>
              <w:rPr>
                <w:rFonts w:hint="default" w:ascii="Times New Roman" w:hAnsi="Times New Roman" w:eastAsia="宋体" w:cs="Times New Roman"/>
                <w:bCs/>
                <w:color w:val="000000" w:themeColor="text1"/>
                <w:sz w:val="24"/>
                <w:lang w:val="en-US" w:eastAsia="zh-CN"/>
                <w14:textFill>
                  <w14:solidFill>
                    <w14:schemeClr w14:val="tx1"/>
                  </w14:solidFill>
                </w14:textFill>
              </w:rPr>
              <w:t>）、《中共河北省委河北省人民政府关于强化推进大气污染综合治理的意见》（冀发</w:t>
            </w:r>
            <w:r>
              <w:rPr>
                <w:rFonts w:hint="eastAsia" w:cs="Times New Roman"/>
                <w:bCs/>
                <w:color w:val="000000" w:themeColor="text1"/>
                <w:sz w:val="24"/>
                <w:lang w:val="en-US" w:eastAsia="zh-CN"/>
                <w14:textFill>
                  <w14:solidFill>
                    <w14:schemeClr w14:val="tx1"/>
                  </w14:solidFill>
                </w14:textFill>
              </w:rPr>
              <w:t>〔2017〕7号</w:t>
            </w:r>
            <w:r>
              <w:rPr>
                <w:rFonts w:hint="default" w:ascii="Times New Roman" w:hAnsi="Times New Roman" w:eastAsia="宋体" w:cs="Times New Roman"/>
                <w:bCs/>
                <w:color w:val="000000" w:themeColor="text1"/>
                <w:sz w:val="24"/>
                <w:lang w:val="en-US" w:eastAsia="zh-CN"/>
                <w14:textFill>
                  <w14:solidFill>
                    <w14:schemeClr w14:val="tx1"/>
                  </w14:solidFill>
                </w14:textFill>
              </w:rPr>
              <w:t>）、《河北省建筑施工扬尘防治强化措施18条》等文件，在施工中必须采取如下措施，来减轻二次扬尘对周围环境的影响：严格落实建筑工地“七个百分之百”，即施工现场100%封闭围挡，砂、石100%覆盖，工地路面100%硬化，施工过程100%洒水，出工地运输车辆100%冲净车轮车身且密闭无洒漏，暂不开发的场地100%绿化，外脚手架安全立网100%；“两个全覆盖”即扬尘在线监控、视频监控安装百分之百。</w:t>
            </w:r>
            <w:bookmarkEnd w:id="160"/>
            <w:r>
              <w:rPr>
                <w:rFonts w:hint="default" w:ascii="Times New Roman" w:hAnsi="Times New Roman" w:eastAsia="宋体" w:cs="Times New Roman"/>
                <w:bCs/>
                <w:color w:val="000000" w:themeColor="text1"/>
                <w:sz w:val="24"/>
                <w:lang w:val="en-US" w:eastAsia="zh-CN"/>
                <w14:textFill>
                  <w14:solidFill>
                    <w14:schemeClr w14:val="tx1"/>
                  </w14:solidFill>
                </w14:textFill>
              </w:rPr>
              <w:t>同时，在施工期间需采取以下严格的措施：</w:t>
            </w:r>
          </w:p>
          <w:p w14:paraId="4DEDA1AE">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bookmarkStart w:id="161" w:name="_Hlk184972241"/>
            <w:r>
              <w:rPr>
                <w:rFonts w:hint="default" w:ascii="Times New Roman" w:hAnsi="Times New Roman" w:eastAsia="宋体" w:cs="Times New Roman"/>
                <w:bCs/>
                <w:color w:val="000000" w:themeColor="text1"/>
                <w:sz w:val="24"/>
                <w:lang w:val="en-US" w:eastAsia="zh-CN"/>
                <w14:textFill>
                  <w14:solidFill>
                    <w14:schemeClr w14:val="tx1"/>
                  </w14:solidFill>
                </w14:textFill>
              </w:rPr>
              <w:t>施工现场必须设置硬质围挡，严禁围挡不严或敞开式施工。城区主干道两侧的围挡高度不低于2.5米，一般路段高度不低于1.8米。</w:t>
            </w:r>
          </w:p>
          <w:p w14:paraId="19772466">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施工现场出入口和场内主要道路、加工区、办公区、生活区必须混凝土硬化，硬化后的地面应清扫整洁无浮土、积土，严禁使用其他软质材料铺设。</w:t>
            </w:r>
          </w:p>
          <w:p w14:paraId="526A58BC">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施工现场出入口必须配备车辆冲洗设施，建立冲洗制度并设专人管理，严禁车辆带泥上路。</w:t>
            </w:r>
          </w:p>
          <w:p w14:paraId="2212F055">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施工现场集中堆放的土方和裸露场地必须采取覆盖、固化或绿化等降尘措施，严禁裸露。</w:t>
            </w:r>
          </w:p>
          <w:p w14:paraId="491B44EB">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施工现场运送土方、渣土的车辆必须封闭或遮盖严密，严禁使用未办理相关手续的渣土等运输车辆，严禁沿路遗撒和随意倾倒。</w:t>
            </w:r>
          </w:p>
          <w:p w14:paraId="425A75F0">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施工现场的建筑垃圾必须设置垃圾存放点，集中堆放并严密覆盖，及时清运。生活垃圾应用封闭式容器存放，日产日清，严禁随意丢弃。</w:t>
            </w:r>
          </w:p>
          <w:p w14:paraId="4E60D10E">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现场内的土堆、砂石料等应使用密目安全网等材料进行覆盖，确保封闭严密，固定牢靠。水泥、石灰等易产生扬尘的材料必须入库入罐存放。砂浆搅拌机等机械设备必须搭设安全防护棚，使用密目网进行有效围挡，最大限度地减少粉尘污染。现场要设置喷水降尘设施，遇到干旱季节和大风天气时，要安排专人定时喷水降尘，保持路面清洁湿润。</w:t>
            </w:r>
          </w:p>
          <w:p w14:paraId="6135434D">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拆除建筑物、构筑物时，必须采用围挡隔离、喷淋、洒水、喷雾等降尘措施，及时清运拆除的建筑垃圾。严禁敞开式拆除和长时间堆放建筑垃圾。</w:t>
            </w:r>
          </w:p>
          <w:p w14:paraId="026519AA">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建筑物内清扫垃圾时要洒水抑尘，施工层建筑垃圾必须采用封闭式管道或装袋用垂直升降机械清运，严禁凌空抛掷和焚烧垃圾。</w:t>
            </w:r>
          </w:p>
          <w:p w14:paraId="61BEA62D">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遇有4级以上大风或重度污染天气时，必须采取扬尘应急措施，严禁土方开挖、土方回填等作业。</w:t>
            </w:r>
          </w:p>
          <w:p w14:paraId="0BEB4688">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施工企业必须在施工现场安装视频监控系统，对施工扬尘实时监控。</w:t>
            </w:r>
          </w:p>
          <w:p w14:paraId="3B0A372C">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施工现场必须建立洒水清扫抑尘制度，配备洒水设备。每天洒水不少于2次，并有专人负责。重污染天气时相应增加洒水频次。</w:t>
            </w:r>
          </w:p>
          <w:p w14:paraId="47401399">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建筑工程临边防护应用密目式安全立网全封闭，并保持整洁、牢固、无破损。</w:t>
            </w:r>
          </w:p>
          <w:p w14:paraId="5DC217AD">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施工现场必须使用商品混凝土、预拌砂浆，严禁现场搅拌。</w:t>
            </w:r>
          </w:p>
          <w:p w14:paraId="3402BCA8">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施工装修阶段，楼层内的建筑垃圾等物料，必须采用相应容器垂直清运或管道清运，严禁凌空抛掷和乱倒乱卸；外脚手架拆除时应当采取洒水等防尘措施，禁止拍抖密目网造成扬尘。</w:t>
            </w:r>
          </w:p>
          <w:p w14:paraId="020391FA">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使用的非道路移动机械，必须加装符合环保要求的尾气净化装置。</w:t>
            </w:r>
          </w:p>
          <w:p w14:paraId="1375AFFD">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同时，为保障项目粉尘防治工作的严格</w:t>
            </w:r>
            <w:r>
              <w:rPr>
                <w:rFonts w:hint="eastAsia" w:cs="Times New Roman"/>
                <w:bCs/>
                <w:color w:val="000000" w:themeColor="text1"/>
                <w:sz w:val="24"/>
                <w:lang w:val="en-US" w:eastAsia="zh-CN"/>
                <w14:textFill>
                  <w14:solidFill>
                    <w14:schemeClr w14:val="tx1"/>
                  </w14:solidFill>
                </w14:textFill>
              </w:rPr>
              <w:t>执行</w:t>
            </w:r>
            <w:r>
              <w:rPr>
                <w:rFonts w:hint="default" w:ascii="Times New Roman" w:hAnsi="Times New Roman" w:eastAsia="宋体" w:cs="Times New Roman"/>
                <w:bCs/>
                <w:color w:val="000000" w:themeColor="text1"/>
                <w:sz w:val="24"/>
                <w:lang w:val="en-US" w:eastAsia="zh-CN"/>
                <w14:textFill>
                  <w14:solidFill>
                    <w14:schemeClr w14:val="tx1"/>
                  </w14:solidFill>
                </w14:textFill>
              </w:rPr>
              <w:t>，企业应采取以下保障措施，即施工现场必须建立洒水清扫制度，配备洒水设备，并有专人负责；建设单位必须全额拨付安全文明措施费用，施工单位必须专款专用，严格落实施工扬尘治理的各项措施。保证施工期施工场地扬尘排放满足河北省地方标准《施工场地扬尘排放标准》（DB13/2934-2019）表1限值。</w:t>
            </w:r>
          </w:p>
          <w:bookmarkEnd w:id="161"/>
          <w:p w14:paraId="04E12F7B">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通过采取以上抑尘措施后，可最大限度</w:t>
            </w:r>
            <w:r>
              <w:rPr>
                <w:rFonts w:hint="eastAsia" w:cs="Times New Roman"/>
                <w:bCs/>
                <w:color w:val="000000" w:themeColor="text1"/>
                <w:sz w:val="24"/>
                <w:lang w:val="en-US" w:eastAsia="zh-CN"/>
                <w14:textFill>
                  <w14:solidFill>
                    <w14:schemeClr w14:val="tx1"/>
                  </w14:solidFill>
                </w14:textFill>
              </w:rPr>
              <w:t>地</w:t>
            </w:r>
            <w:r>
              <w:rPr>
                <w:rFonts w:hint="default" w:ascii="Times New Roman" w:hAnsi="Times New Roman" w:eastAsia="宋体" w:cs="Times New Roman"/>
                <w:bCs/>
                <w:color w:val="000000" w:themeColor="text1"/>
                <w:sz w:val="24"/>
                <w:lang w:val="en-US" w:eastAsia="zh-CN"/>
                <w14:textFill>
                  <w14:solidFill>
                    <w14:schemeClr w14:val="tx1"/>
                  </w14:solidFill>
                </w14:textFill>
              </w:rPr>
              <w:t>降低施工扬尘对周围环境的影响，施工期扬尘能满足河北省《施工场地扬尘排放标准》（DB13/2934-2019）表1扬尘排放浓度限值，对周围居民不会产生明显影响。随着施工期的结束以及场区地面的硬化和绿化，施工扬尘影响也将结束。</w:t>
            </w:r>
          </w:p>
          <w:p w14:paraId="4B576CDB">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lang w:val="en-US" w:eastAsia="zh-CN"/>
                <w14:textFill>
                  <w14:solidFill>
                    <w14:schemeClr w14:val="tx1"/>
                  </w14:solidFill>
                </w14:textFill>
              </w:rPr>
              <w:t>2、施工期废水影响分析</w:t>
            </w:r>
          </w:p>
          <w:p w14:paraId="5094CE1F">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施工期废水主要包括施工本身产生的废水、施工人员产生的</w:t>
            </w:r>
            <w:r>
              <w:rPr>
                <w:rFonts w:hint="eastAsia" w:cs="Times New Roman"/>
                <w:bCs/>
                <w:color w:val="000000" w:themeColor="text1"/>
                <w:sz w:val="24"/>
                <w:lang w:val="en-US" w:eastAsia="zh-CN"/>
                <w14:textFill>
                  <w14:solidFill>
                    <w14:schemeClr w14:val="tx1"/>
                  </w14:solidFill>
                </w14:textFill>
              </w:rPr>
              <w:t>生活废水</w:t>
            </w:r>
            <w:r>
              <w:rPr>
                <w:rFonts w:hint="default" w:ascii="Times New Roman" w:hAnsi="Times New Roman" w:eastAsia="宋体" w:cs="Times New Roman"/>
                <w:bCs/>
                <w:color w:val="000000" w:themeColor="text1"/>
                <w:sz w:val="24"/>
                <w:lang w:val="en-US" w:eastAsia="zh-CN"/>
                <w14:textFill>
                  <w14:solidFill>
                    <w14:schemeClr w14:val="tx1"/>
                  </w14:solidFill>
                </w14:textFill>
              </w:rPr>
              <w:t>和施工车辆进出清洗产生的废水。</w:t>
            </w:r>
          </w:p>
          <w:p w14:paraId="6CB7B6A6">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施工本身产生的废水主要是施工设备清洗废水，施工设备清洗废水和施工车辆清洗废水产生量少且成分相对比较简单，污染物浓度低，经沉淀池处理后回用或用于场地洒水降尘，不外排。施工人员</w:t>
            </w:r>
            <w:r>
              <w:rPr>
                <w:rFonts w:hint="eastAsia" w:cs="Times New Roman"/>
                <w:bCs/>
                <w:color w:val="000000" w:themeColor="text1"/>
                <w:sz w:val="24"/>
                <w:lang w:val="en-US" w:eastAsia="zh-CN"/>
                <w14:textFill>
                  <w14:solidFill>
                    <w14:schemeClr w14:val="tx1"/>
                  </w14:solidFill>
                </w14:textFill>
              </w:rPr>
              <w:t>生活废水</w:t>
            </w:r>
            <w:r>
              <w:rPr>
                <w:rFonts w:hint="default" w:ascii="Times New Roman" w:hAnsi="Times New Roman" w:eastAsia="宋体" w:cs="Times New Roman"/>
                <w:bCs/>
                <w:color w:val="000000" w:themeColor="text1"/>
                <w:sz w:val="24"/>
                <w:lang w:val="en-US" w:eastAsia="zh-CN"/>
                <w14:textFill>
                  <w14:solidFill>
                    <w14:schemeClr w14:val="tx1"/>
                  </w14:solidFill>
                </w14:textFill>
              </w:rPr>
              <w:t>，污染物浓度较低，用于施工场地洒水降尘，施工区设临时防渗旱厕，定期清掏不外排，施工结束后进行拆除。</w:t>
            </w:r>
          </w:p>
          <w:p w14:paraId="69E5DCD6">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综上所述，采取以上措施后，施工期废水不会对水环境产生不利影响。</w:t>
            </w:r>
          </w:p>
          <w:p w14:paraId="78668FA5">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lang w:val="en-US" w:eastAsia="zh-CN"/>
                <w14:textFill>
                  <w14:solidFill>
                    <w14:schemeClr w14:val="tx1"/>
                  </w14:solidFill>
                </w14:textFill>
              </w:rPr>
              <w:t>3、施工噪声影响分析</w:t>
            </w:r>
          </w:p>
          <w:p w14:paraId="68628F88">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本项目施工过程中，在不同的施工阶段，将有不同的施工机械进驻现场，在基础挖掘、建筑施工和建筑材料运输等过程中施工的机械产生的噪声值较高，在75～90dB(A)之间。为最大限度避免和减轻施工及运输噪声对周围声环境的不利影响，本评价建议建设单位在进行工程施工时采取以下噪声控制对策和措施：</w:t>
            </w:r>
          </w:p>
          <w:p w14:paraId="329455E3">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(1)建设单位要求施工单位使用的主要机械设备为低噪声机械设备，并在施工中有专人对其进行保养维护，施工单位应对现场使用设备的人员进行培训，严格按操作规范使用各类机械；</w:t>
            </w:r>
          </w:p>
          <w:p w14:paraId="2EF35320">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(2)建设单位加强对施工工地的噪声管理、施工单位也应对施工噪声进行自律、文明施工，避免因施工噪声产生的纠纷；</w:t>
            </w:r>
          </w:p>
          <w:p w14:paraId="6221926A">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(3)合理安排施工时间和施工顺序，利用距离衰减措施，在不影响施工情况下将强噪声设备尽量分散布置使用，固定机械设备应尽量入棚操作；</w:t>
            </w:r>
          </w:p>
          <w:p w14:paraId="3F8D40A1">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(4)运输车辆应加强车辆维护，减轻交通运输噪声对周围声环境的影响。</w:t>
            </w:r>
          </w:p>
          <w:p w14:paraId="4F9FF82E">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lang w:val="en-US" w:eastAsia="zh-CN"/>
                <w14:textFill>
                  <w14:solidFill>
                    <w14:schemeClr w14:val="tx1"/>
                  </w14:solidFill>
                </w14:textFill>
              </w:rPr>
              <w:t>4、施工固体废物影响分析</w:t>
            </w:r>
          </w:p>
          <w:p w14:paraId="55A8A75E">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本项目施工期产生的固体废物主要为弃土、建筑垃圾和生活垃圾。根据《国家危险废物名录》、《危险废物鉴别技术规范》(HJ 298-2019)、《危险废物鉴别标准》(GB5085.7-2019)、《固体废物鉴别标准 通则》(GB 34330-2017)，施工过程中产生的固体废物均属一般工业固体废物、建设垃圾，不属于危险废物。</w:t>
            </w:r>
          </w:p>
          <w:p w14:paraId="01CA65DC">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施工过程中产生的弃土大部分用于回填地基，剩余部分用于场地平整、施工作业带平整等。生活垃圾送环卫部门指定地点填埋处置，建筑垃圾送城建指定地点处理，且在外运过程中用苫布覆盖，避免沿途遗洒，并按环卫部门指定路线行驶。</w:t>
            </w:r>
          </w:p>
          <w:p w14:paraId="35D1BD26">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为避免施工期建筑垃圾对周围环境产生不利影响，本评价要求建设单位按照《城市建筑垃圾管理规定》(建设部139号令)等文件中的有关规定采取以下防范措施：</w:t>
            </w:r>
          </w:p>
          <w:p w14:paraId="46E02580">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(1)施工现场设置垃圾站应为密闭式，建筑垃圾、生活垃圾应分类存放，运输消纳应符合相关规定；</w:t>
            </w:r>
          </w:p>
          <w:p w14:paraId="3C70C119">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(2)建筑物内的施工垃圾清运严禁抛撒并及时清理；</w:t>
            </w:r>
          </w:p>
          <w:p w14:paraId="2B2AE0DA">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000000" w:themeColor="text1"/>
                <w:spacing w:val="-10"/>
                <w:szCs w:val="21"/>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(3)施工垃圾清运时应提前适量洒水，并按规定及时清运。</w:t>
            </w:r>
          </w:p>
        </w:tc>
      </w:tr>
      <w:tr w14:paraId="45A27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72" w:type="dxa"/>
            <w:tcMar>
              <w:left w:w="28" w:type="dxa"/>
              <w:right w:w="28" w:type="dxa"/>
            </w:tcMar>
            <w:vAlign w:val="center"/>
          </w:tcPr>
          <w:p w14:paraId="154F57E4">
            <w:pPr>
              <w:pStyle w:val="28"/>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default" w:ascii="Times New Roman" w:hAnsi="Times New Roman" w:eastAsia="宋体" w:cs="Times New Roman"/>
                <w:b/>
                <w:snapToGrid w:val="0"/>
                <w:color w:val="000000" w:themeColor="text1"/>
                <w:sz w:val="24"/>
                <w:szCs w:val="24"/>
                <w14:textFill>
                  <w14:solidFill>
                    <w14:schemeClr w14:val="tx1"/>
                  </w14:solidFill>
                </w14:textFill>
              </w:rPr>
              <w:t>运行期环境影响和保护措施</w:t>
            </w:r>
          </w:p>
        </w:tc>
        <w:tc>
          <w:tcPr>
            <w:tcW w:w="8804" w:type="dxa"/>
            <w:vAlign w:val="center"/>
          </w:tcPr>
          <w:p w14:paraId="6C6B257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60" w:lineRule="exact"/>
              <w:ind w:left="0" w:right="0"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一、环境空气影响和保护措施</w:t>
            </w:r>
          </w:p>
          <w:p w14:paraId="18491BB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60" w:lineRule="exact"/>
              <w:ind w:left="0" w:right="0"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1、废气污染物源强核算</w:t>
            </w:r>
          </w:p>
          <w:p w14:paraId="5CBB8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000000" w:themeColor="text1"/>
                <w:sz w:val="24"/>
                <w:szCs w:val="24"/>
                <w:lang w:eastAsia="zh-CN" w:bidi="ar"/>
                <w14:textFill>
                  <w14:solidFill>
                    <w14:schemeClr w14:val="tx1"/>
                  </w14:solidFill>
                </w14:textFill>
              </w:rPr>
            </w:pPr>
            <w:r>
              <w:rPr>
                <w:rFonts w:hint="default" w:ascii="Times New Roman" w:hAnsi="Times New Roman" w:eastAsia="宋体" w:cs="Times New Roman"/>
                <w:color w:val="000000" w:themeColor="text1"/>
                <w:sz w:val="24"/>
                <w:szCs w:val="24"/>
                <w:lang w:eastAsia="zh-CN" w:bidi="ar"/>
                <w14:textFill>
                  <w14:solidFill>
                    <w14:schemeClr w14:val="tx1"/>
                  </w14:solidFill>
                </w14:textFill>
              </w:rPr>
              <w:t>本项目产生的废气主要为</w:t>
            </w:r>
            <w:r>
              <w:rPr>
                <w:rFonts w:hint="eastAsia" w:cs="Times New Roman"/>
                <w:color w:val="000000" w:themeColor="text1"/>
                <w:sz w:val="24"/>
                <w:szCs w:val="24"/>
                <w:lang w:eastAsia="zh-CN" w:bidi="ar"/>
                <w14:textFill>
                  <w14:solidFill>
                    <w14:schemeClr w14:val="tx1"/>
                  </w14:solidFill>
                </w14:textFill>
              </w:rPr>
              <w:t>面筋生产投料粉尘、卤制过程中产生的异味（以臭气浓度计）以及污水处理站恶臭。</w:t>
            </w:r>
          </w:p>
          <w:p w14:paraId="3C3FB7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bCs/>
                <w:color w:val="000000" w:themeColor="text1"/>
                <w:sz w:val="24"/>
                <w:lang w:val="en-US"/>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3#生产车间投料粉尘</w:t>
            </w:r>
          </w:p>
          <w:p w14:paraId="4AE2AB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本项目面筋生产线生筋</w:t>
            </w:r>
            <w:r>
              <w:rPr>
                <w:rFonts w:hint="eastAsia" w:cs="Times New Roman"/>
                <w:color w:val="000000" w:themeColor="text1"/>
                <w:sz w:val="24"/>
                <w:lang w:val="en-US" w:eastAsia="zh-CN"/>
                <w14:textFill>
                  <w14:solidFill>
                    <w14:schemeClr w14:val="tx1"/>
                  </w14:solidFill>
                </w14:textFill>
              </w:rPr>
              <w:t>生产需要人工将谷朊粉、面粉、碱面等拆包投入料口上料进行混合</w:t>
            </w:r>
            <w:r>
              <w:rPr>
                <w:rFonts w:hint="default" w:ascii="Times New Roman" w:hAnsi="Times New Roman" w:eastAsia="宋体" w:cs="Times New Roman"/>
                <w:color w:val="000000" w:themeColor="text1"/>
                <w:sz w:val="24"/>
                <w:lang w:val="en-US" w:eastAsia="zh-CN"/>
                <w14:textFill>
                  <w14:solidFill>
                    <w14:schemeClr w14:val="tx1"/>
                  </w14:solidFill>
                </w14:textFill>
              </w:rPr>
              <w:t>和面，投料过程中会产生少量颗粒物，根据《环境影响评价实用技术指南第2版》（李爱贞、周兆驹、林国栋，机械工业出版社）中“第一章第三节”污染源强的确定，面粉在人工投料过程中起尘率为1‰~2‰，本次评价以最大2‰计算，本项目</w:t>
            </w:r>
            <w:r>
              <w:rPr>
                <w:rFonts w:hint="eastAsia" w:cs="Times New Roman"/>
                <w:color w:val="000000" w:themeColor="text1"/>
                <w:sz w:val="24"/>
                <w:lang w:val="en-US" w:eastAsia="zh-CN"/>
                <w14:textFill>
                  <w14:solidFill>
                    <w14:schemeClr w14:val="tx1"/>
                  </w14:solidFill>
                </w14:textFill>
              </w:rPr>
              <w:t>谷朊粉、</w:t>
            </w:r>
            <w:r>
              <w:rPr>
                <w:rFonts w:hint="default" w:ascii="Times New Roman" w:hAnsi="Times New Roman" w:eastAsia="宋体" w:cs="Times New Roman"/>
                <w:color w:val="000000" w:themeColor="text1"/>
                <w:sz w:val="24"/>
                <w:lang w:val="en-US" w:eastAsia="zh-CN"/>
                <w14:textFill>
                  <w14:solidFill>
                    <w14:schemeClr w14:val="tx1"/>
                  </w14:solidFill>
                </w14:textFill>
              </w:rPr>
              <w:t>面粉</w:t>
            </w:r>
            <w:r>
              <w:rPr>
                <w:rFonts w:hint="eastAsia" w:cs="Times New Roman"/>
                <w:color w:val="000000" w:themeColor="text1"/>
                <w:sz w:val="24"/>
                <w:lang w:val="en-US" w:eastAsia="zh-CN"/>
                <w14:textFill>
                  <w14:solidFill>
                    <w14:schemeClr w14:val="tx1"/>
                  </w14:solidFill>
                </w14:textFill>
              </w:rPr>
              <w:t>、碱面粉料</w:t>
            </w:r>
            <w:r>
              <w:rPr>
                <w:rFonts w:hint="default" w:ascii="Times New Roman" w:hAnsi="Times New Roman" w:eastAsia="宋体" w:cs="Times New Roman"/>
                <w:color w:val="000000" w:themeColor="text1"/>
                <w:sz w:val="24"/>
                <w:lang w:val="en-US" w:eastAsia="zh-CN"/>
                <w14:textFill>
                  <w14:solidFill>
                    <w14:schemeClr w14:val="tx1"/>
                  </w14:solidFill>
                </w14:textFill>
              </w:rPr>
              <w:t>使用量为</w:t>
            </w:r>
            <w:r>
              <w:rPr>
                <w:rFonts w:hint="eastAsia" w:cs="Times New Roman"/>
                <w:color w:val="000000" w:themeColor="text1"/>
                <w:sz w:val="24"/>
                <w:lang w:val="en-US" w:eastAsia="zh-CN"/>
                <w14:textFill>
                  <w14:solidFill>
                    <w14:schemeClr w14:val="tx1"/>
                  </w14:solidFill>
                </w14:textFill>
              </w:rPr>
              <w:t>7906.2</w:t>
            </w:r>
            <w:r>
              <w:rPr>
                <w:rFonts w:hint="default" w:ascii="Times New Roman" w:hAnsi="Times New Roman" w:eastAsia="宋体" w:cs="Times New Roman"/>
                <w:color w:val="000000" w:themeColor="text1"/>
                <w:sz w:val="24"/>
                <w:lang w:val="en-US" w:eastAsia="zh-CN"/>
                <w14:textFill>
                  <w14:solidFill>
                    <w14:schemeClr w14:val="tx1"/>
                  </w14:solidFill>
                </w14:textFill>
              </w:rPr>
              <w:t>t/a，则颗粒物产生量为</w:t>
            </w:r>
            <w:r>
              <w:rPr>
                <w:rFonts w:hint="eastAsia" w:cs="Times New Roman"/>
                <w:color w:val="000000" w:themeColor="text1"/>
                <w:sz w:val="24"/>
                <w:lang w:val="en-US" w:eastAsia="zh-CN"/>
                <w14:textFill>
                  <w14:solidFill>
                    <w14:schemeClr w14:val="tx1"/>
                  </w14:solidFill>
                </w14:textFill>
              </w:rPr>
              <w:t>15.81</w:t>
            </w:r>
            <w:r>
              <w:rPr>
                <w:rFonts w:hint="default" w:ascii="Times New Roman" w:hAnsi="Times New Roman" w:eastAsia="宋体" w:cs="Times New Roman"/>
                <w:color w:val="000000" w:themeColor="text1"/>
                <w:sz w:val="24"/>
                <w:lang w:val="en-US" w:eastAsia="zh-CN"/>
                <w14:textFill>
                  <w14:solidFill>
                    <w14:schemeClr w14:val="tx1"/>
                  </w14:solidFill>
                </w14:textFill>
              </w:rPr>
              <w:t>t/a。</w:t>
            </w:r>
          </w:p>
          <w:p w14:paraId="386DEA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投料、和面过程产生颗粒物采用集气罩收集，罩口尺寸为1.0×0.8m，距离产尘点约0.4m，将集气罩安装下垂帘进行收集，收集效率按9</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lang w:val="en-US" w:eastAsia="zh-CN"/>
                <w14:textFill>
                  <w14:solidFill>
                    <w14:schemeClr w14:val="tx1"/>
                  </w14:solidFill>
                </w14:textFill>
              </w:rPr>
              <w:t>%计，根据《环保设备设计手册—大气污染控制设备》（化学工业出版社，2004年版）计算公式：</w:t>
            </w:r>
          </w:p>
          <w:p w14:paraId="139E60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Q=k×L×H×Vx</w:t>
            </w:r>
          </w:p>
          <w:p w14:paraId="44BB44D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式中，Q——处理风量，m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/s；</w:t>
            </w:r>
          </w:p>
          <w:p w14:paraId="4C32D99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k——安全系数，取1.4；</w:t>
            </w:r>
          </w:p>
          <w:p w14:paraId="7EFD8C4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L——集气罩罩口敞开面的周长，m；项目在投料口上方设置集气罩，集气罩尺寸设置为1.0×0.8m，故L=（1.0+0.8）×2=3.6m；</w:t>
            </w:r>
          </w:p>
          <w:p w14:paraId="067B3CE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H——罩口至污染源的距离，m；集气罩至污染源的距离H为0.4m；</w:t>
            </w:r>
          </w:p>
          <w:p w14:paraId="5B398A7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Vx——敞开断面处流速，m/s，0.25~2.5m/s之间，取0.34m/s；</w:t>
            </w:r>
          </w:p>
          <w:p w14:paraId="4735DE0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经计算，项目投料除杂粉尘所需废气量为：</w:t>
            </w:r>
          </w:p>
          <w:p w14:paraId="1A485C7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Q=1.4×3.6×0.4×0.34m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/s=0.68544m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/s=2467.6m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/h，风机风量设计取值（向上取整）为2500m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/h考虑，则本项目投料、和面过程颗粒物有组织产生量为</w:t>
            </w:r>
            <w:r>
              <w:rPr>
                <w:rFonts w:hint="eastAsia" w:cs="Times New Roman"/>
                <w:color w:val="000000" w:themeColor="text1"/>
                <w:sz w:val="24"/>
                <w:lang w:val="en-US" w:eastAsia="zh-CN"/>
                <w14:textFill>
                  <w14:solidFill>
                    <w14:schemeClr w14:val="tx1"/>
                  </w14:solidFill>
                </w14:textFill>
              </w:rPr>
              <w:t>15.02</w:t>
            </w:r>
            <w:r>
              <w:rPr>
                <w:rFonts w:hint="default" w:ascii="Times New Roman" w:hAnsi="Times New Roman" w:eastAsia="宋体" w:cs="Times New Roman"/>
                <w:color w:val="000000" w:themeColor="text1"/>
                <w:sz w:val="24"/>
                <w:lang w:val="en-US" w:eastAsia="zh-CN"/>
                <w14:textFill>
                  <w14:solidFill>
                    <w14:schemeClr w14:val="tx1"/>
                  </w14:solidFill>
                </w14:textFill>
              </w:rPr>
              <w:t>t/a，产生速率为</w:t>
            </w:r>
            <w:r>
              <w:rPr>
                <w:rFonts w:hint="eastAsia" w:cs="Times New Roman"/>
                <w:color w:val="000000" w:themeColor="text1"/>
                <w:sz w:val="24"/>
                <w:lang w:val="en-US" w:eastAsia="zh-CN"/>
                <w14:textFill>
                  <w14:solidFill>
                    <w14:schemeClr w14:val="tx1"/>
                  </w14:solidFill>
                </w14:textFill>
              </w:rPr>
              <w:t>2.09</w:t>
            </w:r>
            <w:r>
              <w:rPr>
                <w:rFonts w:hint="default" w:ascii="Times New Roman" w:hAnsi="Times New Roman" w:eastAsia="宋体" w:cs="Times New Roman"/>
                <w:color w:val="000000" w:themeColor="text1"/>
                <w:sz w:val="24"/>
                <w:lang w:val="en-US" w:eastAsia="zh-CN"/>
                <w14:textFill>
                  <w14:solidFill>
                    <w14:schemeClr w14:val="tx1"/>
                  </w14:solidFill>
                </w14:textFill>
              </w:rPr>
              <w:t>kg/h，产生浓度为</w:t>
            </w:r>
            <w:r>
              <w:rPr>
                <w:rFonts w:hint="eastAsia" w:cs="Times New Roman"/>
                <w:color w:val="000000" w:themeColor="text1"/>
                <w:sz w:val="24"/>
                <w:lang w:val="en-US" w:eastAsia="zh-CN"/>
                <w14:textFill>
                  <w14:solidFill>
                    <w14:schemeClr w14:val="tx1"/>
                  </w14:solidFill>
                </w14:textFill>
              </w:rPr>
              <w:t>2503.3</w:t>
            </w:r>
            <w:r>
              <w:rPr>
                <w:rFonts w:hint="default" w:ascii="Times New Roman" w:hAnsi="Times New Roman" w:eastAsia="宋体" w:cs="Times New Roman"/>
                <w:color w:val="000000" w:themeColor="text1"/>
                <w:sz w:val="24"/>
                <w:lang w:val="en-US" w:eastAsia="zh-CN"/>
                <w14:textFill>
                  <w14:solidFill>
                    <w14:schemeClr w14:val="tx1"/>
                  </w14:solidFill>
                </w14:textFill>
              </w:rPr>
              <w:t>mg/m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1A201CF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本项目投料、和面颗粒物采用袋式除尘器处理后通过1根</w:t>
            </w:r>
            <w:r>
              <w:rPr>
                <w:rFonts w:hint="eastAsia" w:cs="Times New Roman"/>
                <w:color w:val="000000" w:themeColor="text1"/>
                <w:sz w:val="24"/>
                <w:lang w:val="en-US" w:eastAsia="zh-CN"/>
                <w14:textFill>
                  <w14:solidFill>
                    <w14:schemeClr w14:val="tx1"/>
                  </w14:solidFill>
                </w14:textFill>
              </w:rPr>
              <w:t>19</w:t>
            </w:r>
            <w:r>
              <w:rPr>
                <w:rFonts w:hint="default" w:ascii="Times New Roman" w:hAnsi="Times New Roman" w:eastAsia="宋体" w:cs="Times New Roman"/>
                <w:color w:val="000000" w:themeColor="text1"/>
                <w:sz w:val="24"/>
                <w:lang w:val="en-US" w:eastAsia="zh-CN"/>
                <w14:textFill>
                  <w14:solidFill>
                    <w14:schemeClr w14:val="tx1"/>
                  </w14:solidFill>
                </w14:textFill>
              </w:rPr>
              <w:t>m的排气筒（DA001）排放，袋式除尘去除效率为99%，则投料、和面颗粒物有组织排放量为</w:t>
            </w:r>
            <w:r>
              <w:rPr>
                <w:rFonts w:hint="eastAsia" w:cs="Times New Roman"/>
                <w:color w:val="000000" w:themeColor="text1"/>
                <w:sz w:val="24"/>
                <w:lang w:val="en-US" w:eastAsia="zh-CN"/>
                <w14:textFill>
                  <w14:solidFill>
                    <w14:schemeClr w14:val="tx1"/>
                  </w14:solidFill>
                </w14:textFill>
              </w:rPr>
              <w:t>0.15</w:t>
            </w:r>
            <w:r>
              <w:rPr>
                <w:rFonts w:hint="default" w:ascii="Times New Roman" w:hAnsi="Times New Roman" w:eastAsia="宋体" w:cs="Times New Roman"/>
                <w:color w:val="000000" w:themeColor="text1"/>
                <w:sz w:val="24"/>
                <w:lang w:val="en-US" w:eastAsia="zh-CN"/>
                <w14:textFill>
                  <w14:solidFill>
                    <w14:schemeClr w14:val="tx1"/>
                  </w14:solidFill>
                </w14:textFill>
              </w:rPr>
              <w:t>t/a，排放速率为</w:t>
            </w:r>
            <w:r>
              <w:rPr>
                <w:rFonts w:hint="eastAsia" w:cs="Times New Roman"/>
                <w:color w:val="000000" w:themeColor="text1"/>
                <w:sz w:val="24"/>
                <w:lang w:val="en-US" w:eastAsia="zh-CN"/>
                <w14:textFill>
                  <w14:solidFill>
                    <w14:schemeClr w14:val="tx1"/>
                  </w14:solidFill>
                </w14:textFill>
              </w:rPr>
              <w:t>0.063</w:t>
            </w:r>
            <w:r>
              <w:rPr>
                <w:rFonts w:hint="default" w:ascii="Times New Roman" w:hAnsi="Times New Roman" w:eastAsia="宋体" w:cs="Times New Roman"/>
                <w:color w:val="000000" w:themeColor="text1"/>
                <w:sz w:val="24"/>
                <w:lang w:val="en-US" w:eastAsia="zh-CN"/>
                <w14:textFill>
                  <w14:solidFill>
                    <w14:schemeClr w14:val="tx1"/>
                  </w14:solidFill>
                </w14:textFill>
              </w:rPr>
              <w:t>kg/h，排放浓度为</w:t>
            </w:r>
            <w:r>
              <w:rPr>
                <w:rFonts w:hint="eastAsia" w:cs="Times New Roman"/>
                <w:color w:val="000000" w:themeColor="text1"/>
                <w:sz w:val="24"/>
                <w:lang w:val="en-US" w:eastAsia="zh-CN"/>
                <w14:textFill>
                  <w14:solidFill>
                    <w14:schemeClr w14:val="tx1"/>
                  </w14:solidFill>
                </w14:textFill>
              </w:rPr>
              <w:t>25.03</w:t>
            </w:r>
            <w:r>
              <w:rPr>
                <w:rFonts w:hint="default" w:ascii="Times New Roman" w:hAnsi="Times New Roman" w:eastAsia="宋体" w:cs="Times New Roman"/>
                <w:color w:val="000000" w:themeColor="text1"/>
                <w:sz w:val="24"/>
                <w:lang w:val="en-US" w:eastAsia="zh-CN"/>
                <w14:textFill>
                  <w14:solidFill>
                    <w14:schemeClr w14:val="tx1"/>
                  </w14:solidFill>
                </w14:textFill>
              </w:rPr>
              <w:t>mg/m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外排颗粒物浓度及排放速率均满足</w:t>
            </w:r>
            <w:r>
              <w:rPr>
                <w:rFonts w:hint="default" w:ascii="Times New Roman" w:hAnsi="Times New Roman" w:cs="Times New Roman"/>
                <w:color w:val="auto"/>
                <w:sz w:val="24"/>
                <w:szCs w:val="24"/>
                <w:lang w:val="en-US" w:eastAsia="zh-CN"/>
              </w:rPr>
              <w:t>《大气污染物综合排放标准》（GB16297－1996）表2标准</w:t>
            </w:r>
            <w:r>
              <w:rPr>
                <w:rFonts w:hint="eastAsia" w:ascii="Times New Roman" w:hAnsi="Times New Roman" w:cs="Times New Roman"/>
                <w:color w:val="auto"/>
                <w:sz w:val="24"/>
                <w:szCs w:val="24"/>
                <w:lang w:val="en-US" w:eastAsia="zh-CN"/>
              </w:rPr>
              <w:t>。</w:t>
            </w:r>
          </w:p>
          <w:p w14:paraId="1B696C75">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
                <w:bCs/>
                <w:color w:val="000000" w:themeColor="text1"/>
                <w:sz w:val="24"/>
                <w:szCs w:val="24"/>
                <w:lang w:eastAsia="zh-CN" w:bidi="ar"/>
                <w14:textFill>
                  <w14:solidFill>
                    <w14:schemeClr w14:val="tx1"/>
                  </w14:solidFill>
                </w14:textFill>
              </w:rPr>
            </w:pPr>
            <w:r>
              <w:rPr>
                <w:rFonts w:hint="default" w:ascii="Times New Roman" w:hAnsi="Times New Roman" w:eastAsia="宋体" w:cs="Times New Roman"/>
                <w:b w:val="0"/>
                <w:bCs w:val="0"/>
                <w:color w:val="000000" w:themeColor="text1"/>
                <w:sz w:val="24"/>
                <w:szCs w:val="24"/>
                <w:lang w:eastAsia="zh-CN" w:bidi="ar"/>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eastAsia="zh-CN" w:bidi="ar"/>
                <w14:textFill>
                  <w14:solidFill>
                    <w14:schemeClr w14:val="tx1"/>
                  </w14:solidFill>
                </w14:textFill>
              </w:rPr>
              <w:t>）</w:t>
            </w:r>
            <w:r>
              <w:rPr>
                <w:rFonts w:hint="eastAsia" w:cs="Times New Roman"/>
                <w:b w:val="0"/>
                <w:bCs w:val="0"/>
                <w:color w:val="000000" w:themeColor="text1"/>
                <w:sz w:val="24"/>
                <w:szCs w:val="24"/>
                <w:lang w:eastAsia="zh-CN" w:bidi="ar"/>
                <w14:textFill>
                  <w14:solidFill>
                    <w14:schemeClr w14:val="tx1"/>
                  </w14:solidFill>
                </w14:textFill>
              </w:rPr>
              <w:t>蒸煮</w:t>
            </w:r>
            <w:r>
              <w:rPr>
                <w:rFonts w:hint="eastAsia" w:cs="Times New Roman"/>
                <w:b w:val="0"/>
                <w:bCs w:val="0"/>
                <w:color w:val="000000" w:themeColor="text1"/>
                <w:sz w:val="24"/>
                <w:szCs w:val="24"/>
                <w:lang w:val="en-US" w:eastAsia="zh-CN" w:bidi="ar"/>
                <w14:textFill>
                  <w14:solidFill>
                    <w14:schemeClr w14:val="tx1"/>
                  </w14:solidFill>
                </w14:textFill>
              </w:rPr>
              <w:t>/</w:t>
            </w:r>
            <w:r>
              <w:rPr>
                <w:rFonts w:hint="eastAsia" w:cs="Times New Roman"/>
                <w:b w:val="0"/>
                <w:bCs w:val="0"/>
                <w:color w:val="000000" w:themeColor="text1"/>
                <w:sz w:val="24"/>
                <w:szCs w:val="24"/>
                <w:lang w:eastAsia="zh-CN" w:bidi="ar"/>
                <w14:textFill>
                  <w14:solidFill>
                    <w14:schemeClr w14:val="tx1"/>
                  </w14:solidFill>
                </w14:textFill>
              </w:rPr>
              <w:t>卤制过程产生的异味</w:t>
            </w:r>
          </w:p>
          <w:p w14:paraId="06A0755C">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 w:val="0"/>
                <w:bCs w:val="0"/>
                <w:color w:val="000000" w:themeColor="text1"/>
                <w:sz w:val="24"/>
                <w:szCs w:val="24"/>
                <w:lang w:eastAsia="zh-CN" w:bidi="ar"/>
                <w14:textFill>
                  <w14:solidFill>
                    <w14:schemeClr w14:val="tx1"/>
                  </w14:solidFill>
                </w14:textFill>
              </w:rPr>
            </w:pPr>
            <w:r>
              <w:rPr>
                <w:rFonts w:hint="eastAsia"/>
                <w:color w:val="auto"/>
                <w:sz w:val="24"/>
                <w:highlight w:val="none"/>
              </w:rPr>
              <w:t>本项目</w:t>
            </w:r>
            <w:r>
              <w:rPr>
                <w:rFonts w:hint="eastAsia"/>
                <w:color w:val="auto"/>
                <w:sz w:val="24"/>
                <w:highlight w:val="none"/>
                <w:lang w:val="en-US" w:eastAsia="zh-CN"/>
              </w:rPr>
              <w:t>8#、10#生产车间1层均为即食面筋生产，</w:t>
            </w:r>
            <w:r>
              <w:rPr>
                <w:rFonts w:hint="eastAsia"/>
                <w:color w:val="auto"/>
                <w:sz w:val="24"/>
                <w:highlight w:val="none"/>
              </w:rPr>
              <w:t>在卤</w:t>
            </w:r>
            <w:r>
              <w:rPr>
                <w:rFonts w:hint="eastAsia"/>
                <w:color w:val="auto"/>
                <w:sz w:val="24"/>
                <w:highlight w:val="none"/>
                <w:lang w:eastAsia="zh-CN"/>
              </w:rPr>
              <w:t>制</w:t>
            </w:r>
            <w:r>
              <w:rPr>
                <w:rFonts w:hint="eastAsia"/>
                <w:color w:val="auto"/>
                <w:sz w:val="24"/>
                <w:highlight w:val="none"/>
              </w:rPr>
              <w:t>过程中各种原料及调味料会产生异味，以臭气浓度计，经查《排放源统计调查产排污核算方法和系数手册》相关食品行业系数手册等，均无相关生产废气产排系数，该类废气不含有毒有害物质，其成分主要是卤料的气味，此异味成分复杂，</w:t>
            </w:r>
            <w:r>
              <w:rPr>
                <w:rFonts w:hint="eastAsia"/>
                <w:color w:val="auto"/>
                <w:sz w:val="24"/>
                <w:highlight w:val="none"/>
                <w:lang w:eastAsia="zh-CN"/>
              </w:rPr>
              <w:t>无毒无害，</w:t>
            </w:r>
            <w:r>
              <w:rPr>
                <w:rFonts w:hint="eastAsia"/>
                <w:color w:val="auto"/>
                <w:sz w:val="24"/>
                <w:highlight w:val="none"/>
              </w:rPr>
              <w:t>难以进行定量分析，但浓度过高时会对周边大气环境造成不利影响，根据2018年7月国家市场监管总局发布的《餐饮服务食品安全操作规范》“5.6.3产生大量汽的设备上方，设置机械排风排汽装置，并做好凝结水的引泄”。企业拟在</w:t>
            </w:r>
            <w:r>
              <w:rPr>
                <w:rFonts w:hint="eastAsia"/>
                <w:color w:val="auto"/>
                <w:sz w:val="24"/>
                <w:highlight w:val="none"/>
                <w:lang w:val="en-US" w:eastAsia="zh-CN"/>
              </w:rPr>
              <w:t>8#生产</w:t>
            </w:r>
            <w:r>
              <w:rPr>
                <w:rFonts w:hint="eastAsia"/>
                <w:color w:val="auto"/>
                <w:sz w:val="24"/>
                <w:highlight w:val="none"/>
              </w:rPr>
              <w:t>车间</w:t>
            </w:r>
            <w:r>
              <w:rPr>
                <w:rFonts w:hint="eastAsia"/>
                <w:color w:val="auto"/>
                <w:sz w:val="24"/>
                <w:highlight w:val="none"/>
                <w:lang w:eastAsia="zh-CN"/>
              </w:rPr>
              <w:t>、</w:t>
            </w:r>
            <w:r>
              <w:rPr>
                <w:rFonts w:hint="eastAsia"/>
                <w:color w:val="auto"/>
                <w:sz w:val="24"/>
                <w:highlight w:val="none"/>
                <w:lang w:val="en-US" w:eastAsia="zh-CN"/>
              </w:rPr>
              <w:t>10#生产车间</w:t>
            </w:r>
            <w:r>
              <w:rPr>
                <w:rFonts w:hint="eastAsia"/>
                <w:color w:val="auto"/>
                <w:sz w:val="24"/>
                <w:highlight w:val="none"/>
              </w:rPr>
              <w:t>内</w:t>
            </w:r>
            <w:r>
              <w:rPr>
                <w:rFonts w:hint="eastAsia"/>
                <w:color w:val="auto"/>
                <w:sz w:val="24"/>
                <w:highlight w:val="none"/>
                <w:lang w:eastAsia="zh-CN"/>
              </w:rPr>
              <w:t>卤制锅</w:t>
            </w:r>
            <w:r>
              <w:rPr>
                <w:rFonts w:hint="eastAsia"/>
                <w:color w:val="auto"/>
                <w:sz w:val="24"/>
                <w:highlight w:val="none"/>
              </w:rPr>
              <w:t>上方设置集气罩，风机风量为</w:t>
            </w:r>
            <w:r>
              <w:rPr>
                <w:rFonts w:hint="eastAsia"/>
                <w:color w:val="auto"/>
                <w:sz w:val="24"/>
                <w:highlight w:val="none"/>
                <w:lang w:val="en-US" w:eastAsia="zh-CN"/>
              </w:rPr>
              <w:t>5</w:t>
            </w:r>
            <w:r>
              <w:rPr>
                <w:rFonts w:hint="eastAsia"/>
                <w:color w:val="auto"/>
                <w:sz w:val="24"/>
                <w:highlight w:val="none"/>
              </w:rPr>
              <w:t>000m</w:t>
            </w:r>
            <w:r>
              <w:rPr>
                <w:rFonts w:hint="eastAsia"/>
                <w:color w:val="auto"/>
                <w:sz w:val="24"/>
                <w:highlight w:val="none"/>
                <w:vertAlign w:val="superscript"/>
              </w:rPr>
              <w:t>3</w:t>
            </w:r>
            <w:r>
              <w:rPr>
                <w:rFonts w:hint="eastAsia"/>
                <w:color w:val="auto"/>
                <w:sz w:val="24"/>
                <w:highlight w:val="none"/>
              </w:rPr>
              <w:t>/h，废气收集后</w:t>
            </w:r>
            <w:r>
              <w:rPr>
                <w:rFonts w:hint="eastAsia"/>
                <w:color w:val="auto"/>
                <w:sz w:val="24"/>
                <w:highlight w:val="none"/>
                <w:lang w:eastAsia="zh-CN"/>
              </w:rPr>
              <w:t>分别</w:t>
            </w:r>
            <w:r>
              <w:rPr>
                <w:rFonts w:hint="eastAsia"/>
                <w:color w:val="auto"/>
                <w:sz w:val="24"/>
                <w:highlight w:val="none"/>
              </w:rPr>
              <w:t>经</w:t>
            </w:r>
            <w:r>
              <w:rPr>
                <w:rFonts w:hint="eastAsia"/>
                <w:color w:val="auto"/>
                <w:sz w:val="24"/>
                <w:highlight w:val="none"/>
                <w:lang w:eastAsia="zh-CN"/>
              </w:rPr>
              <w:t>活性炭吸附装置</w:t>
            </w:r>
            <w:r>
              <w:rPr>
                <w:rFonts w:hint="eastAsia"/>
                <w:color w:val="auto"/>
                <w:sz w:val="24"/>
                <w:highlight w:val="none"/>
              </w:rPr>
              <w:t>处理后，通过</w:t>
            </w:r>
            <w:r>
              <w:rPr>
                <w:rFonts w:hint="eastAsia"/>
                <w:color w:val="auto"/>
                <w:sz w:val="24"/>
                <w:highlight w:val="none"/>
                <w:lang w:val="en-US" w:eastAsia="zh-CN"/>
              </w:rPr>
              <w:t>15</w:t>
            </w:r>
            <w:r>
              <w:rPr>
                <w:rFonts w:hint="eastAsia"/>
                <w:color w:val="auto"/>
                <w:sz w:val="24"/>
                <w:highlight w:val="none"/>
              </w:rPr>
              <w:t>m高排气筒（DA002</w:t>
            </w:r>
            <w:r>
              <w:rPr>
                <w:rFonts w:hint="eastAsia"/>
                <w:color w:val="auto"/>
                <w:sz w:val="24"/>
                <w:highlight w:val="none"/>
                <w:lang w:eastAsia="zh-CN"/>
              </w:rPr>
              <w:t>、</w:t>
            </w:r>
            <w:r>
              <w:rPr>
                <w:rFonts w:hint="eastAsia"/>
                <w:color w:val="auto"/>
                <w:sz w:val="24"/>
                <w:highlight w:val="none"/>
                <w:lang w:val="en-US" w:eastAsia="zh-CN"/>
              </w:rPr>
              <w:t>DA003</w:t>
            </w:r>
            <w:r>
              <w:rPr>
                <w:rFonts w:hint="eastAsia"/>
                <w:color w:val="auto"/>
                <w:sz w:val="24"/>
                <w:highlight w:val="none"/>
              </w:rPr>
              <w:t>）排放</w:t>
            </w:r>
            <w:r>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t>。</w:t>
            </w:r>
            <w:r>
              <w:rPr>
                <w:rFonts w:hint="eastAsia" w:cs="Times New Roman"/>
                <w:b w:val="0"/>
                <w:bCs w:val="0"/>
                <w:color w:val="000000" w:themeColor="text1"/>
                <w:sz w:val="24"/>
                <w:szCs w:val="24"/>
                <w:lang w:val="en-US" w:eastAsia="zh-CN" w:bidi="ar"/>
                <w14:textFill>
                  <w14:solidFill>
                    <w14:schemeClr w14:val="tx1"/>
                  </w14:solidFill>
                </w14:textFill>
              </w:rPr>
              <w:t>处理后臭气浓度需满足《恶臭污染物排放标准》（GB14554-1993）中表2相关标准的排放限值要求。</w:t>
            </w:r>
          </w:p>
          <w:p w14:paraId="383CA194">
            <w:pPr>
              <w:keepNext w:val="0"/>
              <w:keepLines w:val="0"/>
              <w:numPr>
                <w:ilvl w:val="0"/>
                <w:numId w:val="0"/>
              </w:numPr>
              <w:suppressLineNumbers w:val="0"/>
              <w:spacing w:before="0" w:beforeAutospacing="0" w:after="0" w:afterAutospacing="0" w:line="480" w:lineRule="exact"/>
              <w:ind w:left="420" w:leftChars="0" w:right="0" w:rightChars="0"/>
              <w:rPr>
                <w:rFonts w:hint="default" w:ascii="Times New Roman" w:hAnsi="Times New Roman" w:eastAsia="宋体" w:cs="Times New Roman"/>
                <w:color w:val="000000" w:themeColor="text1"/>
                <w:sz w:val="24"/>
                <w:szCs w:val="24"/>
                <w:lang w:eastAsia="zh-CN" w:bidi="ar"/>
                <w14:textFill>
                  <w14:solidFill>
                    <w14:schemeClr w14:val="tx1"/>
                  </w14:solidFill>
                </w14:textFill>
              </w:rPr>
            </w:pPr>
            <w:r>
              <w:rPr>
                <w:rFonts w:hint="default" w:ascii="Times New Roman" w:hAnsi="Times New Roman" w:eastAsia="宋体" w:cs="Times New Roman"/>
                <w:color w:val="000000" w:themeColor="text1"/>
                <w:sz w:val="24"/>
                <w:szCs w:val="24"/>
                <w:lang w:eastAsia="zh-CN" w:bidi="ar"/>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t>3</w:t>
            </w:r>
            <w:r>
              <w:rPr>
                <w:rFonts w:hint="default" w:ascii="Times New Roman" w:hAnsi="Times New Roman" w:eastAsia="宋体" w:cs="Times New Roman"/>
                <w:color w:val="000000" w:themeColor="text1"/>
                <w:sz w:val="24"/>
                <w:szCs w:val="24"/>
                <w:lang w:eastAsia="zh-CN" w:bidi="ar"/>
                <w14:textFill>
                  <w14:solidFill>
                    <w14:schemeClr w14:val="tx1"/>
                  </w14:solidFill>
                </w14:textFill>
              </w:rPr>
              <w:t>）</w:t>
            </w:r>
            <w:r>
              <w:rPr>
                <w:rFonts w:hint="eastAsia" w:cs="Times New Roman"/>
                <w:color w:val="000000" w:themeColor="text1"/>
                <w:sz w:val="24"/>
                <w:szCs w:val="24"/>
                <w:lang w:eastAsia="zh-CN" w:bidi="ar"/>
                <w14:textFill>
                  <w14:solidFill>
                    <w14:schemeClr w14:val="tx1"/>
                  </w14:solidFill>
                </w14:textFill>
              </w:rPr>
              <w:t>3#烤箱烘干天然气</w:t>
            </w:r>
            <w:r>
              <w:rPr>
                <w:rFonts w:hint="default" w:ascii="Times New Roman" w:hAnsi="Times New Roman" w:eastAsia="宋体" w:cs="Times New Roman"/>
                <w:color w:val="000000" w:themeColor="text1"/>
                <w:sz w:val="24"/>
                <w:szCs w:val="24"/>
                <w:lang w:eastAsia="zh-CN" w:bidi="ar"/>
                <w14:textFill>
                  <w14:solidFill>
                    <w14:schemeClr w14:val="tx1"/>
                  </w14:solidFill>
                </w14:textFill>
              </w:rPr>
              <w:t>燃烧废气</w:t>
            </w:r>
          </w:p>
          <w:p w14:paraId="245A82BE">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t>本项目</w:t>
            </w:r>
            <w:r>
              <w:rPr>
                <w:rFonts w:hint="eastAsia" w:cs="Times New Roman"/>
                <w:b w:val="0"/>
                <w:bCs w:val="0"/>
                <w:color w:val="000000" w:themeColor="text1"/>
                <w:sz w:val="24"/>
                <w:szCs w:val="24"/>
                <w:lang w:val="en-US" w:eastAsia="zh-CN" w:bidi="ar"/>
                <w14:textFill>
                  <w14:solidFill>
                    <w14:schemeClr w14:val="tx1"/>
                  </w14:solidFill>
                </w14:textFill>
              </w:rPr>
              <w:t>干面筋生产烘干工序采用7m烤箱热风循环烘干，热源为天然气，天然气使用量约10万m</w:t>
            </w:r>
            <w:r>
              <w:rPr>
                <w:rFonts w:hint="eastAsia" w:cs="Times New Roman"/>
                <w:b w:val="0"/>
                <w:bCs w:val="0"/>
                <w:color w:val="000000" w:themeColor="text1"/>
                <w:sz w:val="24"/>
                <w:szCs w:val="24"/>
                <w:vertAlign w:val="superscript"/>
                <w:lang w:val="en-US" w:eastAsia="zh-CN" w:bidi="ar"/>
                <w14:textFill>
                  <w14:solidFill>
                    <w14:schemeClr w14:val="tx1"/>
                  </w14:solidFill>
                </w14:textFill>
              </w:rPr>
              <w:t>3</w:t>
            </w:r>
            <w:r>
              <w:rPr>
                <w:rFonts w:hint="eastAsia" w:cs="Times New Roman"/>
                <w:b w:val="0"/>
                <w:bCs w:val="0"/>
                <w:color w:val="000000" w:themeColor="text1"/>
                <w:sz w:val="24"/>
                <w:szCs w:val="24"/>
                <w:lang w:val="en-US" w:eastAsia="zh-CN" w:bidi="ar"/>
                <w14:textFill>
                  <w14:solidFill>
                    <w14:schemeClr w14:val="tx1"/>
                  </w14:solidFill>
                </w14:textFill>
              </w:rPr>
              <w:t>/a，</w:t>
            </w:r>
            <w:r>
              <w:rPr>
                <w:rFonts w:hint="eastAsia" w:ascii="Times New Roman" w:hAnsi="Times New Roman" w:eastAsia="宋体" w:cs="Times New Roman"/>
                <w:b w:val="0"/>
                <w:bCs w:val="0"/>
                <w:color w:val="000000"/>
                <w:spacing w:val="6"/>
                <w:kern w:val="44"/>
                <w:sz w:val="24"/>
                <w:szCs w:val="30"/>
                <w:lang w:val="en-US" w:eastAsia="zh-CN" w:bidi="ar-SA"/>
              </w:rPr>
              <w:t>参考《排放源统计调查产排污核算方法和系数手册-33-37,431-434 机械行业系数手册》中“天然气工业炉窑”，</w:t>
            </w:r>
            <w:r>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t>产排污系数</w:t>
            </w:r>
            <w:r>
              <w:rPr>
                <w:rFonts w:hint="eastAsia" w:cs="Times New Roman"/>
                <w:b w:val="0"/>
                <w:bCs w:val="0"/>
                <w:color w:val="000000" w:themeColor="text1"/>
                <w:sz w:val="24"/>
                <w:szCs w:val="24"/>
                <w:lang w:val="en-US" w:eastAsia="zh-CN" w:bidi="ar"/>
                <w14:textFill>
                  <w14:solidFill>
                    <w14:schemeClr w14:val="tx1"/>
                  </w14:solidFill>
                </w14:textFill>
              </w:rPr>
              <w:t>见</w:t>
            </w:r>
            <w:r>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t>表</w:t>
            </w:r>
            <w:r>
              <w:rPr>
                <w:rFonts w:hint="eastAsia" w:cs="Times New Roman"/>
                <w:b w:val="0"/>
                <w:bCs w:val="0"/>
                <w:color w:val="000000" w:themeColor="text1"/>
                <w:sz w:val="24"/>
                <w:szCs w:val="24"/>
                <w:lang w:val="en-US" w:eastAsia="zh-CN" w:bidi="ar"/>
                <w14:textFill>
                  <w14:solidFill>
                    <w14:schemeClr w14:val="tx1"/>
                  </w14:solidFill>
                </w14:textFill>
              </w:rPr>
              <w:t>4-1</w:t>
            </w:r>
            <w:r>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t>。</w:t>
            </w:r>
          </w:p>
          <w:p w14:paraId="2FD322DC">
            <w:pPr>
              <w:keepNext w:val="0"/>
              <w:keepLines w:val="0"/>
              <w:suppressLineNumbers w:val="0"/>
              <w:spacing w:before="0" w:beforeAutospacing="0" w:after="0" w:afterAutospacing="0" w:line="480" w:lineRule="exact"/>
              <w:ind w:left="0" w:right="0" w:firstLine="482" w:firstLineChars="200"/>
              <w:jc w:val="center"/>
              <w:rPr>
                <w:rFonts w:hint="default" w:ascii="Times New Roman" w:hAnsi="Times New Roman" w:eastAsia="宋体" w:cs="Times New Roman"/>
                <w:b/>
                <w:bCs/>
                <w:color w:val="000000" w:themeColor="text1"/>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bidi="ar"/>
                <w14:textFill>
                  <w14:solidFill>
                    <w14:schemeClr w14:val="tx1"/>
                  </w14:solidFill>
                </w14:textFill>
              </w:rPr>
              <w:t>表</w:t>
            </w:r>
            <w:r>
              <w:rPr>
                <w:rFonts w:hint="eastAsia" w:ascii="Times New Roman" w:hAnsi="Times New Roman" w:eastAsia="宋体" w:cs="Times New Roman"/>
                <w:b/>
                <w:bCs/>
                <w:color w:val="000000" w:themeColor="text1"/>
                <w:sz w:val="24"/>
                <w:szCs w:val="24"/>
                <w:lang w:val="en-US" w:eastAsia="zh-CN" w:bidi="ar"/>
                <w14:textFill>
                  <w14:solidFill>
                    <w14:schemeClr w14:val="tx1"/>
                  </w14:solidFill>
                </w14:textFill>
              </w:rPr>
              <w:t>4-1</w:t>
            </w:r>
            <w:r>
              <w:rPr>
                <w:rFonts w:hint="default" w:ascii="Times New Roman" w:hAnsi="Times New Roman" w:eastAsia="宋体" w:cs="Times New Roman"/>
                <w:b/>
                <w:bCs/>
                <w:color w:val="000000" w:themeColor="text1"/>
                <w:sz w:val="24"/>
                <w:szCs w:val="24"/>
                <w:lang w:val="en-US" w:eastAsia="zh-CN" w:bidi="ar"/>
                <w14:textFill>
                  <w14:solidFill>
                    <w14:schemeClr w14:val="tx1"/>
                  </w14:solidFill>
                </w14:textFill>
              </w:rPr>
              <w:t xml:space="preserve">  产排污系数表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90"/>
              <w:gridCol w:w="1488"/>
              <w:gridCol w:w="1787"/>
              <w:gridCol w:w="1238"/>
              <w:gridCol w:w="1591"/>
              <w:gridCol w:w="1489"/>
            </w:tblGrid>
            <w:tr w14:paraId="55B89EB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77" w:type="pct"/>
                  <w:tcBorders>
                    <w:tl2br w:val="nil"/>
                    <w:tr2bl w:val="nil"/>
                  </w:tcBorders>
                  <w:noWrap w:val="0"/>
                  <w:vAlign w:val="center"/>
                </w:tcPr>
                <w:p w14:paraId="34236E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项目</w:t>
                  </w:r>
                </w:p>
              </w:tc>
              <w:tc>
                <w:tcPr>
                  <w:tcW w:w="867" w:type="pct"/>
                  <w:tcBorders>
                    <w:tl2br w:val="nil"/>
                    <w:tr2bl w:val="nil"/>
                  </w:tcBorders>
                  <w:noWrap w:val="0"/>
                  <w:vAlign w:val="center"/>
                </w:tcPr>
                <w:p w14:paraId="18F01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污染物指标</w:t>
                  </w:r>
                </w:p>
              </w:tc>
              <w:tc>
                <w:tcPr>
                  <w:tcW w:w="1041" w:type="pct"/>
                  <w:tcBorders>
                    <w:tl2br w:val="nil"/>
                    <w:tr2bl w:val="nil"/>
                  </w:tcBorders>
                  <w:noWrap w:val="0"/>
                  <w:vAlign w:val="center"/>
                </w:tcPr>
                <w:p w14:paraId="26FED0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单位</w:t>
                  </w:r>
                </w:p>
              </w:tc>
              <w:tc>
                <w:tcPr>
                  <w:tcW w:w="721" w:type="pct"/>
                  <w:tcBorders>
                    <w:tl2br w:val="nil"/>
                    <w:tr2bl w:val="nil"/>
                  </w:tcBorders>
                  <w:noWrap w:val="0"/>
                  <w:vAlign w:val="center"/>
                </w:tcPr>
                <w:p w14:paraId="464864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产物系数</w:t>
                  </w:r>
                </w:p>
              </w:tc>
              <w:tc>
                <w:tcPr>
                  <w:tcW w:w="927" w:type="pct"/>
                  <w:tcBorders>
                    <w:tl2br w:val="nil"/>
                    <w:tr2bl w:val="nil"/>
                  </w:tcBorders>
                  <w:noWrap w:val="0"/>
                  <w:vAlign w:val="center"/>
                </w:tcPr>
                <w:p w14:paraId="2ADE6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末端治理</w:t>
                  </w:r>
                </w:p>
              </w:tc>
              <w:tc>
                <w:tcPr>
                  <w:tcW w:w="867" w:type="pct"/>
                  <w:tcBorders>
                    <w:tl2br w:val="nil"/>
                    <w:tr2bl w:val="nil"/>
                  </w:tcBorders>
                  <w:noWrap w:val="0"/>
                  <w:vAlign w:val="center"/>
                </w:tcPr>
                <w:p w14:paraId="14359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排污系数</w:t>
                  </w:r>
                </w:p>
              </w:tc>
            </w:tr>
            <w:tr w14:paraId="03FD9C4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77" w:type="pct"/>
                  <w:vMerge w:val="restart"/>
                  <w:tcBorders>
                    <w:tl2br w:val="nil"/>
                    <w:tr2bl w:val="nil"/>
                  </w:tcBorders>
                  <w:noWrap w:val="0"/>
                  <w:vAlign w:val="center"/>
                </w:tcPr>
                <w:p w14:paraId="27924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天然气</w:t>
                  </w:r>
                </w:p>
              </w:tc>
              <w:tc>
                <w:tcPr>
                  <w:tcW w:w="867" w:type="pct"/>
                  <w:tcBorders>
                    <w:tl2br w:val="nil"/>
                    <w:tr2bl w:val="nil"/>
                  </w:tcBorders>
                  <w:noWrap w:val="0"/>
                  <w:vAlign w:val="center"/>
                </w:tcPr>
                <w:p w14:paraId="2B91E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工业废气量</w:t>
                  </w:r>
                </w:p>
              </w:tc>
              <w:tc>
                <w:tcPr>
                  <w:tcW w:w="1041" w:type="pct"/>
                  <w:tcBorders>
                    <w:tl2br w:val="nil"/>
                    <w:tr2bl w:val="nil"/>
                  </w:tcBorders>
                  <w:noWrap w:val="0"/>
                  <w:vAlign w:val="center"/>
                </w:tcPr>
                <w:p w14:paraId="77847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Nm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-天然气</w:t>
                  </w:r>
                </w:p>
              </w:tc>
              <w:tc>
                <w:tcPr>
                  <w:tcW w:w="721" w:type="pct"/>
                  <w:tcBorders>
                    <w:tl2br w:val="nil"/>
                    <w:tr2bl w:val="nil"/>
                  </w:tcBorders>
                  <w:noWrap w:val="0"/>
                  <w:vAlign w:val="center"/>
                </w:tcPr>
                <w:p w14:paraId="50847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13.6</w:t>
                  </w:r>
                </w:p>
              </w:tc>
              <w:tc>
                <w:tcPr>
                  <w:tcW w:w="927" w:type="pct"/>
                  <w:tcBorders>
                    <w:tl2br w:val="nil"/>
                    <w:tr2bl w:val="nil"/>
                  </w:tcBorders>
                  <w:noWrap w:val="0"/>
                  <w:vAlign w:val="center"/>
                </w:tcPr>
                <w:p w14:paraId="204DBB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直排</w:t>
                  </w:r>
                </w:p>
              </w:tc>
              <w:tc>
                <w:tcPr>
                  <w:tcW w:w="867" w:type="pct"/>
                  <w:tcBorders>
                    <w:tl2br w:val="nil"/>
                    <w:tr2bl w:val="nil"/>
                  </w:tcBorders>
                  <w:noWrap w:val="0"/>
                  <w:vAlign w:val="center"/>
                </w:tcPr>
                <w:p w14:paraId="4329E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13.6</w:t>
                  </w:r>
                </w:p>
              </w:tc>
            </w:tr>
            <w:tr w14:paraId="2E0F6F6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77" w:type="pct"/>
                  <w:vMerge w:val="continue"/>
                  <w:tcBorders>
                    <w:tl2br w:val="nil"/>
                    <w:tr2bl w:val="nil"/>
                  </w:tcBorders>
                  <w:noWrap w:val="0"/>
                  <w:vAlign w:val="center"/>
                </w:tcPr>
                <w:p w14:paraId="61150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p>
              </w:tc>
              <w:tc>
                <w:tcPr>
                  <w:tcW w:w="867" w:type="pct"/>
                  <w:tcBorders>
                    <w:tl2br w:val="nil"/>
                    <w:tr2bl w:val="nil"/>
                  </w:tcBorders>
                  <w:noWrap w:val="0"/>
                  <w:vAlign w:val="center"/>
                </w:tcPr>
                <w:p w14:paraId="6561C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二氧化硫</w:t>
                  </w:r>
                </w:p>
              </w:tc>
              <w:tc>
                <w:tcPr>
                  <w:tcW w:w="1041" w:type="pct"/>
                  <w:tcBorders>
                    <w:tl2br w:val="nil"/>
                    <w:tr2bl w:val="nil"/>
                  </w:tcBorders>
                  <w:noWrap w:val="0"/>
                  <w:vAlign w:val="center"/>
                </w:tcPr>
                <w:p w14:paraId="3D916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kg/m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-天然气</w:t>
                  </w:r>
                </w:p>
              </w:tc>
              <w:tc>
                <w:tcPr>
                  <w:tcW w:w="721" w:type="pct"/>
                  <w:tcBorders>
                    <w:tl2br w:val="nil"/>
                    <w:tr2bl w:val="nil"/>
                  </w:tcBorders>
                  <w:noWrap w:val="0"/>
                  <w:vAlign w:val="center"/>
                </w:tcPr>
                <w:p w14:paraId="07D3B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0.000002S</w:t>
                  </w:r>
                </w:p>
              </w:tc>
              <w:tc>
                <w:tcPr>
                  <w:tcW w:w="927" w:type="pct"/>
                  <w:tcBorders>
                    <w:tl2br w:val="nil"/>
                    <w:tr2bl w:val="nil"/>
                  </w:tcBorders>
                  <w:noWrap w:val="0"/>
                  <w:vAlign w:val="center"/>
                </w:tcPr>
                <w:p w14:paraId="22185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直排</w:t>
                  </w:r>
                </w:p>
              </w:tc>
              <w:tc>
                <w:tcPr>
                  <w:tcW w:w="867" w:type="pct"/>
                  <w:tcBorders>
                    <w:tl2br w:val="nil"/>
                    <w:tr2bl w:val="nil"/>
                  </w:tcBorders>
                  <w:noWrap w:val="0"/>
                  <w:vAlign w:val="center"/>
                </w:tcPr>
                <w:p w14:paraId="31027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0.000002S</w:t>
                  </w:r>
                </w:p>
              </w:tc>
            </w:tr>
            <w:tr w14:paraId="79A80BC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77" w:type="pct"/>
                  <w:vMerge w:val="continue"/>
                  <w:tcBorders>
                    <w:tl2br w:val="nil"/>
                    <w:tr2bl w:val="nil"/>
                  </w:tcBorders>
                  <w:noWrap w:val="0"/>
                  <w:vAlign w:val="center"/>
                </w:tcPr>
                <w:p w14:paraId="357C3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p>
              </w:tc>
              <w:tc>
                <w:tcPr>
                  <w:tcW w:w="867" w:type="pct"/>
                  <w:tcBorders>
                    <w:tl2br w:val="nil"/>
                    <w:tr2bl w:val="nil"/>
                  </w:tcBorders>
                  <w:noWrap w:val="0"/>
                  <w:vAlign w:val="center"/>
                </w:tcPr>
                <w:p w14:paraId="10C42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氮氧化物</w:t>
                  </w:r>
                </w:p>
              </w:tc>
              <w:tc>
                <w:tcPr>
                  <w:tcW w:w="1041" w:type="pct"/>
                  <w:tcBorders>
                    <w:tl2br w:val="nil"/>
                    <w:tr2bl w:val="nil"/>
                  </w:tcBorders>
                  <w:noWrap w:val="0"/>
                  <w:vAlign w:val="center"/>
                </w:tcPr>
                <w:p w14:paraId="0B814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kg/m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-天然气</w:t>
                  </w:r>
                </w:p>
              </w:tc>
              <w:tc>
                <w:tcPr>
                  <w:tcW w:w="721" w:type="pct"/>
                  <w:tcBorders>
                    <w:tl2br w:val="nil"/>
                    <w:tr2bl w:val="nil"/>
                  </w:tcBorders>
                  <w:noWrap w:val="0"/>
                  <w:vAlign w:val="center"/>
                </w:tcPr>
                <w:p w14:paraId="44B8B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0.00187</w:t>
                  </w:r>
                </w:p>
              </w:tc>
              <w:tc>
                <w:tcPr>
                  <w:tcW w:w="927" w:type="pct"/>
                  <w:tcBorders>
                    <w:tl2br w:val="nil"/>
                    <w:tr2bl w:val="nil"/>
                  </w:tcBorders>
                  <w:noWrap w:val="0"/>
                  <w:vAlign w:val="center"/>
                </w:tcPr>
                <w:p w14:paraId="6204F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直排</w:t>
                  </w:r>
                </w:p>
              </w:tc>
              <w:tc>
                <w:tcPr>
                  <w:tcW w:w="867" w:type="pct"/>
                  <w:tcBorders>
                    <w:tl2br w:val="nil"/>
                    <w:tr2bl w:val="nil"/>
                  </w:tcBorders>
                  <w:noWrap w:val="0"/>
                  <w:vAlign w:val="center"/>
                </w:tcPr>
                <w:p w14:paraId="74ADE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0.00187</w:t>
                  </w:r>
                </w:p>
              </w:tc>
            </w:tr>
            <w:tr w14:paraId="570ACBD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77" w:type="pct"/>
                  <w:vMerge w:val="continue"/>
                  <w:tcBorders>
                    <w:tl2br w:val="nil"/>
                    <w:tr2bl w:val="nil"/>
                  </w:tcBorders>
                  <w:noWrap w:val="0"/>
                  <w:vAlign w:val="center"/>
                </w:tcPr>
                <w:p w14:paraId="4A02DA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p>
              </w:tc>
              <w:tc>
                <w:tcPr>
                  <w:tcW w:w="867" w:type="pct"/>
                  <w:tcBorders>
                    <w:tl2br w:val="nil"/>
                    <w:tr2bl w:val="nil"/>
                  </w:tcBorders>
                  <w:noWrap w:val="0"/>
                  <w:vAlign w:val="center"/>
                </w:tcPr>
                <w:p w14:paraId="6E127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颗粒物</w:t>
                  </w:r>
                </w:p>
              </w:tc>
              <w:tc>
                <w:tcPr>
                  <w:tcW w:w="1041" w:type="pct"/>
                  <w:tcBorders>
                    <w:tl2br w:val="nil"/>
                    <w:tr2bl w:val="nil"/>
                  </w:tcBorders>
                  <w:noWrap w:val="0"/>
                  <w:vAlign w:val="center"/>
                </w:tcPr>
                <w:p w14:paraId="1C171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kg/m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-天然气</w:t>
                  </w:r>
                </w:p>
              </w:tc>
              <w:tc>
                <w:tcPr>
                  <w:tcW w:w="721" w:type="pct"/>
                  <w:tcBorders>
                    <w:tl2br w:val="nil"/>
                    <w:tr2bl w:val="nil"/>
                  </w:tcBorders>
                  <w:noWrap w:val="0"/>
                  <w:vAlign w:val="center"/>
                </w:tcPr>
                <w:p w14:paraId="2F131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0.000286</w:t>
                  </w:r>
                </w:p>
              </w:tc>
              <w:tc>
                <w:tcPr>
                  <w:tcW w:w="927" w:type="pct"/>
                  <w:tcBorders>
                    <w:tl2br w:val="nil"/>
                    <w:tr2bl w:val="nil"/>
                  </w:tcBorders>
                  <w:noWrap w:val="0"/>
                  <w:vAlign w:val="center"/>
                </w:tcPr>
                <w:p w14:paraId="5E92F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直排</w:t>
                  </w:r>
                </w:p>
              </w:tc>
              <w:tc>
                <w:tcPr>
                  <w:tcW w:w="867" w:type="pct"/>
                  <w:tcBorders>
                    <w:tl2br w:val="nil"/>
                    <w:tr2bl w:val="nil"/>
                  </w:tcBorders>
                  <w:noWrap w:val="0"/>
                  <w:vAlign w:val="center"/>
                </w:tcPr>
                <w:p w14:paraId="3E2E3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0.000286</w:t>
                  </w:r>
                </w:p>
              </w:tc>
            </w:tr>
          </w:tbl>
          <w:p w14:paraId="4DB88A5A">
            <w:pPr>
              <w:keepNext w:val="0"/>
              <w:keepLines w:val="0"/>
              <w:suppressLineNumbers w:val="0"/>
              <w:spacing w:before="0" w:beforeAutospacing="0" w:after="0" w:afterAutospacing="0" w:line="480" w:lineRule="exact"/>
              <w:ind w:left="0" w:right="0" w:firstLine="402"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0"/>
                <w:szCs w:val="20"/>
                <w:lang w:val="en-US" w:eastAsia="zh-CN" w:bidi="ar"/>
                <w14:textFill>
                  <w14:solidFill>
                    <w14:schemeClr w14:val="tx1"/>
                  </w14:solidFill>
                </w14:textFill>
              </w:rPr>
              <w:t>注：S---收到基硫分（取值为0-100，燃料为气体时，取值范围＞=0），本项目S取20</w:t>
            </w:r>
            <w:r>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t>。</w:t>
            </w:r>
          </w:p>
          <w:p w14:paraId="4FA06E30">
            <w:pPr>
              <w:keepNext w:val="0"/>
              <w:keepLines w:val="0"/>
              <w:suppressLineNumbers w:val="0"/>
              <w:spacing w:before="0" w:beforeAutospacing="0" w:after="0" w:afterAutospacing="0" w:line="480" w:lineRule="exact"/>
              <w:ind w:left="0" w:right="0" w:firstLine="504" w:firstLineChars="200"/>
              <w:rPr>
                <w:rFonts w:hint="default" w:cs="Times New Roman"/>
                <w:b w:val="0"/>
                <w:bCs w:val="0"/>
                <w:color w:val="000000" w:themeColor="text1"/>
                <w:sz w:val="24"/>
                <w:szCs w:val="24"/>
                <w:lang w:val="en-US" w:eastAsia="zh-CN" w:bidi="ar"/>
                <w14:textFill>
                  <w14:solidFill>
                    <w14:schemeClr w14:val="tx1"/>
                  </w14:solidFill>
                </w14:textFill>
              </w:rPr>
            </w:pPr>
            <w:r>
              <w:rPr>
                <w:rFonts w:hint="eastAsia" w:ascii="Times New Roman" w:hAnsi="Times New Roman" w:eastAsia="宋体" w:cs="Times New Roman"/>
                <w:b w:val="0"/>
                <w:bCs w:val="0"/>
                <w:color w:val="000000"/>
                <w:spacing w:val="6"/>
                <w:kern w:val="44"/>
                <w:sz w:val="24"/>
                <w:szCs w:val="30"/>
                <w:lang w:val="en-US" w:eastAsia="zh-CN" w:bidi="ar-SA"/>
              </w:rPr>
              <w:t>则烘干废气产生量为136万</w:t>
            </w:r>
            <w:r>
              <w:rPr>
                <w:rFonts w:hint="default" w:ascii="Times New Roman" w:hAnsi="Times New Roman" w:eastAsia="宋体" w:cs="Times New Roman"/>
                <w:b w:val="0"/>
                <w:bCs w:val="0"/>
                <w:color w:val="000000"/>
                <w:spacing w:val="6"/>
                <w:kern w:val="44"/>
                <w:sz w:val="24"/>
                <w:szCs w:val="30"/>
                <w:lang w:val="en-US" w:eastAsia="zh-CN" w:bidi="ar-SA"/>
              </w:rPr>
              <w:t>m</w:t>
            </w:r>
            <w:r>
              <w:rPr>
                <w:rFonts w:hint="default" w:ascii="Times New Roman" w:hAnsi="Times New Roman" w:eastAsia="宋体" w:cs="Times New Roman"/>
                <w:b w:val="0"/>
                <w:bCs w:val="0"/>
                <w:color w:val="000000"/>
                <w:spacing w:val="6"/>
                <w:kern w:val="44"/>
                <w:sz w:val="24"/>
                <w:szCs w:val="30"/>
                <w:vertAlign w:val="superscript"/>
                <w:lang w:val="en-US" w:eastAsia="zh-CN" w:bidi="ar-SA"/>
              </w:rPr>
              <w:t>3</w:t>
            </w:r>
            <w:r>
              <w:rPr>
                <w:rFonts w:hint="eastAsia" w:ascii="Times New Roman" w:hAnsi="Times New Roman" w:eastAsia="宋体" w:cs="Times New Roman"/>
                <w:b w:val="0"/>
                <w:bCs w:val="0"/>
                <w:color w:val="000000"/>
                <w:spacing w:val="6"/>
                <w:kern w:val="44"/>
                <w:sz w:val="24"/>
                <w:szCs w:val="30"/>
                <w:lang w:val="en-US" w:eastAsia="zh-CN" w:bidi="ar-SA"/>
              </w:rPr>
              <w:t>/a；二氧化硫产生量为0.004t/a，产生速率为0.0017kg/h，产生浓度为2.94</w:t>
            </w:r>
            <w:r>
              <w:rPr>
                <w:rFonts w:hint="default" w:ascii="Times New Roman" w:hAnsi="Times New Roman" w:eastAsia="宋体" w:cs="Times New Roman"/>
                <w:b w:val="0"/>
                <w:bCs w:val="0"/>
                <w:sz w:val="24"/>
              </w:rPr>
              <w:t>mg/m</w:t>
            </w:r>
            <w:r>
              <w:rPr>
                <w:rFonts w:hint="default" w:ascii="Times New Roman" w:hAnsi="Times New Roman" w:eastAsia="宋体" w:cs="Times New Roman"/>
                <w:b w:val="0"/>
                <w:bCs w:val="0"/>
                <w:sz w:val="24"/>
                <w:vertAlign w:val="superscript"/>
              </w:rPr>
              <w:t>3</w:t>
            </w:r>
            <w:r>
              <w:rPr>
                <w:rFonts w:hint="eastAsia" w:ascii="Times New Roman" w:hAnsi="Times New Roman" w:eastAsia="宋体" w:cs="Times New Roman"/>
                <w:b w:val="0"/>
                <w:bCs w:val="0"/>
                <w:color w:val="000000"/>
                <w:spacing w:val="6"/>
                <w:kern w:val="44"/>
                <w:sz w:val="24"/>
                <w:szCs w:val="30"/>
                <w:lang w:val="en-US" w:eastAsia="zh-CN" w:bidi="ar-SA"/>
              </w:rPr>
              <w:t>；氮氧化物产生量为0.187t/a，产生速率为0.078kg/h，产生浓度为137.5</w:t>
            </w:r>
            <w:r>
              <w:rPr>
                <w:rFonts w:hint="default" w:ascii="Times New Roman" w:hAnsi="Times New Roman" w:eastAsia="宋体" w:cs="Times New Roman"/>
                <w:b w:val="0"/>
                <w:bCs w:val="0"/>
                <w:sz w:val="24"/>
              </w:rPr>
              <w:t>mg/m</w:t>
            </w:r>
            <w:r>
              <w:rPr>
                <w:rFonts w:hint="default" w:ascii="Times New Roman" w:hAnsi="Times New Roman" w:eastAsia="宋体" w:cs="Times New Roman"/>
                <w:b w:val="0"/>
                <w:bCs w:val="0"/>
                <w:sz w:val="24"/>
                <w:vertAlign w:val="superscript"/>
              </w:rPr>
              <w:t>3</w:t>
            </w:r>
            <w:r>
              <w:rPr>
                <w:rFonts w:hint="eastAsia" w:ascii="Times New Roman" w:hAnsi="Times New Roman" w:eastAsia="宋体" w:cs="Times New Roman"/>
                <w:b w:val="0"/>
                <w:bCs w:val="0"/>
                <w:color w:val="000000"/>
                <w:spacing w:val="6"/>
                <w:kern w:val="44"/>
                <w:sz w:val="24"/>
                <w:szCs w:val="30"/>
                <w:lang w:val="en-US" w:eastAsia="zh-CN" w:bidi="ar-SA"/>
              </w:rPr>
              <w:t>；颗粒物产生量为0.0286t/a，产生速率为0.012kg/h，产生浓度为21.03</w:t>
            </w:r>
            <w:r>
              <w:rPr>
                <w:rFonts w:hint="default" w:ascii="Times New Roman" w:hAnsi="Times New Roman" w:eastAsia="宋体" w:cs="Times New Roman"/>
                <w:b w:val="0"/>
                <w:bCs w:val="0"/>
                <w:sz w:val="24"/>
              </w:rPr>
              <w:t>mg/m</w:t>
            </w:r>
            <w:r>
              <w:rPr>
                <w:rFonts w:hint="default" w:ascii="Times New Roman" w:hAnsi="Times New Roman" w:eastAsia="宋体" w:cs="Times New Roman"/>
                <w:b w:val="0"/>
                <w:bCs w:val="0"/>
                <w:sz w:val="24"/>
                <w:vertAlign w:val="superscript"/>
              </w:rPr>
              <w:t>3</w:t>
            </w:r>
            <w:r>
              <w:rPr>
                <w:rFonts w:hint="eastAsia" w:ascii="Times New Roman" w:hAnsi="Times New Roman" w:eastAsia="宋体" w:cs="Times New Roman"/>
                <w:b w:val="0"/>
                <w:bCs w:val="0"/>
                <w:color w:val="000000"/>
                <w:spacing w:val="6"/>
                <w:kern w:val="44"/>
                <w:sz w:val="24"/>
                <w:szCs w:val="30"/>
                <w:lang w:val="en-US" w:eastAsia="zh-CN" w:bidi="ar-SA"/>
              </w:rPr>
              <w:t>，废气经</w:t>
            </w:r>
            <w:r>
              <w:rPr>
                <w:rFonts w:hint="eastAsia" w:cs="Times New Roman"/>
                <w:b w:val="0"/>
                <w:bCs w:val="0"/>
                <w:color w:val="000000"/>
                <w:spacing w:val="6"/>
                <w:kern w:val="44"/>
                <w:sz w:val="24"/>
                <w:szCs w:val="30"/>
                <w:lang w:val="en-US" w:eastAsia="zh-CN" w:bidi="ar-SA"/>
              </w:rPr>
              <w:t>17</w:t>
            </w:r>
            <w:r>
              <w:rPr>
                <w:rFonts w:hint="eastAsia" w:ascii="Times New Roman" w:hAnsi="Times New Roman" w:eastAsia="宋体" w:cs="Times New Roman"/>
                <w:b w:val="0"/>
                <w:bCs w:val="0"/>
                <w:color w:val="000000"/>
                <w:spacing w:val="6"/>
                <w:kern w:val="44"/>
                <w:sz w:val="24"/>
                <w:szCs w:val="30"/>
                <w:lang w:val="en-US" w:eastAsia="zh-CN" w:bidi="ar-SA"/>
              </w:rPr>
              <w:t>m排气筒排放，各污染物排放浓度均满足</w:t>
            </w:r>
            <w:r>
              <w:rPr>
                <w:rFonts w:hint="default" w:ascii="Times New Roman" w:hAnsi="Times New Roman" w:cs="Times New Roman"/>
                <w:color w:val="000000"/>
                <w:kern w:val="24"/>
                <w:sz w:val="24"/>
              </w:rPr>
              <w:t>《工业炉窑大气污染物排放标准》（DB13/1640-20</w:t>
            </w:r>
            <w:r>
              <w:rPr>
                <w:rFonts w:hint="default" w:ascii="Times New Roman" w:hAnsi="Times New Roman" w:cs="Times New Roman"/>
                <w:color w:val="000000"/>
                <w:kern w:val="24"/>
                <w:sz w:val="24"/>
                <w:lang w:val="en-US" w:eastAsia="zh-CN"/>
              </w:rPr>
              <w:t>21</w:t>
            </w:r>
            <w:r>
              <w:rPr>
                <w:rFonts w:hint="default" w:ascii="Times New Roman" w:hAnsi="Times New Roman" w:cs="Times New Roman"/>
                <w:color w:val="000000"/>
                <w:kern w:val="24"/>
                <w:sz w:val="24"/>
              </w:rPr>
              <w:t>）</w:t>
            </w:r>
            <w:r>
              <w:rPr>
                <w:rFonts w:hint="default" w:ascii="Times New Roman" w:hAnsi="Times New Roman" w:cs="Times New Roman"/>
                <w:color w:val="000000"/>
                <w:kern w:val="24"/>
                <w:sz w:val="24"/>
                <w:lang w:eastAsia="zh-CN"/>
              </w:rPr>
              <w:t>标准</w:t>
            </w:r>
            <w:r>
              <w:rPr>
                <w:rFonts w:hint="eastAsia" w:ascii="Times New Roman" w:hAnsi="Times New Roman" w:cs="Times New Roman"/>
                <w:color w:val="000000"/>
                <w:kern w:val="24"/>
                <w:sz w:val="24"/>
                <w:lang w:eastAsia="zh-CN"/>
              </w:rPr>
              <w:t>，同时满足《河北省工业炉窑综合治理实施方案》（</w:t>
            </w:r>
            <w:r>
              <w:rPr>
                <w:rFonts w:hint="eastAsia" w:ascii="Times New Roman" w:hAnsi="Times New Roman" w:cs="Times New Roman"/>
                <w:color w:val="000000"/>
                <w:kern w:val="24"/>
                <w:sz w:val="24"/>
                <w:lang w:val="en-US" w:eastAsia="zh-CN"/>
              </w:rPr>
              <w:t>冀环大气[2019]607号</w:t>
            </w:r>
            <w:r>
              <w:rPr>
                <w:rFonts w:hint="eastAsia" w:ascii="Times New Roman" w:hAnsi="Times New Roman" w:cs="Times New Roman"/>
                <w:color w:val="000000"/>
                <w:kern w:val="24"/>
                <w:sz w:val="24"/>
                <w:lang w:eastAsia="zh-CN"/>
              </w:rPr>
              <w:t>）</w:t>
            </w:r>
            <w:r>
              <w:rPr>
                <w:rFonts w:hint="eastAsia" w:ascii="Times New Roman" w:hAnsi="Times New Roman" w:cs="Times New Roman"/>
                <w:color w:val="000000"/>
                <w:kern w:val="24"/>
                <w:sz w:val="24"/>
                <w:lang w:val="en-US" w:eastAsia="zh-CN"/>
              </w:rPr>
              <w:t>要求。</w:t>
            </w:r>
          </w:p>
          <w:p w14:paraId="0FFE3321">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
                <w:bCs/>
                <w:color w:val="000000" w:themeColor="text1"/>
                <w:sz w:val="24"/>
                <w:szCs w:val="24"/>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4"/>
                <w:szCs w:val="24"/>
                <w:lang w:eastAsia="zh-CN" w:bidi="ar"/>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t>4</w:t>
            </w:r>
            <w:r>
              <w:rPr>
                <w:rFonts w:hint="default" w:ascii="Times New Roman" w:hAnsi="Times New Roman" w:eastAsia="宋体" w:cs="Times New Roman"/>
                <w:b w:val="0"/>
                <w:bCs w:val="0"/>
                <w:color w:val="000000" w:themeColor="text1"/>
                <w:sz w:val="24"/>
                <w:szCs w:val="24"/>
                <w:lang w:eastAsia="zh-CN" w:bidi="ar"/>
                <w14:textFill>
                  <w14:solidFill>
                    <w14:schemeClr w14:val="tx1"/>
                  </w14:solidFill>
                </w14:textFill>
              </w:rPr>
              <w:t>）</w:t>
            </w:r>
            <w:r>
              <w:rPr>
                <w:rFonts w:hint="eastAsia" w:cs="Times New Roman"/>
                <w:b w:val="0"/>
                <w:bCs w:val="0"/>
                <w:color w:val="000000" w:themeColor="text1"/>
                <w:sz w:val="24"/>
                <w:szCs w:val="24"/>
                <w:lang w:eastAsia="zh-CN" w:bidi="ar"/>
                <w14:textFill>
                  <w14:solidFill>
                    <w14:schemeClr w14:val="tx1"/>
                  </w14:solidFill>
                </w14:textFill>
              </w:rPr>
              <w:t>蒸汽发生器废气</w:t>
            </w:r>
          </w:p>
          <w:p w14:paraId="7102F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56" w:firstLineChars="200"/>
              <w:textAlignment w:val="auto"/>
              <w:rPr>
                <w:rFonts w:hint="eastAsia" w:eastAsia="宋体"/>
                <w:spacing w:val="-6"/>
                <w:sz w:val="24"/>
                <w:lang w:val="en-US" w:eastAsia="zh-CN"/>
              </w:rPr>
            </w:pPr>
            <w:r>
              <w:rPr>
                <w:rFonts w:hint="eastAsia"/>
                <w:spacing w:val="-6"/>
                <w:sz w:val="24"/>
                <w:lang w:eastAsia="zh-CN"/>
              </w:rPr>
              <w:t>本项目设置</w:t>
            </w:r>
            <w:r>
              <w:rPr>
                <w:rFonts w:hint="eastAsia"/>
                <w:spacing w:val="-6"/>
                <w:sz w:val="24"/>
                <w:lang w:val="en-US" w:eastAsia="zh-CN"/>
              </w:rPr>
              <w:t>3台0.5t/h蒸汽发生器，分别用于3#生产车间面筋制品熟化成型工序、8#生产车间、10#生产车间卤制工序卤制锅供热使用。</w:t>
            </w:r>
            <w:r>
              <w:rPr>
                <w:rFonts w:hint="eastAsia"/>
                <w:spacing w:val="-6"/>
                <w:sz w:val="24"/>
                <w:lang w:eastAsia="zh-CN"/>
              </w:rPr>
              <w:t>燃料均采用清洁能源天然气，</w:t>
            </w:r>
            <w:r>
              <w:rPr>
                <w:rFonts w:hint="eastAsia"/>
                <w:spacing w:val="-6"/>
                <w:sz w:val="24"/>
                <w:lang w:val="en-US" w:eastAsia="zh-CN"/>
              </w:rPr>
              <w:t>3#生产车间蒸汽发生器</w:t>
            </w:r>
            <w:r>
              <w:rPr>
                <w:rFonts w:hint="eastAsia"/>
                <w:spacing w:val="-6"/>
                <w:sz w:val="24"/>
                <w:lang w:eastAsia="zh-CN"/>
              </w:rPr>
              <w:t>年运行</w:t>
            </w:r>
            <w:r>
              <w:rPr>
                <w:rFonts w:hint="eastAsia"/>
                <w:spacing w:val="-6"/>
                <w:sz w:val="24"/>
                <w:lang w:val="en-US" w:eastAsia="zh-CN"/>
              </w:rPr>
              <w:t>2400h，</w:t>
            </w:r>
            <w:r>
              <w:rPr>
                <w:rFonts w:hint="eastAsia"/>
                <w:spacing w:val="-6"/>
                <w:sz w:val="24"/>
              </w:rPr>
              <w:t>天然气用量为</w:t>
            </w:r>
            <w:r>
              <w:rPr>
                <w:rFonts w:hint="eastAsia"/>
                <w:spacing w:val="-6"/>
                <w:sz w:val="24"/>
                <w:lang w:val="en-US" w:eastAsia="zh-CN"/>
              </w:rPr>
              <w:t>8.4万</w:t>
            </w:r>
            <w:r>
              <w:rPr>
                <w:rFonts w:hint="eastAsia"/>
                <w:spacing w:val="-6"/>
                <w:sz w:val="24"/>
              </w:rPr>
              <w:t>m</w:t>
            </w:r>
            <w:r>
              <w:rPr>
                <w:rFonts w:hint="eastAsia"/>
                <w:spacing w:val="-6"/>
                <w:sz w:val="24"/>
                <w:vertAlign w:val="superscript"/>
              </w:rPr>
              <w:t>3</w:t>
            </w:r>
            <w:r>
              <w:rPr>
                <w:rFonts w:hint="eastAsia"/>
                <w:spacing w:val="-6"/>
                <w:sz w:val="24"/>
              </w:rPr>
              <w:t>/a</w:t>
            </w:r>
            <w:r>
              <w:rPr>
                <w:rFonts w:hint="eastAsia"/>
                <w:spacing w:val="-6"/>
                <w:sz w:val="24"/>
                <w:lang w:eastAsia="zh-CN"/>
              </w:rPr>
              <w:t>；</w:t>
            </w:r>
            <w:r>
              <w:rPr>
                <w:rFonts w:hint="eastAsia"/>
                <w:spacing w:val="-6"/>
                <w:sz w:val="24"/>
                <w:lang w:val="en-US" w:eastAsia="zh-CN"/>
              </w:rPr>
              <w:t>8#生产车间、10#生产车间卤制工序蒸汽发生器年运行时间1000h，天然气用量分别为3.5万</w:t>
            </w:r>
            <w:r>
              <w:rPr>
                <w:rFonts w:hint="eastAsia"/>
                <w:spacing w:val="-6"/>
                <w:sz w:val="24"/>
              </w:rPr>
              <w:t>m</w:t>
            </w:r>
            <w:r>
              <w:rPr>
                <w:rFonts w:hint="eastAsia"/>
                <w:spacing w:val="-6"/>
                <w:sz w:val="24"/>
                <w:vertAlign w:val="superscript"/>
              </w:rPr>
              <w:t>3</w:t>
            </w:r>
            <w:r>
              <w:rPr>
                <w:rFonts w:hint="eastAsia"/>
                <w:spacing w:val="-6"/>
                <w:sz w:val="24"/>
              </w:rPr>
              <w:t>/a</w:t>
            </w:r>
            <w:r>
              <w:rPr>
                <w:rFonts w:hint="eastAsia"/>
                <w:spacing w:val="-6"/>
                <w:sz w:val="24"/>
                <w:lang w:eastAsia="zh-CN"/>
              </w:rPr>
              <w:t>。</w:t>
            </w:r>
          </w:p>
          <w:p w14:paraId="5AF53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56" w:firstLineChars="200"/>
              <w:textAlignment w:val="auto"/>
              <w:rPr>
                <w:rFonts w:hint="eastAsia"/>
                <w:spacing w:val="-6"/>
                <w:sz w:val="24"/>
              </w:rPr>
            </w:pPr>
            <w:r>
              <w:rPr>
                <w:rFonts w:hint="eastAsia"/>
                <w:spacing w:val="-6"/>
                <w:sz w:val="24"/>
                <w:lang w:eastAsia="zh-CN"/>
              </w:rPr>
              <w:t>根据</w:t>
            </w:r>
            <w:r>
              <w:rPr>
                <w:rFonts w:hint="eastAsia"/>
                <w:spacing w:val="-6"/>
                <w:sz w:val="24"/>
                <w:lang w:val="en-US" w:eastAsia="zh-CN"/>
              </w:rPr>
              <w:t>《排放源统计调查产排污核算方法和系数手册》4430 工业锅炉（热力生产和供应行业）行业系数手册，燃气工业锅炉产排污系数</w:t>
            </w:r>
            <w:r>
              <w:rPr>
                <w:rFonts w:hint="eastAsia"/>
                <w:spacing w:val="-6"/>
                <w:sz w:val="24"/>
              </w:rPr>
              <w:t>见表</w:t>
            </w:r>
            <w:r>
              <w:rPr>
                <w:rFonts w:hint="eastAsia"/>
                <w:spacing w:val="-6"/>
                <w:sz w:val="24"/>
                <w:lang w:val="en-US" w:eastAsia="zh-CN"/>
              </w:rPr>
              <w:t>4-2</w:t>
            </w:r>
            <w:r>
              <w:rPr>
                <w:rFonts w:hint="eastAsia"/>
                <w:spacing w:val="-6"/>
                <w:sz w:val="24"/>
              </w:rPr>
              <w:t>。</w:t>
            </w:r>
          </w:p>
          <w:p w14:paraId="305FCFC3">
            <w:pPr>
              <w:keepNext w:val="0"/>
              <w:keepLines w:val="0"/>
              <w:suppressLineNumbers w:val="0"/>
              <w:spacing w:before="0" w:beforeAutospacing="0" w:after="0" w:afterAutospacing="0"/>
              <w:ind w:left="0" w:right="0"/>
              <w:jc w:val="center"/>
              <w:rPr>
                <w:rFonts w:hint="default"/>
                <w:b/>
                <w:bCs/>
                <w:sz w:val="24"/>
              </w:rPr>
            </w:pPr>
            <w:r>
              <w:rPr>
                <w:rFonts w:hint="default"/>
                <w:b/>
                <w:bCs/>
                <w:sz w:val="24"/>
              </w:rPr>
              <w:t>表</w:t>
            </w:r>
            <w:r>
              <w:rPr>
                <w:rFonts w:hint="eastAsia"/>
                <w:b/>
                <w:bCs/>
                <w:sz w:val="24"/>
                <w:lang w:val="en-US" w:eastAsia="zh-CN"/>
              </w:rPr>
              <w:t>4-2</w:t>
            </w:r>
            <w:r>
              <w:rPr>
                <w:rFonts w:hint="default"/>
                <w:b/>
                <w:bCs/>
                <w:sz w:val="24"/>
              </w:rPr>
              <w:t xml:space="preserve"> </w:t>
            </w:r>
            <w:r>
              <w:rPr>
                <w:rFonts w:hint="eastAsia"/>
                <w:b/>
                <w:bCs/>
                <w:sz w:val="24"/>
              </w:rPr>
              <w:t xml:space="preserve"> </w:t>
            </w:r>
            <w:r>
              <w:rPr>
                <w:rFonts w:hint="default"/>
                <w:b/>
                <w:bCs/>
                <w:spacing w:val="-6"/>
                <w:sz w:val="24"/>
              </w:rPr>
              <w:t>工业锅炉（热力生产和供应行业）产排污系数表-</w:t>
            </w:r>
            <w:r>
              <w:rPr>
                <w:rFonts w:hint="eastAsia"/>
                <w:b/>
                <w:bCs/>
                <w:spacing w:val="-6"/>
                <w:sz w:val="24"/>
              </w:rPr>
              <w:t>燃气</w:t>
            </w:r>
            <w:r>
              <w:rPr>
                <w:rFonts w:hint="default"/>
                <w:b/>
                <w:bCs/>
                <w:spacing w:val="-6"/>
                <w:sz w:val="24"/>
              </w:rPr>
              <w:t>工业锅炉</w:t>
            </w:r>
          </w:p>
          <w:tbl>
            <w:tblPr>
              <w:tblStyle w:val="33"/>
              <w:tblW w:w="499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48"/>
              <w:gridCol w:w="586"/>
              <w:gridCol w:w="512"/>
              <w:gridCol w:w="375"/>
              <w:gridCol w:w="1129"/>
              <w:gridCol w:w="1471"/>
              <w:gridCol w:w="1754"/>
              <w:gridCol w:w="918"/>
              <w:gridCol w:w="988"/>
            </w:tblGrid>
            <w:tr w14:paraId="74BA662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86" w:hRule="atLeast"/>
                <w:jc w:val="center"/>
              </w:trPr>
              <w:tc>
                <w:tcPr>
                  <w:tcW w:w="494" w:type="pct"/>
                  <w:tcBorders>
                    <w:tl2br w:val="nil"/>
                    <w:tr2bl w:val="nil"/>
                  </w:tcBorders>
                  <w:noWrap w:val="0"/>
                  <w:vAlign w:val="center"/>
                </w:tcPr>
                <w:p w14:paraId="2D810D74">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产品名称</w:t>
                  </w:r>
                </w:p>
              </w:tc>
              <w:tc>
                <w:tcPr>
                  <w:tcW w:w="341" w:type="pct"/>
                  <w:tcBorders>
                    <w:tl2br w:val="nil"/>
                    <w:tr2bl w:val="nil"/>
                  </w:tcBorders>
                  <w:noWrap w:val="0"/>
                  <w:vAlign w:val="center"/>
                </w:tcPr>
                <w:p w14:paraId="2796FFA1">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原料名称</w:t>
                  </w:r>
                </w:p>
              </w:tc>
              <w:tc>
                <w:tcPr>
                  <w:tcW w:w="298" w:type="pct"/>
                  <w:tcBorders>
                    <w:tl2br w:val="nil"/>
                    <w:tr2bl w:val="nil"/>
                  </w:tcBorders>
                  <w:noWrap w:val="0"/>
                  <w:vAlign w:val="center"/>
                </w:tcPr>
                <w:p w14:paraId="6D3F144D">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工艺名称</w:t>
                  </w:r>
                </w:p>
              </w:tc>
              <w:tc>
                <w:tcPr>
                  <w:tcW w:w="218" w:type="pct"/>
                  <w:tcBorders>
                    <w:tl2br w:val="nil"/>
                    <w:tr2bl w:val="nil"/>
                  </w:tcBorders>
                  <w:noWrap w:val="0"/>
                  <w:vAlign w:val="center"/>
                </w:tcPr>
                <w:p w14:paraId="07964376">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规模等级</w:t>
                  </w:r>
                </w:p>
              </w:tc>
              <w:tc>
                <w:tcPr>
                  <w:tcW w:w="657" w:type="pct"/>
                  <w:tcBorders>
                    <w:tl2br w:val="nil"/>
                    <w:tr2bl w:val="nil"/>
                  </w:tcBorders>
                  <w:noWrap w:val="0"/>
                  <w:vAlign w:val="center"/>
                </w:tcPr>
                <w:p w14:paraId="0470E7CF">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污染物</w:t>
                  </w:r>
                </w:p>
                <w:p w14:paraId="347910F1">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指标</w:t>
                  </w:r>
                </w:p>
              </w:tc>
              <w:tc>
                <w:tcPr>
                  <w:tcW w:w="856" w:type="pct"/>
                  <w:tcBorders>
                    <w:tl2br w:val="nil"/>
                    <w:tr2bl w:val="nil"/>
                  </w:tcBorders>
                  <w:noWrap w:val="0"/>
                  <w:vAlign w:val="center"/>
                </w:tcPr>
                <w:p w14:paraId="1702703E">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单位</w:t>
                  </w:r>
                </w:p>
              </w:tc>
              <w:tc>
                <w:tcPr>
                  <w:tcW w:w="1021" w:type="pct"/>
                  <w:tcBorders>
                    <w:tl2br w:val="nil"/>
                    <w:tr2bl w:val="nil"/>
                  </w:tcBorders>
                  <w:noWrap w:val="0"/>
                  <w:vAlign w:val="center"/>
                </w:tcPr>
                <w:p w14:paraId="79F8677F">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产污系数</w:t>
                  </w:r>
                </w:p>
              </w:tc>
              <w:tc>
                <w:tcPr>
                  <w:tcW w:w="534" w:type="pct"/>
                  <w:tcBorders>
                    <w:tl2br w:val="nil"/>
                    <w:tr2bl w:val="nil"/>
                  </w:tcBorders>
                  <w:noWrap w:val="0"/>
                  <w:vAlign w:val="center"/>
                </w:tcPr>
                <w:p w14:paraId="010E1587">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末端治理技术名称</w:t>
                  </w:r>
                </w:p>
              </w:tc>
              <w:tc>
                <w:tcPr>
                  <w:tcW w:w="575" w:type="pct"/>
                  <w:tcBorders>
                    <w:tl2br w:val="nil"/>
                    <w:tr2bl w:val="nil"/>
                  </w:tcBorders>
                  <w:noWrap w:val="0"/>
                  <w:vAlign w:val="center"/>
                </w:tcPr>
                <w:p w14:paraId="125C6390">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排污</w:t>
                  </w:r>
                </w:p>
                <w:p w14:paraId="1F1D064A">
                  <w:pPr>
                    <w:keepNext w:val="0"/>
                    <w:keepLines w:val="0"/>
                    <w:suppressLineNumbers w:val="0"/>
                    <w:spacing w:before="0" w:beforeAutospacing="0" w:after="0" w:afterAutospacing="0" w:line="240" w:lineRule="exact"/>
                    <w:ind w:left="0" w:right="0"/>
                    <w:jc w:val="center"/>
                    <w:rPr>
                      <w:rFonts w:hint="default"/>
                      <w:b/>
                      <w:bCs/>
                      <w:szCs w:val="21"/>
                    </w:rPr>
                  </w:pPr>
                  <w:r>
                    <w:rPr>
                      <w:rFonts w:hint="default"/>
                      <w:b/>
                      <w:bCs/>
                      <w:szCs w:val="21"/>
                    </w:rPr>
                    <w:t>系数</w:t>
                  </w:r>
                </w:p>
              </w:tc>
            </w:tr>
            <w:tr w14:paraId="75C74A8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06" w:hRule="atLeast"/>
                <w:jc w:val="center"/>
              </w:trPr>
              <w:tc>
                <w:tcPr>
                  <w:tcW w:w="494" w:type="pct"/>
                  <w:vMerge w:val="restart"/>
                  <w:tcBorders>
                    <w:tl2br w:val="nil"/>
                    <w:tr2bl w:val="nil"/>
                  </w:tcBorders>
                  <w:noWrap w:val="0"/>
                  <w:vAlign w:val="center"/>
                </w:tcPr>
                <w:p w14:paraId="52C15E2B">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蒸汽/热水/其他</w:t>
                  </w:r>
                </w:p>
              </w:tc>
              <w:tc>
                <w:tcPr>
                  <w:tcW w:w="341" w:type="pct"/>
                  <w:vMerge w:val="restart"/>
                  <w:tcBorders>
                    <w:tl2br w:val="nil"/>
                    <w:tr2bl w:val="nil"/>
                  </w:tcBorders>
                  <w:noWrap w:val="0"/>
                  <w:vAlign w:val="center"/>
                </w:tcPr>
                <w:p w14:paraId="6E8218AE">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天</w:t>
                  </w:r>
                </w:p>
                <w:p w14:paraId="0931439F">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然</w:t>
                  </w:r>
                </w:p>
                <w:p w14:paraId="08B97F5E">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气</w:t>
                  </w:r>
                </w:p>
              </w:tc>
              <w:tc>
                <w:tcPr>
                  <w:tcW w:w="298" w:type="pct"/>
                  <w:vMerge w:val="restart"/>
                  <w:tcBorders>
                    <w:tl2br w:val="nil"/>
                    <w:tr2bl w:val="nil"/>
                  </w:tcBorders>
                  <w:noWrap w:val="0"/>
                  <w:vAlign w:val="center"/>
                </w:tcPr>
                <w:p w14:paraId="6F1BF3CB">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室</w:t>
                  </w:r>
                </w:p>
                <w:p w14:paraId="5D2F178B">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燃</w:t>
                  </w:r>
                </w:p>
                <w:p w14:paraId="26EA0DFD">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炉</w:t>
                  </w:r>
                </w:p>
              </w:tc>
              <w:tc>
                <w:tcPr>
                  <w:tcW w:w="218" w:type="pct"/>
                  <w:vMerge w:val="restart"/>
                  <w:tcBorders>
                    <w:tl2br w:val="nil"/>
                    <w:tr2bl w:val="nil"/>
                  </w:tcBorders>
                  <w:noWrap w:val="0"/>
                  <w:vAlign w:val="center"/>
                </w:tcPr>
                <w:p w14:paraId="5BFA1E18">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所有规模</w:t>
                  </w:r>
                </w:p>
              </w:tc>
              <w:tc>
                <w:tcPr>
                  <w:tcW w:w="657" w:type="pct"/>
                  <w:tcBorders>
                    <w:tl2br w:val="nil"/>
                    <w:tr2bl w:val="nil"/>
                  </w:tcBorders>
                  <w:noWrap w:val="0"/>
                  <w:vAlign w:val="center"/>
                </w:tcPr>
                <w:p w14:paraId="7C5946D9">
                  <w:pPr>
                    <w:keepNext w:val="0"/>
                    <w:keepLines w:val="0"/>
                    <w:suppressLineNumbers w:val="0"/>
                    <w:spacing w:before="0" w:beforeAutospacing="0" w:after="0" w:afterAutospacing="0" w:line="240" w:lineRule="exact"/>
                    <w:ind w:left="0" w:right="0"/>
                    <w:jc w:val="center"/>
                    <w:rPr>
                      <w:rFonts w:hint="default"/>
                      <w:szCs w:val="21"/>
                    </w:rPr>
                  </w:pPr>
                  <w:r>
                    <w:rPr>
                      <w:rFonts w:hint="default"/>
                      <w:spacing w:val="-20"/>
                      <w:sz w:val="21"/>
                      <w:szCs w:val="21"/>
                    </w:rPr>
                    <w:t>工业废气量</w:t>
                  </w:r>
                </w:p>
              </w:tc>
              <w:tc>
                <w:tcPr>
                  <w:tcW w:w="856" w:type="pct"/>
                  <w:tcBorders>
                    <w:tl2br w:val="nil"/>
                    <w:tr2bl w:val="nil"/>
                  </w:tcBorders>
                  <w:noWrap w:val="0"/>
                  <w:vAlign w:val="center"/>
                </w:tcPr>
                <w:p w14:paraId="26D1122E">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标立方米/万立方米-原料</w:t>
                  </w:r>
                </w:p>
              </w:tc>
              <w:tc>
                <w:tcPr>
                  <w:tcW w:w="1021" w:type="pct"/>
                  <w:tcBorders>
                    <w:tl2br w:val="nil"/>
                    <w:tr2bl w:val="nil"/>
                  </w:tcBorders>
                  <w:noWrap w:val="0"/>
                  <w:vAlign w:val="center"/>
                </w:tcPr>
                <w:p w14:paraId="4D121E24">
                  <w:pPr>
                    <w:keepNext w:val="0"/>
                    <w:keepLines w:val="0"/>
                    <w:suppressLineNumbers w:val="0"/>
                    <w:spacing w:before="0" w:beforeAutospacing="0" w:after="0" w:afterAutospacing="0" w:line="240" w:lineRule="exact"/>
                    <w:ind w:left="0" w:right="0"/>
                    <w:jc w:val="center"/>
                    <w:rPr>
                      <w:rFonts w:hint="default" w:eastAsia="宋体"/>
                      <w:szCs w:val="21"/>
                      <w:lang w:val="en-US" w:eastAsia="zh-CN"/>
                    </w:rPr>
                  </w:pPr>
                  <w:r>
                    <w:rPr>
                      <w:rFonts w:hint="eastAsia"/>
                      <w:szCs w:val="21"/>
                      <w:lang w:val="en-US" w:eastAsia="zh-CN"/>
                    </w:rPr>
                    <w:t>107753</w:t>
                  </w:r>
                </w:p>
              </w:tc>
              <w:tc>
                <w:tcPr>
                  <w:tcW w:w="534" w:type="pct"/>
                  <w:vMerge w:val="restart"/>
                  <w:tcBorders>
                    <w:tl2br w:val="nil"/>
                    <w:tr2bl w:val="nil"/>
                  </w:tcBorders>
                  <w:noWrap w:val="0"/>
                  <w:vAlign w:val="center"/>
                </w:tcPr>
                <w:p w14:paraId="70A9FC59">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直排</w:t>
                  </w:r>
                </w:p>
              </w:tc>
              <w:tc>
                <w:tcPr>
                  <w:tcW w:w="575" w:type="pct"/>
                  <w:tcBorders>
                    <w:tl2br w:val="nil"/>
                    <w:tr2bl w:val="nil"/>
                  </w:tcBorders>
                  <w:noWrap w:val="0"/>
                  <w:vAlign w:val="center"/>
                </w:tcPr>
                <w:p w14:paraId="141EFF11">
                  <w:pPr>
                    <w:keepNext w:val="0"/>
                    <w:keepLines w:val="0"/>
                    <w:suppressLineNumbers w:val="0"/>
                    <w:spacing w:before="0" w:beforeAutospacing="0" w:after="0" w:afterAutospacing="0" w:line="240" w:lineRule="exact"/>
                    <w:ind w:left="0" w:right="0"/>
                    <w:jc w:val="center"/>
                    <w:rPr>
                      <w:rFonts w:hint="default"/>
                      <w:szCs w:val="21"/>
                    </w:rPr>
                  </w:pPr>
                  <w:r>
                    <w:rPr>
                      <w:rFonts w:hint="eastAsia"/>
                      <w:szCs w:val="21"/>
                      <w:lang w:val="en-US" w:eastAsia="zh-CN"/>
                    </w:rPr>
                    <w:t>107753</w:t>
                  </w:r>
                </w:p>
              </w:tc>
            </w:tr>
            <w:tr w14:paraId="7908A3E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494" w:type="pct"/>
                  <w:vMerge w:val="continue"/>
                  <w:tcBorders>
                    <w:tl2br w:val="nil"/>
                    <w:tr2bl w:val="nil"/>
                  </w:tcBorders>
                  <w:noWrap w:val="0"/>
                  <w:vAlign w:val="center"/>
                </w:tcPr>
                <w:p w14:paraId="5E536FD3">
                  <w:pPr>
                    <w:keepNext w:val="0"/>
                    <w:keepLines w:val="0"/>
                    <w:suppressLineNumbers w:val="0"/>
                    <w:spacing w:before="0" w:beforeAutospacing="0" w:after="0" w:afterAutospacing="0" w:line="240" w:lineRule="exact"/>
                    <w:ind w:left="0" w:right="0"/>
                    <w:jc w:val="center"/>
                    <w:rPr>
                      <w:rFonts w:hint="default"/>
                      <w:szCs w:val="21"/>
                    </w:rPr>
                  </w:pPr>
                </w:p>
              </w:tc>
              <w:tc>
                <w:tcPr>
                  <w:tcW w:w="341" w:type="pct"/>
                  <w:vMerge w:val="continue"/>
                  <w:tcBorders>
                    <w:tl2br w:val="nil"/>
                    <w:tr2bl w:val="nil"/>
                  </w:tcBorders>
                  <w:noWrap w:val="0"/>
                  <w:vAlign w:val="center"/>
                </w:tcPr>
                <w:p w14:paraId="189AA9BA">
                  <w:pPr>
                    <w:keepNext w:val="0"/>
                    <w:keepLines w:val="0"/>
                    <w:suppressLineNumbers w:val="0"/>
                    <w:spacing w:before="0" w:beforeAutospacing="0" w:after="0" w:afterAutospacing="0" w:line="240" w:lineRule="exact"/>
                    <w:ind w:left="0" w:right="0"/>
                    <w:jc w:val="center"/>
                    <w:rPr>
                      <w:rFonts w:hint="default"/>
                      <w:szCs w:val="21"/>
                    </w:rPr>
                  </w:pPr>
                </w:p>
              </w:tc>
              <w:tc>
                <w:tcPr>
                  <w:tcW w:w="298" w:type="pct"/>
                  <w:vMerge w:val="continue"/>
                  <w:tcBorders>
                    <w:tl2br w:val="nil"/>
                    <w:tr2bl w:val="nil"/>
                  </w:tcBorders>
                  <w:noWrap w:val="0"/>
                  <w:vAlign w:val="center"/>
                </w:tcPr>
                <w:p w14:paraId="1E222E6C">
                  <w:pPr>
                    <w:keepNext w:val="0"/>
                    <w:keepLines w:val="0"/>
                    <w:suppressLineNumbers w:val="0"/>
                    <w:spacing w:before="0" w:beforeAutospacing="0" w:after="0" w:afterAutospacing="0" w:line="240" w:lineRule="exact"/>
                    <w:ind w:left="0" w:right="0"/>
                    <w:jc w:val="center"/>
                    <w:rPr>
                      <w:rFonts w:hint="default"/>
                      <w:szCs w:val="21"/>
                    </w:rPr>
                  </w:pPr>
                </w:p>
              </w:tc>
              <w:tc>
                <w:tcPr>
                  <w:tcW w:w="218" w:type="pct"/>
                  <w:vMerge w:val="continue"/>
                  <w:tcBorders>
                    <w:tl2br w:val="nil"/>
                    <w:tr2bl w:val="nil"/>
                  </w:tcBorders>
                  <w:noWrap w:val="0"/>
                  <w:vAlign w:val="center"/>
                </w:tcPr>
                <w:p w14:paraId="50B95696">
                  <w:pPr>
                    <w:keepNext w:val="0"/>
                    <w:keepLines w:val="0"/>
                    <w:suppressLineNumbers w:val="0"/>
                    <w:spacing w:before="0" w:beforeAutospacing="0" w:after="0" w:afterAutospacing="0" w:line="240" w:lineRule="exact"/>
                    <w:ind w:left="0" w:right="0"/>
                    <w:jc w:val="center"/>
                    <w:rPr>
                      <w:rFonts w:hint="default"/>
                      <w:szCs w:val="21"/>
                    </w:rPr>
                  </w:pPr>
                </w:p>
              </w:tc>
              <w:tc>
                <w:tcPr>
                  <w:tcW w:w="657" w:type="pct"/>
                  <w:tcBorders>
                    <w:tl2br w:val="nil"/>
                    <w:tr2bl w:val="nil"/>
                  </w:tcBorders>
                  <w:noWrap w:val="0"/>
                  <w:vAlign w:val="center"/>
                </w:tcPr>
                <w:p w14:paraId="734E7B5B">
                  <w:pPr>
                    <w:keepNext w:val="0"/>
                    <w:keepLines w:val="0"/>
                    <w:suppressLineNumbers w:val="0"/>
                    <w:spacing w:before="0" w:beforeAutospacing="0" w:after="0" w:afterAutospacing="0" w:line="240" w:lineRule="exact"/>
                    <w:ind w:left="0" w:right="0"/>
                    <w:jc w:val="center"/>
                    <w:rPr>
                      <w:rFonts w:hint="default"/>
                      <w:spacing w:val="-23"/>
                      <w:sz w:val="21"/>
                      <w:szCs w:val="21"/>
                    </w:rPr>
                  </w:pPr>
                  <w:r>
                    <w:rPr>
                      <w:rFonts w:hint="default"/>
                      <w:spacing w:val="-23"/>
                      <w:sz w:val="21"/>
                      <w:szCs w:val="21"/>
                    </w:rPr>
                    <w:t>二氧化硫</w:t>
                  </w:r>
                </w:p>
              </w:tc>
              <w:tc>
                <w:tcPr>
                  <w:tcW w:w="856" w:type="pct"/>
                  <w:tcBorders>
                    <w:tl2br w:val="nil"/>
                    <w:tr2bl w:val="nil"/>
                  </w:tcBorders>
                  <w:noWrap w:val="0"/>
                  <w:vAlign w:val="center"/>
                </w:tcPr>
                <w:p w14:paraId="77461C41">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千克/万立方米-原料</w:t>
                  </w:r>
                </w:p>
              </w:tc>
              <w:tc>
                <w:tcPr>
                  <w:tcW w:w="1021" w:type="pct"/>
                  <w:tcBorders>
                    <w:tl2br w:val="nil"/>
                    <w:tr2bl w:val="nil"/>
                  </w:tcBorders>
                  <w:noWrap w:val="0"/>
                  <w:vAlign w:val="center"/>
                </w:tcPr>
                <w:p w14:paraId="5CAC673A">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0.02S</w:t>
                  </w:r>
                  <w:r>
                    <w:rPr>
                      <w:rFonts w:hint="default"/>
                      <w:szCs w:val="21"/>
                      <w:vertAlign w:val="superscript"/>
                    </w:rPr>
                    <w:t>①</w:t>
                  </w:r>
                </w:p>
              </w:tc>
              <w:tc>
                <w:tcPr>
                  <w:tcW w:w="534" w:type="pct"/>
                  <w:vMerge w:val="continue"/>
                  <w:tcBorders>
                    <w:tl2br w:val="nil"/>
                    <w:tr2bl w:val="nil"/>
                  </w:tcBorders>
                  <w:noWrap w:val="0"/>
                  <w:vAlign w:val="center"/>
                </w:tcPr>
                <w:p w14:paraId="2F297DA9">
                  <w:pPr>
                    <w:keepNext w:val="0"/>
                    <w:keepLines w:val="0"/>
                    <w:suppressLineNumbers w:val="0"/>
                    <w:spacing w:before="0" w:beforeAutospacing="0" w:after="0" w:afterAutospacing="0" w:line="240" w:lineRule="exact"/>
                    <w:ind w:left="0" w:right="0"/>
                    <w:jc w:val="center"/>
                    <w:rPr>
                      <w:rFonts w:hint="default"/>
                      <w:szCs w:val="21"/>
                    </w:rPr>
                  </w:pPr>
                </w:p>
              </w:tc>
              <w:tc>
                <w:tcPr>
                  <w:tcW w:w="575" w:type="pct"/>
                  <w:tcBorders>
                    <w:tl2br w:val="nil"/>
                    <w:tr2bl w:val="nil"/>
                  </w:tcBorders>
                  <w:noWrap w:val="0"/>
                  <w:vAlign w:val="center"/>
                </w:tcPr>
                <w:p w14:paraId="37B4EC20">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0.02S</w:t>
                  </w:r>
                  <w:r>
                    <w:rPr>
                      <w:rFonts w:hint="default"/>
                      <w:szCs w:val="21"/>
                      <w:vertAlign w:val="superscript"/>
                    </w:rPr>
                    <w:t>①</w:t>
                  </w:r>
                </w:p>
              </w:tc>
            </w:tr>
            <w:tr w14:paraId="5113857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88" w:hRule="atLeast"/>
                <w:jc w:val="center"/>
              </w:trPr>
              <w:tc>
                <w:tcPr>
                  <w:tcW w:w="494" w:type="pct"/>
                  <w:vMerge w:val="continue"/>
                  <w:tcBorders>
                    <w:tl2br w:val="nil"/>
                    <w:tr2bl w:val="nil"/>
                  </w:tcBorders>
                  <w:noWrap w:val="0"/>
                  <w:vAlign w:val="center"/>
                </w:tcPr>
                <w:p w14:paraId="230BF74C">
                  <w:pPr>
                    <w:keepNext w:val="0"/>
                    <w:keepLines w:val="0"/>
                    <w:suppressLineNumbers w:val="0"/>
                    <w:spacing w:before="0" w:beforeAutospacing="0" w:after="0" w:afterAutospacing="0" w:line="240" w:lineRule="exact"/>
                    <w:ind w:left="0" w:right="0"/>
                    <w:jc w:val="center"/>
                    <w:rPr>
                      <w:rFonts w:hint="default"/>
                      <w:szCs w:val="21"/>
                    </w:rPr>
                  </w:pPr>
                </w:p>
              </w:tc>
              <w:tc>
                <w:tcPr>
                  <w:tcW w:w="341" w:type="pct"/>
                  <w:vMerge w:val="continue"/>
                  <w:tcBorders>
                    <w:tl2br w:val="nil"/>
                    <w:tr2bl w:val="nil"/>
                  </w:tcBorders>
                  <w:noWrap w:val="0"/>
                  <w:vAlign w:val="center"/>
                </w:tcPr>
                <w:p w14:paraId="5B7F245D">
                  <w:pPr>
                    <w:keepNext w:val="0"/>
                    <w:keepLines w:val="0"/>
                    <w:suppressLineNumbers w:val="0"/>
                    <w:spacing w:before="0" w:beforeAutospacing="0" w:after="0" w:afterAutospacing="0" w:line="240" w:lineRule="exact"/>
                    <w:ind w:left="0" w:right="0"/>
                    <w:jc w:val="center"/>
                    <w:rPr>
                      <w:rFonts w:hint="default"/>
                      <w:szCs w:val="21"/>
                    </w:rPr>
                  </w:pPr>
                </w:p>
              </w:tc>
              <w:tc>
                <w:tcPr>
                  <w:tcW w:w="298" w:type="pct"/>
                  <w:vMerge w:val="continue"/>
                  <w:tcBorders>
                    <w:tl2br w:val="nil"/>
                    <w:tr2bl w:val="nil"/>
                  </w:tcBorders>
                  <w:noWrap w:val="0"/>
                  <w:vAlign w:val="center"/>
                </w:tcPr>
                <w:p w14:paraId="39E65608">
                  <w:pPr>
                    <w:keepNext w:val="0"/>
                    <w:keepLines w:val="0"/>
                    <w:suppressLineNumbers w:val="0"/>
                    <w:spacing w:before="0" w:beforeAutospacing="0" w:after="0" w:afterAutospacing="0" w:line="240" w:lineRule="exact"/>
                    <w:ind w:left="0" w:right="0"/>
                    <w:jc w:val="center"/>
                    <w:rPr>
                      <w:rFonts w:hint="default"/>
                      <w:szCs w:val="21"/>
                    </w:rPr>
                  </w:pPr>
                </w:p>
              </w:tc>
              <w:tc>
                <w:tcPr>
                  <w:tcW w:w="218" w:type="pct"/>
                  <w:vMerge w:val="continue"/>
                  <w:tcBorders>
                    <w:tl2br w:val="nil"/>
                    <w:tr2bl w:val="nil"/>
                  </w:tcBorders>
                  <w:noWrap w:val="0"/>
                  <w:vAlign w:val="center"/>
                </w:tcPr>
                <w:p w14:paraId="2E7C21F4">
                  <w:pPr>
                    <w:keepNext w:val="0"/>
                    <w:keepLines w:val="0"/>
                    <w:suppressLineNumbers w:val="0"/>
                    <w:spacing w:before="0" w:beforeAutospacing="0" w:after="0" w:afterAutospacing="0" w:line="240" w:lineRule="exact"/>
                    <w:ind w:left="0" w:right="0"/>
                    <w:jc w:val="center"/>
                    <w:rPr>
                      <w:rFonts w:hint="default"/>
                      <w:szCs w:val="21"/>
                    </w:rPr>
                  </w:pPr>
                </w:p>
              </w:tc>
              <w:tc>
                <w:tcPr>
                  <w:tcW w:w="657" w:type="pct"/>
                  <w:vMerge w:val="restart"/>
                  <w:tcBorders>
                    <w:tl2br w:val="nil"/>
                    <w:tr2bl w:val="nil"/>
                  </w:tcBorders>
                  <w:noWrap w:val="0"/>
                  <w:vAlign w:val="center"/>
                </w:tcPr>
                <w:p w14:paraId="572CC185">
                  <w:pPr>
                    <w:keepNext w:val="0"/>
                    <w:keepLines w:val="0"/>
                    <w:suppressLineNumbers w:val="0"/>
                    <w:spacing w:before="0" w:beforeAutospacing="0" w:after="0" w:afterAutospacing="0" w:line="240" w:lineRule="exact"/>
                    <w:ind w:left="0" w:right="0"/>
                    <w:jc w:val="center"/>
                    <w:rPr>
                      <w:rFonts w:hint="default"/>
                      <w:spacing w:val="-23"/>
                      <w:sz w:val="21"/>
                      <w:szCs w:val="21"/>
                    </w:rPr>
                  </w:pPr>
                  <w:r>
                    <w:rPr>
                      <w:rFonts w:hint="default"/>
                      <w:spacing w:val="-23"/>
                      <w:sz w:val="21"/>
                      <w:szCs w:val="21"/>
                    </w:rPr>
                    <w:t>氮氧化物</w:t>
                  </w:r>
                </w:p>
              </w:tc>
              <w:tc>
                <w:tcPr>
                  <w:tcW w:w="856" w:type="pct"/>
                  <w:vMerge w:val="restart"/>
                  <w:tcBorders>
                    <w:tl2br w:val="nil"/>
                    <w:tr2bl w:val="nil"/>
                  </w:tcBorders>
                  <w:noWrap w:val="0"/>
                  <w:vAlign w:val="center"/>
                </w:tcPr>
                <w:p w14:paraId="02785045">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rPr>
                    <w:t>千克/万立方米-原料</w:t>
                  </w:r>
                </w:p>
              </w:tc>
              <w:tc>
                <w:tcPr>
                  <w:tcW w:w="1021" w:type="pct"/>
                  <w:tcBorders>
                    <w:tl2br w:val="nil"/>
                    <w:tr2bl w:val="nil"/>
                  </w:tcBorders>
                  <w:noWrap w:val="0"/>
                  <w:vAlign w:val="center"/>
                </w:tcPr>
                <w:p w14:paraId="18D87C58">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lang w:val="en-US" w:eastAsia="zh-CN"/>
                    </w:rPr>
                    <w:t>15.87(</w:t>
                  </w:r>
                  <w:r>
                    <w:rPr>
                      <w:rFonts w:hint="eastAsia"/>
                      <w:szCs w:val="21"/>
                      <w:lang w:val="en-US" w:eastAsia="zh-CN"/>
                    </w:rPr>
                    <w:t>低氮燃烧</w:t>
                  </w:r>
                  <w:r>
                    <w:rPr>
                      <w:rFonts w:hint="default"/>
                      <w:szCs w:val="21"/>
                      <w:lang w:val="en-US" w:eastAsia="zh-CN"/>
                    </w:rPr>
                    <w:t>-</w:t>
                  </w:r>
                  <w:r>
                    <w:rPr>
                      <w:rFonts w:hint="eastAsia"/>
                      <w:szCs w:val="21"/>
                      <w:lang w:val="en-US" w:eastAsia="zh-CN"/>
                    </w:rPr>
                    <w:t>国内一般）</w:t>
                  </w:r>
                </w:p>
              </w:tc>
              <w:tc>
                <w:tcPr>
                  <w:tcW w:w="534" w:type="pct"/>
                  <w:vMerge w:val="continue"/>
                  <w:tcBorders>
                    <w:tl2br w:val="nil"/>
                    <w:tr2bl w:val="nil"/>
                  </w:tcBorders>
                  <w:noWrap w:val="0"/>
                  <w:vAlign w:val="center"/>
                </w:tcPr>
                <w:p w14:paraId="2D9F5113">
                  <w:pPr>
                    <w:keepNext w:val="0"/>
                    <w:keepLines w:val="0"/>
                    <w:suppressLineNumbers w:val="0"/>
                    <w:spacing w:before="0" w:beforeAutospacing="0" w:after="0" w:afterAutospacing="0" w:line="240" w:lineRule="exact"/>
                    <w:ind w:left="0" w:right="0"/>
                    <w:jc w:val="center"/>
                    <w:rPr>
                      <w:rFonts w:hint="default"/>
                      <w:szCs w:val="21"/>
                    </w:rPr>
                  </w:pPr>
                </w:p>
              </w:tc>
              <w:tc>
                <w:tcPr>
                  <w:tcW w:w="575" w:type="pct"/>
                  <w:vMerge w:val="restart"/>
                  <w:tcBorders>
                    <w:tl2br w:val="nil"/>
                    <w:tr2bl w:val="nil"/>
                  </w:tcBorders>
                  <w:noWrap w:val="0"/>
                  <w:vAlign w:val="center"/>
                </w:tcPr>
                <w:p w14:paraId="0D8C19E0">
                  <w:pPr>
                    <w:keepNext w:val="0"/>
                    <w:keepLines w:val="0"/>
                    <w:suppressLineNumbers w:val="0"/>
                    <w:spacing w:before="0" w:beforeAutospacing="0" w:after="0" w:afterAutospacing="0" w:line="240" w:lineRule="exact"/>
                    <w:ind w:left="0" w:right="0"/>
                    <w:jc w:val="center"/>
                    <w:rPr>
                      <w:rFonts w:hint="default" w:eastAsia="宋体"/>
                      <w:szCs w:val="21"/>
                      <w:lang w:val="en-US" w:eastAsia="zh-CN"/>
                    </w:rPr>
                  </w:pPr>
                  <w:r>
                    <w:rPr>
                      <w:rFonts w:hint="eastAsia"/>
                      <w:szCs w:val="21"/>
                      <w:lang w:val="en-US" w:eastAsia="zh-CN"/>
                    </w:rPr>
                    <w:t>3.03</w:t>
                  </w:r>
                </w:p>
              </w:tc>
            </w:tr>
            <w:tr w14:paraId="3E4E030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494" w:type="pct"/>
                  <w:vMerge w:val="continue"/>
                  <w:tcBorders>
                    <w:tl2br w:val="nil"/>
                    <w:tr2bl w:val="nil"/>
                  </w:tcBorders>
                  <w:noWrap w:val="0"/>
                  <w:vAlign w:val="center"/>
                </w:tcPr>
                <w:p w14:paraId="050A2BC3">
                  <w:pPr>
                    <w:keepNext w:val="0"/>
                    <w:keepLines w:val="0"/>
                    <w:suppressLineNumbers w:val="0"/>
                    <w:spacing w:before="0" w:beforeAutospacing="0" w:after="0" w:afterAutospacing="0" w:line="240" w:lineRule="exact"/>
                    <w:ind w:left="0" w:right="0"/>
                    <w:jc w:val="center"/>
                    <w:rPr>
                      <w:rFonts w:hint="default"/>
                    </w:rPr>
                  </w:pPr>
                </w:p>
              </w:tc>
              <w:tc>
                <w:tcPr>
                  <w:tcW w:w="341" w:type="pct"/>
                  <w:vMerge w:val="continue"/>
                  <w:tcBorders>
                    <w:tl2br w:val="nil"/>
                    <w:tr2bl w:val="nil"/>
                  </w:tcBorders>
                  <w:noWrap w:val="0"/>
                  <w:vAlign w:val="center"/>
                </w:tcPr>
                <w:p w14:paraId="01D9EEDA">
                  <w:pPr>
                    <w:keepNext w:val="0"/>
                    <w:keepLines w:val="0"/>
                    <w:suppressLineNumbers w:val="0"/>
                    <w:spacing w:before="0" w:beforeAutospacing="0" w:after="0" w:afterAutospacing="0" w:line="240" w:lineRule="exact"/>
                    <w:ind w:left="0" w:right="0"/>
                    <w:jc w:val="center"/>
                    <w:rPr>
                      <w:rFonts w:hint="default"/>
                    </w:rPr>
                  </w:pPr>
                </w:p>
              </w:tc>
              <w:tc>
                <w:tcPr>
                  <w:tcW w:w="298" w:type="pct"/>
                  <w:vMerge w:val="continue"/>
                  <w:tcBorders>
                    <w:tl2br w:val="nil"/>
                    <w:tr2bl w:val="nil"/>
                  </w:tcBorders>
                  <w:noWrap w:val="0"/>
                  <w:vAlign w:val="center"/>
                </w:tcPr>
                <w:p w14:paraId="5BB70760">
                  <w:pPr>
                    <w:keepNext w:val="0"/>
                    <w:keepLines w:val="0"/>
                    <w:suppressLineNumbers w:val="0"/>
                    <w:spacing w:before="0" w:beforeAutospacing="0" w:after="0" w:afterAutospacing="0" w:line="240" w:lineRule="exact"/>
                    <w:ind w:left="0" w:right="0"/>
                    <w:jc w:val="center"/>
                    <w:rPr>
                      <w:rFonts w:hint="default"/>
                    </w:rPr>
                  </w:pPr>
                </w:p>
              </w:tc>
              <w:tc>
                <w:tcPr>
                  <w:tcW w:w="218" w:type="pct"/>
                  <w:vMerge w:val="continue"/>
                  <w:tcBorders>
                    <w:tl2br w:val="nil"/>
                    <w:tr2bl w:val="nil"/>
                  </w:tcBorders>
                  <w:noWrap w:val="0"/>
                  <w:vAlign w:val="center"/>
                </w:tcPr>
                <w:p w14:paraId="6A601FBE">
                  <w:pPr>
                    <w:keepNext w:val="0"/>
                    <w:keepLines w:val="0"/>
                    <w:suppressLineNumbers w:val="0"/>
                    <w:spacing w:before="0" w:beforeAutospacing="0" w:after="0" w:afterAutospacing="0" w:line="240" w:lineRule="exact"/>
                    <w:ind w:left="0" w:right="0"/>
                    <w:jc w:val="center"/>
                    <w:rPr>
                      <w:rFonts w:hint="default"/>
                    </w:rPr>
                  </w:pPr>
                </w:p>
              </w:tc>
              <w:tc>
                <w:tcPr>
                  <w:tcW w:w="657" w:type="pct"/>
                  <w:vMerge w:val="continue"/>
                  <w:tcBorders>
                    <w:tl2br w:val="nil"/>
                    <w:tr2bl w:val="nil"/>
                  </w:tcBorders>
                  <w:noWrap w:val="0"/>
                  <w:vAlign w:val="center"/>
                </w:tcPr>
                <w:p w14:paraId="025467A1">
                  <w:pPr>
                    <w:keepNext w:val="0"/>
                    <w:keepLines w:val="0"/>
                    <w:suppressLineNumbers w:val="0"/>
                    <w:spacing w:before="0" w:beforeAutospacing="0" w:after="0" w:afterAutospacing="0" w:line="240" w:lineRule="exact"/>
                    <w:ind w:left="0" w:right="0"/>
                    <w:jc w:val="center"/>
                    <w:rPr>
                      <w:rFonts w:hint="default"/>
                    </w:rPr>
                  </w:pPr>
                </w:p>
              </w:tc>
              <w:tc>
                <w:tcPr>
                  <w:tcW w:w="856" w:type="pct"/>
                  <w:vMerge w:val="continue"/>
                  <w:tcBorders>
                    <w:tl2br w:val="nil"/>
                    <w:tr2bl w:val="nil"/>
                  </w:tcBorders>
                  <w:noWrap w:val="0"/>
                  <w:vAlign w:val="center"/>
                </w:tcPr>
                <w:p w14:paraId="2B5CE643">
                  <w:pPr>
                    <w:keepNext w:val="0"/>
                    <w:keepLines w:val="0"/>
                    <w:suppressLineNumbers w:val="0"/>
                    <w:spacing w:before="0" w:beforeAutospacing="0" w:after="0" w:afterAutospacing="0" w:line="240" w:lineRule="exact"/>
                    <w:ind w:left="0" w:right="0"/>
                    <w:jc w:val="center"/>
                    <w:rPr>
                      <w:rFonts w:hint="default"/>
                    </w:rPr>
                  </w:pPr>
                </w:p>
              </w:tc>
              <w:tc>
                <w:tcPr>
                  <w:tcW w:w="1021" w:type="pct"/>
                  <w:tcBorders>
                    <w:tl2br w:val="nil"/>
                    <w:tr2bl w:val="nil"/>
                  </w:tcBorders>
                  <w:noWrap w:val="0"/>
                  <w:vAlign w:val="center"/>
                </w:tcPr>
                <w:p w14:paraId="485980C4">
                  <w:pPr>
                    <w:keepNext w:val="0"/>
                    <w:keepLines w:val="0"/>
                    <w:suppressLineNumbers w:val="0"/>
                    <w:spacing w:before="0" w:beforeAutospacing="0" w:after="0" w:afterAutospacing="0" w:line="240" w:lineRule="exact"/>
                    <w:ind w:left="0" w:right="0"/>
                    <w:jc w:val="center"/>
                    <w:rPr>
                      <w:rFonts w:hint="default"/>
                      <w:szCs w:val="21"/>
                    </w:rPr>
                  </w:pPr>
                  <w:r>
                    <w:rPr>
                      <w:rFonts w:hint="default"/>
                      <w:szCs w:val="21"/>
                      <w:lang w:val="en-US" w:eastAsia="zh-CN"/>
                    </w:rPr>
                    <w:t>6.97(</w:t>
                  </w:r>
                  <w:r>
                    <w:rPr>
                      <w:rFonts w:hint="eastAsia"/>
                      <w:szCs w:val="21"/>
                      <w:lang w:val="en-US" w:eastAsia="zh-CN"/>
                    </w:rPr>
                    <w:t xml:space="preserve">低氮 </w:t>
                  </w:r>
                </w:p>
                <w:p w14:paraId="1C81C2FD">
                  <w:pPr>
                    <w:keepNext w:val="0"/>
                    <w:keepLines w:val="0"/>
                    <w:suppressLineNumbers w:val="0"/>
                    <w:spacing w:before="0" w:beforeAutospacing="0" w:after="0" w:afterAutospacing="0" w:line="240" w:lineRule="exact"/>
                    <w:ind w:left="0" w:right="0"/>
                    <w:jc w:val="center"/>
                    <w:rPr>
                      <w:rFonts w:hint="default"/>
                      <w:szCs w:val="21"/>
                      <w:lang w:val="en-US" w:eastAsia="zh-CN"/>
                    </w:rPr>
                  </w:pPr>
                  <w:r>
                    <w:rPr>
                      <w:rFonts w:hint="eastAsia"/>
                      <w:szCs w:val="21"/>
                      <w:lang w:val="en-US" w:eastAsia="zh-CN"/>
                    </w:rPr>
                    <w:t>燃烧</w:t>
                  </w:r>
                  <w:r>
                    <w:rPr>
                      <w:rFonts w:hint="default"/>
                      <w:szCs w:val="21"/>
                      <w:lang w:val="en-US" w:eastAsia="zh-CN"/>
                    </w:rPr>
                    <w:t>-</w:t>
                  </w:r>
                  <w:r>
                    <w:rPr>
                      <w:rFonts w:hint="eastAsia"/>
                      <w:szCs w:val="21"/>
                      <w:lang w:val="en-US" w:eastAsia="zh-CN"/>
                    </w:rPr>
                    <w:t>国内领先</w:t>
                  </w:r>
                  <w:r>
                    <w:rPr>
                      <w:rFonts w:hint="default"/>
                      <w:szCs w:val="21"/>
                      <w:lang w:val="en-US" w:eastAsia="zh-CN"/>
                    </w:rPr>
                    <w:t>)</w:t>
                  </w:r>
                </w:p>
              </w:tc>
              <w:tc>
                <w:tcPr>
                  <w:tcW w:w="534" w:type="pct"/>
                  <w:vMerge w:val="continue"/>
                  <w:tcBorders>
                    <w:tl2br w:val="nil"/>
                    <w:tr2bl w:val="nil"/>
                  </w:tcBorders>
                  <w:noWrap w:val="0"/>
                  <w:vAlign w:val="center"/>
                </w:tcPr>
                <w:p w14:paraId="4B51B525">
                  <w:pPr>
                    <w:keepNext w:val="0"/>
                    <w:keepLines w:val="0"/>
                    <w:suppressLineNumbers w:val="0"/>
                    <w:spacing w:before="0" w:beforeAutospacing="0" w:after="0" w:afterAutospacing="0" w:line="240" w:lineRule="exact"/>
                    <w:ind w:left="0" w:right="0"/>
                    <w:jc w:val="center"/>
                    <w:rPr>
                      <w:rFonts w:hint="default"/>
                      <w:szCs w:val="21"/>
                      <w:lang w:val="en-US" w:eastAsia="zh-CN"/>
                    </w:rPr>
                  </w:pPr>
                </w:p>
              </w:tc>
              <w:tc>
                <w:tcPr>
                  <w:tcW w:w="575" w:type="pct"/>
                  <w:vMerge w:val="continue"/>
                  <w:tcBorders>
                    <w:tl2br w:val="nil"/>
                    <w:tr2bl w:val="nil"/>
                  </w:tcBorders>
                  <w:noWrap w:val="0"/>
                  <w:vAlign w:val="center"/>
                </w:tcPr>
                <w:p w14:paraId="6F32B839">
                  <w:pPr>
                    <w:keepNext w:val="0"/>
                    <w:keepLines w:val="0"/>
                    <w:suppressLineNumbers w:val="0"/>
                    <w:spacing w:before="0" w:beforeAutospacing="0" w:after="0" w:afterAutospacing="0" w:line="240" w:lineRule="exact"/>
                    <w:ind w:left="0" w:right="0"/>
                    <w:jc w:val="center"/>
                    <w:rPr>
                      <w:rFonts w:hint="default"/>
                      <w:szCs w:val="21"/>
                      <w:lang w:val="en-US" w:eastAsia="zh-CN"/>
                    </w:rPr>
                  </w:pPr>
                </w:p>
              </w:tc>
            </w:tr>
            <w:tr w14:paraId="146930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494" w:type="pct"/>
                  <w:vMerge w:val="continue"/>
                  <w:tcBorders>
                    <w:tl2br w:val="nil"/>
                    <w:tr2bl w:val="nil"/>
                  </w:tcBorders>
                  <w:noWrap w:val="0"/>
                  <w:vAlign w:val="center"/>
                </w:tcPr>
                <w:p w14:paraId="1D73AC85">
                  <w:pPr>
                    <w:keepNext w:val="0"/>
                    <w:keepLines w:val="0"/>
                    <w:suppressLineNumbers w:val="0"/>
                    <w:spacing w:before="0" w:beforeAutospacing="0" w:after="0" w:afterAutospacing="0" w:line="240" w:lineRule="exact"/>
                    <w:ind w:left="0" w:right="0"/>
                    <w:jc w:val="center"/>
                    <w:rPr>
                      <w:rFonts w:hint="default"/>
                      <w:szCs w:val="21"/>
                      <w:lang w:val="en-US" w:eastAsia="zh-CN"/>
                    </w:rPr>
                  </w:pPr>
                </w:p>
              </w:tc>
              <w:tc>
                <w:tcPr>
                  <w:tcW w:w="341" w:type="pct"/>
                  <w:vMerge w:val="continue"/>
                  <w:tcBorders>
                    <w:tl2br w:val="nil"/>
                    <w:tr2bl w:val="nil"/>
                  </w:tcBorders>
                  <w:noWrap w:val="0"/>
                  <w:vAlign w:val="center"/>
                </w:tcPr>
                <w:p w14:paraId="2CCA4298">
                  <w:pPr>
                    <w:keepNext w:val="0"/>
                    <w:keepLines w:val="0"/>
                    <w:suppressLineNumbers w:val="0"/>
                    <w:spacing w:before="0" w:beforeAutospacing="0" w:after="0" w:afterAutospacing="0" w:line="240" w:lineRule="exact"/>
                    <w:ind w:left="0" w:right="0"/>
                    <w:jc w:val="center"/>
                    <w:rPr>
                      <w:rFonts w:hint="default"/>
                      <w:szCs w:val="21"/>
                      <w:lang w:val="en-US" w:eastAsia="zh-CN"/>
                    </w:rPr>
                  </w:pPr>
                </w:p>
              </w:tc>
              <w:tc>
                <w:tcPr>
                  <w:tcW w:w="298" w:type="pct"/>
                  <w:vMerge w:val="continue"/>
                  <w:tcBorders>
                    <w:tl2br w:val="nil"/>
                    <w:tr2bl w:val="nil"/>
                  </w:tcBorders>
                  <w:noWrap w:val="0"/>
                  <w:vAlign w:val="center"/>
                </w:tcPr>
                <w:p w14:paraId="08C40E9C">
                  <w:pPr>
                    <w:keepNext w:val="0"/>
                    <w:keepLines w:val="0"/>
                    <w:suppressLineNumbers w:val="0"/>
                    <w:spacing w:before="0" w:beforeAutospacing="0" w:after="0" w:afterAutospacing="0" w:line="240" w:lineRule="exact"/>
                    <w:ind w:left="0" w:right="0"/>
                    <w:jc w:val="center"/>
                    <w:rPr>
                      <w:rFonts w:hint="default"/>
                      <w:szCs w:val="21"/>
                      <w:lang w:val="en-US" w:eastAsia="zh-CN"/>
                    </w:rPr>
                  </w:pPr>
                </w:p>
              </w:tc>
              <w:tc>
                <w:tcPr>
                  <w:tcW w:w="218" w:type="pct"/>
                  <w:vMerge w:val="continue"/>
                  <w:tcBorders>
                    <w:tl2br w:val="nil"/>
                    <w:tr2bl w:val="nil"/>
                  </w:tcBorders>
                  <w:noWrap w:val="0"/>
                  <w:vAlign w:val="center"/>
                </w:tcPr>
                <w:p w14:paraId="70BF480C">
                  <w:pPr>
                    <w:keepNext w:val="0"/>
                    <w:keepLines w:val="0"/>
                    <w:suppressLineNumbers w:val="0"/>
                    <w:spacing w:before="0" w:beforeAutospacing="0" w:after="0" w:afterAutospacing="0" w:line="240" w:lineRule="exact"/>
                    <w:ind w:left="0" w:right="0"/>
                    <w:jc w:val="center"/>
                    <w:rPr>
                      <w:rFonts w:hint="default"/>
                      <w:szCs w:val="21"/>
                      <w:lang w:val="en-US" w:eastAsia="zh-CN"/>
                    </w:rPr>
                  </w:pPr>
                </w:p>
              </w:tc>
              <w:tc>
                <w:tcPr>
                  <w:tcW w:w="657" w:type="pct"/>
                  <w:vMerge w:val="continue"/>
                  <w:tcBorders>
                    <w:tl2br w:val="nil"/>
                    <w:tr2bl w:val="nil"/>
                  </w:tcBorders>
                  <w:noWrap w:val="0"/>
                  <w:vAlign w:val="center"/>
                </w:tcPr>
                <w:p w14:paraId="250650B6">
                  <w:pPr>
                    <w:keepNext w:val="0"/>
                    <w:keepLines w:val="0"/>
                    <w:suppressLineNumbers w:val="0"/>
                    <w:spacing w:before="0" w:beforeAutospacing="0" w:after="0" w:afterAutospacing="0" w:line="240" w:lineRule="exact"/>
                    <w:ind w:left="0" w:right="0"/>
                    <w:jc w:val="center"/>
                    <w:rPr>
                      <w:rFonts w:hint="default"/>
                      <w:szCs w:val="21"/>
                      <w:lang w:val="en-US" w:eastAsia="zh-CN"/>
                    </w:rPr>
                  </w:pPr>
                </w:p>
              </w:tc>
              <w:tc>
                <w:tcPr>
                  <w:tcW w:w="856" w:type="pct"/>
                  <w:vMerge w:val="continue"/>
                  <w:tcBorders>
                    <w:tl2br w:val="nil"/>
                    <w:tr2bl w:val="nil"/>
                  </w:tcBorders>
                  <w:noWrap w:val="0"/>
                  <w:vAlign w:val="center"/>
                </w:tcPr>
                <w:p w14:paraId="1B2625B2">
                  <w:pPr>
                    <w:keepNext w:val="0"/>
                    <w:keepLines w:val="0"/>
                    <w:suppressLineNumbers w:val="0"/>
                    <w:spacing w:before="0" w:beforeAutospacing="0" w:after="0" w:afterAutospacing="0" w:line="240" w:lineRule="exact"/>
                    <w:ind w:left="0" w:right="0"/>
                    <w:jc w:val="center"/>
                    <w:rPr>
                      <w:rFonts w:hint="default"/>
                      <w:szCs w:val="21"/>
                      <w:lang w:val="en-US" w:eastAsia="zh-CN"/>
                    </w:rPr>
                  </w:pPr>
                </w:p>
              </w:tc>
              <w:tc>
                <w:tcPr>
                  <w:tcW w:w="1021" w:type="pct"/>
                  <w:tcBorders>
                    <w:tl2br w:val="nil"/>
                    <w:tr2bl w:val="nil"/>
                  </w:tcBorders>
                  <w:noWrap w:val="0"/>
                  <w:vAlign w:val="center"/>
                </w:tcPr>
                <w:p w14:paraId="49205A63">
                  <w:pPr>
                    <w:keepNext w:val="0"/>
                    <w:keepLines w:val="0"/>
                    <w:suppressLineNumbers w:val="0"/>
                    <w:spacing w:before="0" w:beforeAutospacing="0" w:after="0" w:afterAutospacing="0" w:line="240" w:lineRule="exact"/>
                    <w:ind w:left="0" w:right="0"/>
                    <w:jc w:val="center"/>
                    <w:rPr>
                      <w:rFonts w:hint="default"/>
                      <w:szCs w:val="21"/>
                      <w:lang w:val="en-US" w:eastAsia="zh-CN"/>
                    </w:rPr>
                  </w:pPr>
                  <w:r>
                    <w:rPr>
                      <w:rFonts w:hint="default"/>
                      <w:szCs w:val="21"/>
                      <w:lang w:val="en-US" w:eastAsia="zh-CN"/>
                    </w:rPr>
                    <w:t>3.03</w:t>
                  </w:r>
                  <w:r>
                    <w:rPr>
                      <w:rFonts w:hint="eastAsia"/>
                      <w:szCs w:val="21"/>
                      <w:lang w:val="en-US" w:eastAsia="zh-CN"/>
                    </w:rPr>
                    <w:t>（低氮燃烧</w:t>
                  </w:r>
                  <w:r>
                    <w:rPr>
                      <w:rFonts w:hint="default"/>
                      <w:szCs w:val="21"/>
                      <w:lang w:val="en-US" w:eastAsia="zh-CN"/>
                    </w:rPr>
                    <w:t>-</w:t>
                  </w:r>
                  <w:r>
                    <w:rPr>
                      <w:rFonts w:hint="eastAsia"/>
                      <w:szCs w:val="21"/>
                      <w:lang w:val="en-US" w:eastAsia="zh-CN"/>
                    </w:rPr>
                    <w:t>国际领先）</w:t>
                  </w:r>
                </w:p>
              </w:tc>
              <w:tc>
                <w:tcPr>
                  <w:tcW w:w="534" w:type="pct"/>
                  <w:vMerge w:val="continue"/>
                  <w:tcBorders>
                    <w:tl2br w:val="nil"/>
                    <w:tr2bl w:val="nil"/>
                  </w:tcBorders>
                  <w:noWrap w:val="0"/>
                  <w:vAlign w:val="center"/>
                </w:tcPr>
                <w:p w14:paraId="057FE681">
                  <w:pPr>
                    <w:keepNext w:val="0"/>
                    <w:keepLines w:val="0"/>
                    <w:suppressLineNumbers w:val="0"/>
                    <w:spacing w:before="0" w:beforeAutospacing="0" w:after="0" w:afterAutospacing="0" w:line="240" w:lineRule="exact"/>
                    <w:ind w:left="0" w:right="0"/>
                    <w:jc w:val="center"/>
                    <w:rPr>
                      <w:rFonts w:hint="default"/>
                      <w:szCs w:val="21"/>
                      <w:lang w:val="en-US" w:eastAsia="zh-CN"/>
                    </w:rPr>
                  </w:pPr>
                </w:p>
              </w:tc>
              <w:tc>
                <w:tcPr>
                  <w:tcW w:w="575" w:type="pct"/>
                  <w:vMerge w:val="continue"/>
                  <w:tcBorders>
                    <w:tl2br w:val="nil"/>
                    <w:tr2bl w:val="nil"/>
                  </w:tcBorders>
                  <w:noWrap w:val="0"/>
                  <w:vAlign w:val="center"/>
                </w:tcPr>
                <w:p w14:paraId="05316E07">
                  <w:pPr>
                    <w:keepNext w:val="0"/>
                    <w:keepLines w:val="0"/>
                    <w:suppressLineNumbers w:val="0"/>
                    <w:spacing w:before="0" w:beforeAutospacing="0" w:after="0" w:afterAutospacing="0" w:line="240" w:lineRule="exact"/>
                    <w:ind w:left="0" w:right="0"/>
                    <w:jc w:val="center"/>
                    <w:rPr>
                      <w:rFonts w:hint="default"/>
                      <w:szCs w:val="21"/>
                      <w:lang w:val="en-US" w:eastAsia="zh-CN"/>
                    </w:rPr>
                  </w:pPr>
                </w:p>
              </w:tc>
            </w:tr>
          </w:tbl>
          <w:p w14:paraId="231DE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361" w:firstLineChars="200"/>
              <w:textAlignment w:val="auto"/>
              <w:rPr>
                <w:rFonts w:hint="default" w:eastAsia="宋体"/>
                <w:b/>
                <w:bCs/>
                <w:color w:val="0000FF"/>
                <w:sz w:val="18"/>
                <w:lang w:val="en-US" w:eastAsia="zh-CN"/>
              </w:rPr>
            </w:pPr>
            <w:r>
              <w:rPr>
                <w:rFonts w:hint="default"/>
                <w:b/>
                <w:bCs/>
                <w:sz w:val="18"/>
              </w:rPr>
              <w:t>注：①二氧化硫的产排污系数是以含硫量（</w:t>
            </w:r>
            <w:r>
              <w:rPr>
                <w:rFonts w:hint="default" w:eastAsia="TimesNewRomanPSMT"/>
                <w:b/>
                <w:bCs/>
                <w:sz w:val="18"/>
              </w:rPr>
              <w:t>S</w:t>
            </w:r>
            <w:r>
              <w:rPr>
                <w:rFonts w:hint="default"/>
                <w:b/>
                <w:bCs/>
                <w:sz w:val="18"/>
              </w:rPr>
              <w:t>）的形式表示的，其中含硫量（</w:t>
            </w:r>
            <w:r>
              <w:rPr>
                <w:rFonts w:hint="default" w:eastAsia="TimesNewRomanPSMT"/>
                <w:b/>
                <w:bCs/>
                <w:sz w:val="18"/>
              </w:rPr>
              <w:t>S</w:t>
            </w:r>
            <w:r>
              <w:rPr>
                <w:rFonts w:hint="default"/>
                <w:b/>
                <w:bCs/>
                <w:sz w:val="18"/>
              </w:rPr>
              <w:t>）是指燃气收到基硫分含量，单位为毫克/立方米。例如燃料中含硫量（S）为200毫克/立方米，则S=200。</w:t>
            </w:r>
            <w:r>
              <w:rPr>
                <w:rFonts w:hint="eastAsia"/>
                <w:b/>
                <w:bCs/>
                <w:sz w:val="18"/>
                <w:lang w:eastAsia="zh-CN"/>
              </w:rPr>
              <w:t>本项目取值</w:t>
            </w:r>
            <w:r>
              <w:rPr>
                <w:rFonts w:hint="eastAsia"/>
                <w:b/>
                <w:bCs/>
                <w:sz w:val="18"/>
                <w:lang w:val="en-US" w:eastAsia="zh-CN"/>
              </w:rPr>
              <w:t>20。</w:t>
            </w:r>
          </w:p>
          <w:p w14:paraId="719532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105" w:rightChars="50" w:firstLine="480" w:firstLineChars="200"/>
              <w:textAlignment w:val="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lang w:val="en-US" w:eastAsia="zh-CN"/>
              </w:rPr>
              <w:t>根据《污染源源强核算技术指南 锅炉》(HJ991-2018)，燃气锅炉颗粒物排放量按照类比法、产污系数法计算，根据表1源强核算方法选取次序，优先选择类比法，根据《北京环境总体规划研究》中给出的排放因子，天然气燃烧烟尘产生系数为0.45kg/万m³-原料</w:t>
            </w:r>
            <w:r>
              <w:rPr>
                <w:rFonts w:hint="eastAsia" w:ascii="Times New Roman" w:hAnsi="Times New Roman" w:eastAsia="宋体" w:cs="Times New Roman"/>
                <w:b w:val="0"/>
                <w:bCs w:val="0"/>
                <w:sz w:val="24"/>
                <w:lang w:val="en-US" w:eastAsia="zh-CN"/>
              </w:rPr>
              <w:t>。</w:t>
            </w:r>
          </w:p>
          <w:p w14:paraId="3A1BD3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105" w:rightChars="50"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eastAsia="zh-CN"/>
              </w:rPr>
              <w:t>①</w:t>
            </w:r>
            <w:r>
              <w:rPr>
                <w:rFonts w:hint="eastAsia" w:ascii="Times New Roman" w:hAnsi="Times New Roman" w:eastAsia="宋体" w:cs="Times New Roman"/>
                <w:b w:val="0"/>
                <w:bCs w:val="0"/>
                <w:sz w:val="24"/>
                <w:lang w:val="en-US" w:eastAsia="zh-CN"/>
              </w:rPr>
              <w:t>3#生产车间蒸汽发生器</w:t>
            </w:r>
          </w:p>
          <w:p w14:paraId="0CE108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r>
              <w:rPr>
                <w:rFonts w:hint="eastAsia" w:ascii="Times New Roman" w:hAnsi="Times New Roman" w:eastAsia="宋体" w:cs="Times New Roman"/>
                <w:b w:val="0"/>
                <w:bCs w:val="0"/>
                <w:sz w:val="24"/>
                <w:lang w:eastAsia="zh-CN"/>
              </w:rPr>
              <w:t>本项目蒸汽发生器安装低氮燃烧装置，由上表，</w:t>
            </w:r>
            <w:r>
              <w:rPr>
                <w:rFonts w:hint="default" w:ascii="Times New Roman" w:hAnsi="Times New Roman" w:eastAsia="宋体" w:cs="Times New Roman"/>
                <w:b w:val="0"/>
                <w:bCs w:val="0"/>
                <w:sz w:val="24"/>
              </w:rPr>
              <w:t>产生的废气量</w:t>
            </w:r>
            <w:r>
              <w:rPr>
                <w:rFonts w:hint="eastAsia" w:ascii="Times New Roman" w:hAnsi="Times New Roman" w:eastAsia="宋体" w:cs="Times New Roman"/>
                <w:b w:val="0"/>
                <w:bCs w:val="0"/>
                <w:sz w:val="24"/>
                <w:lang w:eastAsia="zh-CN"/>
              </w:rPr>
              <w:t>为</w:t>
            </w:r>
            <w:r>
              <w:rPr>
                <w:rFonts w:hint="eastAsia" w:ascii="Times New Roman" w:hAnsi="Times New Roman" w:eastAsia="宋体" w:cs="Times New Roman"/>
                <w:b w:val="0"/>
                <w:bCs w:val="0"/>
                <w:sz w:val="24"/>
                <w:lang w:val="en-US" w:eastAsia="zh-CN"/>
              </w:rPr>
              <w:t>905125.2m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lang w:eastAsia="zh-CN"/>
              </w:rPr>
              <w:t>烟尘排放量为</w:t>
            </w:r>
            <w:r>
              <w:rPr>
                <w:rFonts w:hint="eastAsia" w:ascii="Times New Roman" w:hAnsi="Times New Roman" w:eastAsia="宋体" w:cs="Times New Roman"/>
                <w:b w:val="0"/>
                <w:bCs w:val="0"/>
                <w:sz w:val="24"/>
                <w:lang w:val="en-US" w:eastAsia="zh-CN"/>
              </w:rPr>
              <w:t>0.00378t/a，排放速率为0.016kg/h，排放浓度为4.18mg/m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，二氧化硫</w:t>
            </w:r>
            <w:r>
              <w:rPr>
                <w:rFonts w:hint="eastAsia" w:ascii="Times New Roman" w:hAnsi="Times New Roman" w:eastAsia="宋体" w:cs="Times New Roman"/>
                <w:b w:val="0"/>
                <w:bCs w:val="0"/>
                <w:sz w:val="24"/>
                <w:lang w:eastAsia="zh-CN"/>
              </w:rPr>
              <w:t>排放量为</w:t>
            </w:r>
            <w:r>
              <w:rPr>
                <w:rFonts w:hint="eastAsia" w:ascii="Times New Roman" w:hAnsi="Times New Roman" w:eastAsia="宋体" w:cs="Times New Roman"/>
                <w:b w:val="0"/>
                <w:bCs w:val="0"/>
                <w:sz w:val="24"/>
                <w:lang w:val="en-US" w:eastAsia="zh-CN"/>
              </w:rPr>
              <w:t>0.00336t/a，排放速率为0.0014kg/h，排放浓度为3.71mg/m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，氮氧化物</w:t>
            </w:r>
            <w:r>
              <w:rPr>
                <w:rFonts w:hint="eastAsia" w:ascii="Times New Roman" w:hAnsi="Times New Roman" w:eastAsia="宋体" w:cs="Times New Roman"/>
                <w:b w:val="0"/>
                <w:bCs w:val="0"/>
                <w:sz w:val="24"/>
                <w:lang w:eastAsia="zh-CN"/>
              </w:rPr>
              <w:t>排放量为</w:t>
            </w:r>
            <w:r>
              <w:rPr>
                <w:rFonts w:hint="eastAsia" w:ascii="Times New Roman" w:hAnsi="Times New Roman" w:eastAsia="宋体" w:cs="Times New Roman"/>
                <w:b w:val="0"/>
                <w:bCs w:val="0"/>
                <w:sz w:val="24"/>
                <w:lang w:val="en-US" w:eastAsia="zh-CN"/>
              </w:rPr>
              <w:t>0.025t/a，排放速率为0.011kg/h，排放浓度为27.62mg/m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，废气经1根</w:t>
            </w:r>
            <w:r>
              <w:rPr>
                <w:rFonts w:hint="eastAsia" w:cs="Times New Roman"/>
                <w:b w:val="0"/>
                <w:bCs w:val="0"/>
                <w:sz w:val="24"/>
                <w:lang w:val="en-US" w:eastAsia="zh-CN"/>
              </w:rPr>
              <w:t>1</w:t>
            </w:r>
            <w:r>
              <w:rPr>
                <w:rFonts w:hint="eastAsia" w:ascii="Times New Roman" w:hAnsi="Times New Roman" w:eastAsia="宋体" w:cs="Times New Roman"/>
                <w:b w:val="0"/>
                <w:bCs w:val="0"/>
                <w:sz w:val="24"/>
                <w:lang w:val="en-US" w:eastAsia="zh-CN"/>
              </w:rPr>
              <w:t>7m排气筒排放，各污染物均</w:t>
            </w:r>
            <w:r>
              <w:rPr>
                <w:rFonts w:hint="default" w:ascii="Times New Roman" w:hAnsi="Times New Roman" w:eastAsia="宋体" w:cs="Times New Roman"/>
                <w:b w:val="0"/>
                <w:bCs w:val="0"/>
                <w:sz w:val="24"/>
                <w:lang w:val="en-US" w:eastAsia="zh-CN"/>
              </w:rPr>
              <w:t>满足《锅炉大气污染物排放标准》(DB13/5161-2020)中表1大气污染物排放限值要求</w:t>
            </w:r>
            <w:r>
              <w:rPr>
                <w:rFonts w:hint="eastAsia" w:ascii="Times New Roman" w:hAnsi="Times New Roman" w:eastAsia="宋体" w:cs="Times New Roman"/>
                <w:b w:val="0"/>
                <w:bCs w:val="0"/>
                <w:sz w:val="24"/>
                <w:lang w:val="en-US" w:eastAsia="zh-CN"/>
              </w:rPr>
              <w:t>。</w:t>
            </w:r>
          </w:p>
          <w:p w14:paraId="5F18FB1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420" w:leftChars="200" w:right="0" w:rightChars="0"/>
              <w:textAlignment w:val="auto"/>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pPr>
            <w:r>
              <w:rPr>
                <w:rFonts w:hint="eastAsia" w:cs="Times New Roman"/>
                <w:color w:val="000000" w:themeColor="text1"/>
                <w:sz w:val="24"/>
                <w:szCs w:val="24"/>
                <w:lang w:eastAsia="zh-CN" w:bidi="ar"/>
                <w14:textFill>
                  <w14:solidFill>
                    <w14:schemeClr w14:val="tx1"/>
                  </w14:solidFill>
                </w14:textFill>
              </w:rPr>
              <w:t>②</w:t>
            </w:r>
            <w:r>
              <w:rPr>
                <w:rFonts w:hint="eastAsia" w:cs="Times New Roman"/>
                <w:color w:val="000000" w:themeColor="text1"/>
                <w:sz w:val="24"/>
                <w:szCs w:val="24"/>
                <w:lang w:val="en-US" w:eastAsia="zh-CN" w:bidi="ar"/>
                <w14:textFill>
                  <w14:solidFill>
                    <w14:schemeClr w14:val="tx1"/>
                  </w14:solidFill>
                </w14:textFill>
              </w:rPr>
              <w:t>8#生产车间卤制蒸汽发生器</w:t>
            </w:r>
          </w:p>
          <w:p w14:paraId="3AC123C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firstLine="480" w:firstLineChars="200"/>
              <w:textAlignment w:val="auto"/>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宋体" w:cs="Times New Roman"/>
                <w:b w:val="0"/>
                <w:bCs w:val="0"/>
                <w:sz w:val="24"/>
                <w:lang w:eastAsia="zh-CN"/>
              </w:rPr>
              <w:t>本项目</w:t>
            </w:r>
            <w:r>
              <w:rPr>
                <w:rFonts w:hint="eastAsia" w:cs="Times New Roman"/>
                <w:color w:val="000000" w:themeColor="text1"/>
                <w:sz w:val="24"/>
                <w:szCs w:val="24"/>
                <w:lang w:val="en-US" w:eastAsia="zh-CN" w:bidi="ar"/>
                <w14:textFill>
                  <w14:solidFill>
                    <w14:schemeClr w14:val="tx1"/>
                  </w14:solidFill>
                </w14:textFill>
              </w:rPr>
              <w:t>8#生产车间卤制蒸汽发生器</w:t>
            </w:r>
            <w:r>
              <w:rPr>
                <w:rFonts w:hint="eastAsia" w:ascii="Times New Roman" w:hAnsi="Times New Roman" w:eastAsia="宋体" w:cs="Times New Roman"/>
                <w:b w:val="0"/>
                <w:bCs w:val="0"/>
                <w:sz w:val="24"/>
                <w:lang w:eastAsia="zh-CN"/>
              </w:rPr>
              <w:t>安装低氮燃烧装置，由上表，</w:t>
            </w:r>
            <w:r>
              <w:rPr>
                <w:rFonts w:hint="default" w:ascii="Times New Roman" w:hAnsi="Times New Roman" w:eastAsia="宋体" w:cs="Times New Roman"/>
                <w:b w:val="0"/>
                <w:bCs w:val="0"/>
                <w:sz w:val="24"/>
              </w:rPr>
              <w:t>产生的废气量</w:t>
            </w:r>
            <w:r>
              <w:rPr>
                <w:rFonts w:hint="eastAsia" w:ascii="Times New Roman" w:hAnsi="Times New Roman" w:eastAsia="宋体" w:cs="Times New Roman"/>
                <w:b w:val="0"/>
                <w:bCs w:val="0"/>
                <w:sz w:val="24"/>
                <w:lang w:eastAsia="zh-CN"/>
              </w:rPr>
              <w:t>为</w:t>
            </w:r>
            <w:r>
              <w:rPr>
                <w:rFonts w:hint="eastAsia" w:ascii="Times New Roman" w:hAnsi="Times New Roman" w:eastAsia="宋体" w:cs="Times New Roman"/>
                <w:b w:val="0"/>
                <w:bCs w:val="0"/>
                <w:sz w:val="24"/>
                <w:lang w:val="en-US" w:eastAsia="zh-CN"/>
              </w:rPr>
              <w:t>377135.5m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lang w:eastAsia="zh-CN"/>
              </w:rPr>
              <w:t>烟尘排放量为</w:t>
            </w:r>
            <w:r>
              <w:rPr>
                <w:rFonts w:hint="eastAsia" w:ascii="Times New Roman" w:hAnsi="Times New Roman" w:eastAsia="宋体" w:cs="Times New Roman"/>
                <w:b w:val="0"/>
                <w:bCs w:val="0"/>
                <w:sz w:val="24"/>
                <w:lang w:val="en-US" w:eastAsia="zh-CN"/>
              </w:rPr>
              <w:t>0.0016t/a，排放速率为0.0016kg/h，排放浓度为4.24mg/m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，二氧化硫</w:t>
            </w:r>
            <w:r>
              <w:rPr>
                <w:rFonts w:hint="eastAsia" w:ascii="Times New Roman" w:hAnsi="Times New Roman" w:eastAsia="宋体" w:cs="Times New Roman"/>
                <w:b w:val="0"/>
                <w:bCs w:val="0"/>
                <w:sz w:val="24"/>
                <w:lang w:eastAsia="zh-CN"/>
              </w:rPr>
              <w:t>排放量为</w:t>
            </w:r>
            <w:r>
              <w:rPr>
                <w:rFonts w:hint="eastAsia" w:ascii="Times New Roman" w:hAnsi="Times New Roman" w:eastAsia="宋体" w:cs="Times New Roman"/>
                <w:b w:val="0"/>
                <w:bCs w:val="0"/>
                <w:sz w:val="24"/>
                <w:lang w:val="en-US" w:eastAsia="zh-CN"/>
              </w:rPr>
              <w:t>0.0014t/a，排放速率为0.0014kg/h，排放浓度为3.72mg/m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，氮氧化物</w:t>
            </w:r>
            <w:r>
              <w:rPr>
                <w:rFonts w:hint="eastAsia" w:ascii="Times New Roman" w:hAnsi="Times New Roman" w:eastAsia="宋体" w:cs="Times New Roman"/>
                <w:b w:val="0"/>
                <w:bCs w:val="0"/>
                <w:sz w:val="24"/>
                <w:lang w:eastAsia="zh-CN"/>
              </w:rPr>
              <w:t>排放量为</w:t>
            </w:r>
            <w:r>
              <w:rPr>
                <w:rFonts w:hint="eastAsia" w:ascii="Times New Roman" w:hAnsi="Times New Roman" w:eastAsia="宋体" w:cs="Times New Roman"/>
                <w:b w:val="0"/>
                <w:bCs w:val="0"/>
                <w:sz w:val="24"/>
                <w:lang w:val="en-US" w:eastAsia="zh-CN"/>
              </w:rPr>
              <w:t>0.01t/a，排放速率为0.01kg/h，排放浓度为26.52mg/m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，废气经1根</w:t>
            </w:r>
            <w:r>
              <w:rPr>
                <w:rFonts w:hint="eastAsia" w:cs="Times New Roman"/>
                <w:b w:val="0"/>
                <w:bCs w:val="0"/>
                <w:sz w:val="24"/>
                <w:lang w:val="en-US" w:eastAsia="zh-CN"/>
              </w:rPr>
              <w:t>1</w:t>
            </w:r>
            <w:r>
              <w:rPr>
                <w:rFonts w:hint="eastAsia" w:ascii="Times New Roman" w:hAnsi="Times New Roman" w:eastAsia="宋体" w:cs="Times New Roman"/>
                <w:b w:val="0"/>
                <w:bCs w:val="0"/>
                <w:sz w:val="24"/>
                <w:lang w:val="en-US" w:eastAsia="zh-CN"/>
              </w:rPr>
              <w:t>7m排气筒排放，各污染物均</w:t>
            </w:r>
            <w:r>
              <w:rPr>
                <w:rFonts w:hint="default" w:ascii="Times New Roman" w:hAnsi="Times New Roman" w:eastAsia="宋体" w:cs="Times New Roman"/>
                <w:b w:val="0"/>
                <w:bCs w:val="0"/>
                <w:sz w:val="24"/>
                <w:lang w:val="en-US" w:eastAsia="zh-CN"/>
              </w:rPr>
              <w:t>满足《锅炉大气污染物排放标准》(DB13/5161-2020)中表1大气污染物排放限值要求</w:t>
            </w:r>
            <w:r>
              <w:rPr>
                <w:rFonts w:hint="eastAsia" w:ascii="Times New Roman" w:hAnsi="Times New Roman" w:eastAsia="宋体" w:cs="Times New Roman"/>
                <w:b w:val="0"/>
                <w:bCs w:val="0"/>
                <w:sz w:val="24"/>
                <w:lang w:val="en-US" w:eastAsia="zh-CN"/>
              </w:rPr>
              <w:t>。</w:t>
            </w:r>
          </w:p>
          <w:p w14:paraId="79A2A42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420" w:leftChars="200" w:right="0" w:rightChars="0"/>
              <w:textAlignment w:val="auto"/>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pPr>
            <w:r>
              <w:rPr>
                <w:rFonts w:hint="eastAsia" w:cs="Times New Roman"/>
                <w:color w:val="000000" w:themeColor="text1"/>
                <w:sz w:val="24"/>
                <w:szCs w:val="24"/>
                <w:lang w:eastAsia="zh-CN" w:bidi="ar"/>
                <w14:textFill>
                  <w14:solidFill>
                    <w14:schemeClr w14:val="tx1"/>
                  </w14:solidFill>
                </w14:textFill>
              </w:rPr>
              <w:t>③</w:t>
            </w:r>
            <w:r>
              <w:rPr>
                <w:rFonts w:hint="eastAsia" w:cs="Times New Roman"/>
                <w:color w:val="000000" w:themeColor="text1"/>
                <w:sz w:val="24"/>
                <w:szCs w:val="24"/>
                <w:lang w:val="en-US" w:eastAsia="zh-CN" w:bidi="ar"/>
                <w14:textFill>
                  <w14:solidFill>
                    <w14:schemeClr w14:val="tx1"/>
                  </w14:solidFill>
                </w14:textFill>
              </w:rPr>
              <w:t>10#生产车间卤制蒸汽发生器</w:t>
            </w:r>
          </w:p>
          <w:p w14:paraId="30F5824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firstLine="480" w:firstLineChars="200"/>
              <w:textAlignment w:val="auto"/>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宋体" w:cs="Times New Roman"/>
                <w:b w:val="0"/>
                <w:bCs w:val="0"/>
                <w:sz w:val="24"/>
                <w:lang w:eastAsia="zh-CN"/>
              </w:rPr>
              <w:t>本项目</w:t>
            </w:r>
            <w:r>
              <w:rPr>
                <w:rFonts w:hint="eastAsia" w:cs="Times New Roman"/>
                <w:color w:val="000000" w:themeColor="text1"/>
                <w:sz w:val="24"/>
                <w:szCs w:val="24"/>
                <w:lang w:val="en-US" w:eastAsia="zh-CN" w:bidi="ar"/>
                <w14:textFill>
                  <w14:solidFill>
                    <w14:schemeClr w14:val="tx1"/>
                  </w14:solidFill>
                </w14:textFill>
              </w:rPr>
              <w:t>10#生产车间卤制蒸汽发生器</w:t>
            </w:r>
            <w:r>
              <w:rPr>
                <w:rFonts w:hint="eastAsia" w:ascii="Times New Roman" w:hAnsi="Times New Roman" w:eastAsia="宋体" w:cs="Times New Roman"/>
                <w:b w:val="0"/>
                <w:bCs w:val="0"/>
                <w:sz w:val="24"/>
                <w:lang w:eastAsia="zh-CN"/>
              </w:rPr>
              <w:t>安装低氮燃烧装置，由上表，</w:t>
            </w:r>
            <w:r>
              <w:rPr>
                <w:rFonts w:hint="default" w:ascii="Times New Roman" w:hAnsi="Times New Roman" w:eastAsia="宋体" w:cs="Times New Roman"/>
                <w:b w:val="0"/>
                <w:bCs w:val="0"/>
                <w:sz w:val="24"/>
              </w:rPr>
              <w:t>产生的废气量</w:t>
            </w:r>
            <w:r>
              <w:rPr>
                <w:rFonts w:hint="eastAsia" w:ascii="Times New Roman" w:hAnsi="Times New Roman" w:eastAsia="宋体" w:cs="Times New Roman"/>
                <w:b w:val="0"/>
                <w:bCs w:val="0"/>
                <w:sz w:val="24"/>
                <w:lang w:eastAsia="zh-CN"/>
              </w:rPr>
              <w:t>为</w:t>
            </w:r>
            <w:r>
              <w:rPr>
                <w:rFonts w:hint="eastAsia" w:ascii="Times New Roman" w:hAnsi="Times New Roman" w:eastAsia="宋体" w:cs="Times New Roman"/>
                <w:b w:val="0"/>
                <w:bCs w:val="0"/>
                <w:sz w:val="24"/>
                <w:lang w:val="en-US" w:eastAsia="zh-CN"/>
              </w:rPr>
              <w:t>377135.5m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lang w:eastAsia="zh-CN"/>
              </w:rPr>
              <w:t>烟尘排放量为</w:t>
            </w:r>
            <w:r>
              <w:rPr>
                <w:rFonts w:hint="eastAsia" w:ascii="Times New Roman" w:hAnsi="Times New Roman" w:eastAsia="宋体" w:cs="Times New Roman"/>
                <w:b w:val="0"/>
                <w:bCs w:val="0"/>
                <w:sz w:val="24"/>
                <w:lang w:val="en-US" w:eastAsia="zh-CN"/>
              </w:rPr>
              <w:t>0.0016t/a，排放速率为0.0016kg/h，排放浓度为4.24mg/m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，二氧化硫</w:t>
            </w:r>
            <w:r>
              <w:rPr>
                <w:rFonts w:hint="eastAsia" w:ascii="Times New Roman" w:hAnsi="Times New Roman" w:eastAsia="宋体" w:cs="Times New Roman"/>
                <w:b w:val="0"/>
                <w:bCs w:val="0"/>
                <w:sz w:val="24"/>
                <w:lang w:eastAsia="zh-CN"/>
              </w:rPr>
              <w:t>排放量为</w:t>
            </w:r>
            <w:r>
              <w:rPr>
                <w:rFonts w:hint="eastAsia" w:ascii="Times New Roman" w:hAnsi="Times New Roman" w:eastAsia="宋体" w:cs="Times New Roman"/>
                <w:b w:val="0"/>
                <w:bCs w:val="0"/>
                <w:sz w:val="24"/>
                <w:lang w:val="en-US" w:eastAsia="zh-CN"/>
              </w:rPr>
              <w:t>0.0014t/a，排放速率为0.0014kg/h，排放浓度为3.72mg/m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，氮氧化物</w:t>
            </w:r>
            <w:r>
              <w:rPr>
                <w:rFonts w:hint="eastAsia" w:ascii="Times New Roman" w:hAnsi="Times New Roman" w:eastAsia="宋体" w:cs="Times New Roman"/>
                <w:b w:val="0"/>
                <w:bCs w:val="0"/>
                <w:sz w:val="24"/>
                <w:lang w:eastAsia="zh-CN"/>
              </w:rPr>
              <w:t>排放量为</w:t>
            </w:r>
            <w:r>
              <w:rPr>
                <w:rFonts w:hint="eastAsia" w:ascii="Times New Roman" w:hAnsi="Times New Roman" w:eastAsia="宋体" w:cs="Times New Roman"/>
                <w:b w:val="0"/>
                <w:bCs w:val="0"/>
                <w:sz w:val="24"/>
                <w:lang w:val="en-US" w:eastAsia="zh-CN"/>
              </w:rPr>
              <w:t>0.01t/a，排放速率为0.01kg/h，排放浓度为26.52mg/m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，废气经1根</w:t>
            </w:r>
            <w:r>
              <w:rPr>
                <w:rFonts w:hint="eastAsia" w:cs="Times New Roman"/>
                <w:b w:val="0"/>
                <w:bCs w:val="0"/>
                <w:sz w:val="24"/>
                <w:lang w:val="en-US" w:eastAsia="zh-CN"/>
              </w:rPr>
              <w:t>1</w:t>
            </w:r>
            <w:r>
              <w:rPr>
                <w:rFonts w:hint="eastAsia" w:ascii="Times New Roman" w:hAnsi="Times New Roman" w:eastAsia="宋体" w:cs="Times New Roman"/>
                <w:b w:val="0"/>
                <w:bCs w:val="0"/>
                <w:sz w:val="24"/>
                <w:lang w:val="en-US" w:eastAsia="zh-CN"/>
              </w:rPr>
              <w:t>7m排气筒排放，各污染物均</w:t>
            </w:r>
            <w:r>
              <w:rPr>
                <w:rFonts w:hint="default" w:ascii="Times New Roman" w:hAnsi="Times New Roman" w:eastAsia="宋体" w:cs="Times New Roman"/>
                <w:b w:val="0"/>
                <w:bCs w:val="0"/>
                <w:sz w:val="24"/>
                <w:lang w:val="en-US" w:eastAsia="zh-CN"/>
              </w:rPr>
              <w:t>满足《锅炉大气污染物排放标准》(DB13/5161-2020)中表1大气污染物排放限值要求</w:t>
            </w:r>
            <w:r>
              <w:rPr>
                <w:rFonts w:hint="eastAsia" w:ascii="Times New Roman" w:hAnsi="Times New Roman" w:eastAsia="宋体" w:cs="Times New Roman"/>
                <w:b w:val="0"/>
                <w:bCs w:val="0"/>
                <w:sz w:val="24"/>
                <w:lang w:val="en-US" w:eastAsia="zh-CN"/>
              </w:rPr>
              <w:t>。</w:t>
            </w:r>
          </w:p>
          <w:p w14:paraId="309A1365">
            <w:pPr>
              <w:keepNext w:val="0"/>
              <w:keepLines w:val="0"/>
              <w:pageBreakBefore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000000" w:themeColor="text1"/>
                <w:kern w:val="0"/>
                <w:sz w:val="24"/>
                <w:lang w:eastAsia="zh-CN"/>
                <w14:textFill>
                  <w14:solidFill>
                    <w14:schemeClr w14:val="tx1"/>
                  </w14:solidFill>
                </w14:textFill>
              </w:rPr>
            </w:pPr>
            <w:r>
              <w:rPr>
                <w:rFonts w:hint="eastAsia" w:cs="Times New Roman"/>
                <w:color w:val="000000" w:themeColor="text1"/>
                <w:sz w:val="24"/>
                <w:szCs w:val="24"/>
                <w:lang w:eastAsia="zh-CN" w:bidi="ar"/>
                <w14:textFill>
                  <w14:solidFill>
                    <w14:schemeClr w14:val="tx1"/>
                  </w14:solidFill>
                </w14:textFill>
              </w:rPr>
              <w:t>污水处理站恶臭</w:t>
            </w:r>
          </w:p>
          <w:p w14:paraId="570439C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firstLine="480" w:firstLineChars="200"/>
              <w:textAlignment w:val="auto"/>
              <w:rPr>
                <w:rFonts w:hint="default" w:ascii="Times New Roman" w:hAnsi="Times New Roman" w:eastAsia="宋体" w:cs="Times New Roman"/>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污水处理设施运行中产生的恶臭成分主要是氨气和硫化氢。本项目</w:t>
            </w:r>
            <w:r>
              <w:rPr>
                <w:rFonts w:hint="eastAsia" w:cs="Times New Roman"/>
                <w:color w:val="000000" w:themeColor="text1"/>
                <w:sz w:val="24"/>
                <w:lang w:eastAsia="zh-CN"/>
                <w14:textFill>
                  <w14:solidFill>
                    <w14:schemeClr w14:val="tx1"/>
                  </w14:solidFill>
                </w14:textFill>
              </w:rPr>
              <w:t>清洗</w:t>
            </w:r>
            <w:r>
              <w:rPr>
                <w:rFonts w:hint="default" w:ascii="Times New Roman" w:hAnsi="Times New Roman" w:eastAsia="宋体" w:cs="Times New Roman"/>
                <w:color w:val="000000" w:themeColor="text1"/>
                <w:sz w:val="24"/>
                <w14:textFill>
                  <w14:solidFill>
                    <w14:schemeClr w14:val="tx1"/>
                  </w14:solidFill>
                </w14:textFill>
              </w:rPr>
              <w:t>废水产生量较小，污水处理措施设置于</w:t>
            </w:r>
            <w:r>
              <w:rPr>
                <w:rFonts w:hint="eastAsia" w:cs="Times New Roman"/>
                <w:color w:val="000000" w:themeColor="text1"/>
                <w:sz w:val="24"/>
                <w:lang w:val="en-US" w:eastAsia="zh-CN"/>
                <w14:textFill>
                  <w14:solidFill>
                    <w14:schemeClr w14:val="tx1"/>
                  </w14:solidFill>
                </w14:textFill>
              </w:rPr>
              <w:t>10#生产车间南侧</w:t>
            </w:r>
            <w:r>
              <w:rPr>
                <w:rFonts w:hint="default" w:ascii="Times New Roman" w:hAnsi="Times New Roman" w:eastAsia="宋体" w:cs="Times New Roman"/>
                <w:color w:val="000000" w:themeColor="text1"/>
                <w:sz w:val="24"/>
                <w14:textFill>
                  <w14:solidFill>
                    <w14:schemeClr w14:val="tx1"/>
                  </w14:solidFill>
                </w14:textFill>
              </w:rPr>
              <w:t>，封闭式运行。本项目污水处理站</w:t>
            </w:r>
            <w:r>
              <w:rPr>
                <w:rFonts w:hint="eastAsia" w:cs="Times New Roman"/>
                <w:color w:val="000000" w:themeColor="text1"/>
                <w:sz w:val="24"/>
                <w:lang w:eastAsia="zh-CN"/>
                <w14:textFill>
                  <w14:solidFill>
                    <w14:schemeClr w14:val="tx1"/>
                  </w14:solidFill>
                </w14:textFill>
              </w:rPr>
              <w:t>采用</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格栅+沉淀+调节+破乳+絮凝+气浮+A/O+沉淀</w:t>
            </w:r>
            <w:r>
              <w:rPr>
                <w:rFonts w:hint="default" w:ascii="Times New Roman" w:hAnsi="Times New Roman" w:eastAsia="宋体" w:cs="Times New Roman"/>
                <w:color w:val="000000" w:themeColor="text1"/>
                <w:sz w:val="24"/>
                <w:lang w:eastAsia="zh-CN"/>
                <w14:textFill>
                  <w14:solidFill>
                    <w14:schemeClr w14:val="tx1"/>
                  </w14:solidFill>
                </w14:textFill>
              </w:rPr>
              <w:t>”工艺</w:t>
            </w:r>
            <w:r>
              <w:rPr>
                <w:rFonts w:hint="eastAsia" w:cs="Times New Roman"/>
                <w:color w:val="000000" w:themeColor="text1"/>
                <w:sz w:val="24"/>
                <w:lang w:eastAsia="zh-CN"/>
                <w14:textFill>
                  <w14:solidFill>
                    <w14:schemeClr w14:val="tx1"/>
                  </w14:solidFill>
                </w14:textFill>
              </w:rPr>
              <w:t>。</w:t>
            </w:r>
            <w:r>
              <w:rPr>
                <w:rFonts w:hint="eastAsia"/>
                <w:color w:val="000000" w:themeColor="text1"/>
                <w:kern w:val="0"/>
                <w:sz w:val="24"/>
                <w:lang w:eastAsia="zh-CN"/>
                <w14:textFill>
                  <w14:solidFill>
                    <w14:schemeClr w14:val="tx1"/>
                  </w14:solidFill>
                </w14:textFill>
              </w:rPr>
              <w:t>根据美国EPA对城市污水处理厂恶臭污染物产生情况的研究，每处理1g的BOD</w:t>
            </w:r>
            <w:r>
              <w:rPr>
                <w:rFonts w:hint="eastAsia"/>
                <w:color w:val="000000" w:themeColor="text1"/>
                <w:kern w:val="0"/>
                <w:sz w:val="24"/>
                <w:vertAlign w:val="subscript"/>
                <w:lang w:eastAsia="zh-CN"/>
                <w14:textFill>
                  <w14:solidFill>
                    <w14:schemeClr w14:val="tx1"/>
                  </w14:solidFill>
                </w14:textFill>
              </w:rPr>
              <w:t>5</w:t>
            </w:r>
            <w:r>
              <w:rPr>
                <w:rFonts w:hint="eastAsia"/>
                <w:color w:val="000000" w:themeColor="text1"/>
                <w:kern w:val="0"/>
                <w:sz w:val="24"/>
                <w:lang w:eastAsia="zh-CN"/>
                <w14:textFill>
                  <w14:solidFill>
                    <w14:schemeClr w14:val="tx1"/>
                  </w14:solidFill>
                </w14:textFill>
              </w:rPr>
              <w:t>，可产生0.0031g的NH</w:t>
            </w:r>
            <w:r>
              <w:rPr>
                <w:rFonts w:hint="eastAsia"/>
                <w:color w:val="000000" w:themeColor="text1"/>
                <w:kern w:val="0"/>
                <w:sz w:val="24"/>
                <w:vertAlign w:val="subscript"/>
                <w:lang w:eastAsia="zh-CN"/>
                <w14:textFill>
                  <w14:solidFill>
                    <w14:schemeClr w14:val="tx1"/>
                  </w14:solidFill>
                </w14:textFill>
              </w:rPr>
              <w:t>3</w:t>
            </w:r>
            <w:r>
              <w:rPr>
                <w:rFonts w:hint="eastAsia"/>
                <w:color w:val="000000" w:themeColor="text1"/>
                <w:kern w:val="0"/>
                <w:sz w:val="24"/>
                <w:lang w:eastAsia="zh-CN"/>
                <w14:textFill>
                  <w14:solidFill>
                    <w14:schemeClr w14:val="tx1"/>
                  </w14:solidFill>
                </w14:textFill>
              </w:rPr>
              <w:t>和0.00012g的H</w:t>
            </w:r>
            <w:r>
              <w:rPr>
                <w:rFonts w:hint="eastAsia"/>
                <w:color w:val="000000" w:themeColor="text1"/>
                <w:kern w:val="0"/>
                <w:sz w:val="24"/>
                <w:vertAlign w:val="subscript"/>
                <w:lang w:eastAsia="zh-CN"/>
                <w14:textFill>
                  <w14:solidFill>
                    <w14:schemeClr w14:val="tx1"/>
                  </w14:solidFill>
                </w14:textFill>
              </w:rPr>
              <w:t>2</w:t>
            </w:r>
            <w:r>
              <w:rPr>
                <w:rFonts w:hint="eastAsia"/>
                <w:color w:val="000000" w:themeColor="text1"/>
                <w:kern w:val="0"/>
                <w:sz w:val="24"/>
                <w:lang w:eastAsia="zh-CN"/>
                <w14:textFill>
                  <w14:solidFill>
                    <w14:schemeClr w14:val="tx1"/>
                  </w14:solidFill>
                </w14:textFill>
              </w:rPr>
              <w:t>S，</w:t>
            </w:r>
            <w:r>
              <w:rPr>
                <w:rFonts w:hint="eastAsia"/>
                <w:color w:val="000000" w:themeColor="text1"/>
                <w:kern w:val="0"/>
                <w:sz w:val="24"/>
                <w:lang w:val="en-US" w:eastAsia="zh-CN"/>
                <w14:textFill>
                  <w14:solidFill>
                    <w14:schemeClr w14:val="tx1"/>
                  </w14:solidFill>
                </w14:textFill>
              </w:rPr>
              <w:t>根据本项目污水处理站设计的进、出水质指标，</w:t>
            </w:r>
            <w:r>
              <w:rPr>
                <w:rFonts w:hint="eastAsia"/>
                <w:color w:val="000000" w:themeColor="text1"/>
                <w:kern w:val="0"/>
                <w:sz w:val="24"/>
                <w:lang w:eastAsia="zh-CN"/>
                <w14:textFill>
                  <w14:solidFill>
                    <w14:schemeClr w14:val="tx1"/>
                  </w14:solidFill>
                </w14:textFill>
              </w:rPr>
              <w:t>BOD</w:t>
            </w:r>
            <w:r>
              <w:rPr>
                <w:rFonts w:hint="eastAsia"/>
                <w:color w:val="000000" w:themeColor="text1"/>
                <w:kern w:val="0"/>
                <w:sz w:val="24"/>
                <w:vertAlign w:val="subscript"/>
                <w:lang w:eastAsia="zh-CN"/>
                <w14:textFill>
                  <w14:solidFill>
                    <w14:schemeClr w14:val="tx1"/>
                  </w14:solidFill>
                </w14:textFill>
              </w:rPr>
              <w:t>5</w:t>
            </w:r>
            <w:r>
              <w:rPr>
                <w:rFonts w:hint="eastAsia"/>
                <w:color w:val="000000" w:themeColor="text1"/>
                <w:kern w:val="0"/>
                <w:sz w:val="24"/>
                <w:vertAlign w:val="baseline"/>
                <w:lang w:eastAsia="zh-CN"/>
                <w14:textFill>
                  <w14:solidFill>
                    <w14:schemeClr w14:val="tx1"/>
                  </w14:solidFill>
                </w14:textFill>
              </w:rPr>
              <w:t>去除量为</w:t>
            </w:r>
            <w:r>
              <w:rPr>
                <w:rFonts w:hint="eastAsia"/>
                <w:color w:val="000000" w:themeColor="text1"/>
                <w:kern w:val="0"/>
                <w:sz w:val="24"/>
                <w:vertAlign w:val="baseline"/>
                <w:lang w:val="en-US" w:eastAsia="zh-CN"/>
                <w14:textFill>
                  <w14:solidFill>
                    <w14:schemeClr w14:val="tx1"/>
                  </w14:solidFill>
                </w14:textFill>
              </w:rPr>
              <w:t>10.306t/a，</w:t>
            </w:r>
            <w:r>
              <w:rPr>
                <w:rFonts w:hint="eastAsia"/>
                <w:color w:val="000000" w:themeColor="text1"/>
                <w:kern w:val="0"/>
                <w:sz w:val="24"/>
                <w:lang w:val="en-US" w:eastAsia="zh-CN"/>
                <w14:textFill>
                  <w14:solidFill>
                    <w14:schemeClr w14:val="tx1"/>
                  </w14:solidFill>
                </w14:textFill>
              </w:rPr>
              <w:t>核算出污水处理过程中NH</w:t>
            </w:r>
            <w:r>
              <w:rPr>
                <w:rFonts w:hint="eastAsia"/>
                <w:color w:val="000000" w:themeColor="text1"/>
                <w:kern w:val="0"/>
                <w:sz w:val="24"/>
                <w:vertAlign w:val="sub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产生量为0.032t/a，H</w:t>
            </w:r>
            <w:r>
              <w:rPr>
                <w:rFonts w:hint="eastAsia"/>
                <w:color w:val="000000" w:themeColor="text1"/>
                <w:kern w:val="0"/>
                <w:sz w:val="24"/>
                <w:vertAlign w:val="subscript"/>
                <w:lang w:val="en-US" w:eastAsia="zh-CN"/>
                <w14:textFill>
                  <w14:solidFill>
                    <w14:schemeClr w14:val="tx1"/>
                  </w14:solidFill>
                </w14:textFill>
              </w:rPr>
              <w:t>2</w:t>
            </w:r>
            <w:r>
              <w:rPr>
                <w:rFonts w:hint="eastAsia"/>
                <w:color w:val="000000" w:themeColor="text1"/>
                <w:kern w:val="0"/>
                <w:sz w:val="24"/>
                <w:lang w:val="en-US" w:eastAsia="zh-CN"/>
                <w14:textFill>
                  <w14:solidFill>
                    <w14:schemeClr w14:val="tx1"/>
                  </w14:solidFill>
                </w14:textFill>
              </w:rPr>
              <w:t>S产生量为0.0012t/a，</w:t>
            </w:r>
            <w:r>
              <w:rPr>
                <w:rFonts w:hint="default" w:ascii="Times New Roman" w:hAnsi="Times New Roman" w:eastAsia="宋体" w:cs="Times New Roman"/>
                <w:color w:val="000000" w:themeColor="text1"/>
                <w:sz w:val="24"/>
                <w:szCs w:val="24"/>
                <w:highlight w:val="none"/>
                <w14:textFill>
                  <w14:solidFill>
                    <w14:schemeClr w14:val="tx1"/>
                  </w14:solidFill>
                </w14:textFill>
              </w:rPr>
              <w:t>采取</w:t>
            </w:r>
            <w:r>
              <w:rPr>
                <w:rFonts w:hint="eastAsia" w:cs="Times New Roman"/>
                <w:color w:val="000000" w:themeColor="text1"/>
                <w:sz w:val="24"/>
                <w:szCs w:val="24"/>
                <w:highlight w:val="none"/>
                <w:lang w:eastAsia="zh-CN"/>
                <w14:textFill>
                  <w14:solidFill>
                    <w14:schemeClr w14:val="tx1"/>
                  </w14:solidFill>
                </w14:textFill>
              </w:rPr>
              <w:t>半地埋式密闭</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加盖结构，并添加除臭剂</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通过采取加强绿化等措施后</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去除效率可达</w:t>
            </w:r>
            <w:r>
              <w:rPr>
                <w:rFonts w:hint="eastAsia" w:cs="Times New Roman"/>
                <w:color w:val="000000" w:themeColor="text1"/>
                <w:sz w:val="24"/>
                <w:lang w:val="en-US" w:eastAsia="zh-CN"/>
                <w14:textFill>
                  <w14:solidFill>
                    <w14:schemeClr w14:val="tx1"/>
                  </w14:solidFill>
                </w14:textFill>
              </w:rPr>
              <w:t>80%，项目污水处理站废气产生量约3000m</w:t>
            </w:r>
            <w:r>
              <w:rPr>
                <w:rFonts w:hint="eastAsia" w:cs="Times New Roman"/>
                <w:color w:val="000000" w:themeColor="text1"/>
                <w:sz w:val="24"/>
                <w:vertAlign w:val="superscript"/>
                <w:lang w:val="en-US" w:eastAsia="zh-CN"/>
                <w14:textFill>
                  <w14:solidFill>
                    <w14:schemeClr w14:val="tx1"/>
                  </w14:solidFill>
                </w14:textFill>
              </w:rPr>
              <w:t>3</w:t>
            </w:r>
            <w:r>
              <w:rPr>
                <w:rFonts w:hint="eastAsia" w:cs="Times New Roman"/>
                <w:color w:val="000000" w:themeColor="text1"/>
                <w:sz w:val="24"/>
                <w:lang w:val="en-US" w:eastAsia="zh-CN"/>
                <w14:textFill>
                  <w14:solidFill>
                    <w14:schemeClr w14:val="tx1"/>
                  </w14:solidFill>
                </w14:textFill>
              </w:rPr>
              <w:t>/h，</w:t>
            </w:r>
            <w:r>
              <w:rPr>
                <w:rFonts w:hint="eastAsia"/>
                <w:color w:val="auto"/>
                <w:kern w:val="0"/>
                <w:sz w:val="24"/>
                <w:lang w:val="en-US" w:eastAsia="zh-CN"/>
              </w:rPr>
              <w:t>集中收集效率按90%计，</w:t>
            </w:r>
            <w:r>
              <w:rPr>
                <w:rFonts w:hint="default" w:ascii="Times New Roman" w:hAnsi="Times New Roman" w:eastAsia="宋体" w:cs="Times New Roman"/>
                <w:bCs/>
                <w:color w:val="000000" w:themeColor="text1"/>
                <w:sz w:val="24"/>
                <w:szCs w:val="24"/>
                <w14:textFill>
                  <w14:solidFill>
                    <w14:schemeClr w14:val="tx1"/>
                  </w14:solidFill>
                </w14:textFill>
              </w:rPr>
              <w:t>污水处理站NH</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bCs/>
                <w:color w:val="000000" w:themeColor="text1"/>
                <w:sz w:val="24"/>
                <w:szCs w:val="24"/>
                <w14:textFill>
                  <w14:solidFill>
                    <w14:schemeClr w14:val="tx1"/>
                  </w14:solidFill>
                </w14:textFill>
              </w:rPr>
              <w:t>、H</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bCs/>
                <w:color w:val="000000" w:themeColor="text1"/>
                <w:sz w:val="24"/>
                <w:szCs w:val="24"/>
                <w14:textFill>
                  <w14:solidFill>
                    <w14:schemeClr w14:val="tx1"/>
                  </w14:solidFill>
                </w14:textFill>
              </w:rPr>
              <w:t>S</w:t>
            </w:r>
            <w:r>
              <w:rPr>
                <w:rFonts w:hint="eastAsia" w:ascii="Times New Roman" w:hAnsi="Times New Roman" w:eastAsia="宋体" w:cs="Times New Roman"/>
                <w:bCs/>
                <w:color w:val="000000" w:themeColor="text1"/>
                <w:sz w:val="24"/>
                <w:szCs w:val="24"/>
                <w:lang w:eastAsia="zh-CN"/>
                <w14:textFill>
                  <w14:solidFill>
                    <w14:schemeClr w14:val="tx1"/>
                  </w14:solidFill>
                </w14:textFill>
              </w:rPr>
              <w:t>排放浓度约为</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0.8</w:t>
            </w:r>
            <w:r>
              <w:rPr>
                <w:rFonts w:hint="eastAsia" w:ascii="Times New Roman" w:hAnsi="Times New Roman" w:eastAsia="宋体" w:cs="Times New Roman"/>
                <w:b w:val="0"/>
                <w:bCs w:val="0"/>
                <w:sz w:val="24"/>
                <w:lang w:val="en-US" w:eastAsia="zh-CN"/>
              </w:rPr>
              <w:t>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0.03</w:t>
            </w:r>
            <w:r>
              <w:rPr>
                <w:rFonts w:hint="eastAsia" w:ascii="Times New Roman" w:hAnsi="Times New Roman" w:eastAsia="宋体" w:cs="Times New Roman"/>
                <w:b w:val="0"/>
                <w:bCs w:val="0"/>
                <w:sz w:val="24"/>
                <w:lang w:val="en-US" w:eastAsia="zh-CN"/>
              </w:rPr>
              <w:t>mg/m</w:t>
            </w:r>
            <w:r>
              <w:rPr>
                <w:rFonts w:hint="eastAsia" w:ascii="Times New Roman" w:hAnsi="Times New Roman" w:eastAsia="宋体" w:cs="Times New Roman"/>
                <w:b w:val="0"/>
                <w:bCs w:val="0"/>
                <w:sz w:val="24"/>
                <w:vertAlign w:val="superscript"/>
                <w:lang w:val="en-US" w:eastAsia="zh-CN"/>
              </w:rPr>
              <w:t>3</w:t>
            </w:r>
            <w:r>
              <w:rPr>
                <w:rFonts w:hint="eastAsia" w:ascii="Times New Roman" w:hAnsi="Times New Roman" w:eastAsia="宋体" w:cs="Times New Roman"/>
                <w:b w:val="0"/>
                <w:bCs w:val="0"/>
                <w:sz w:val="24"/>
                <w:lang w:val="en-US" w:eastAsia="zh-CN"/>
              </w:rPr>
              <w:t>，</w:t>
            </w:r>
            <w:r>
              <w:rPr>
                <w:rFonts w:hint="default" w:ascii="Times New Roman" w:hAnsi="Times New Roman" w:eastAsia="宋体" w:cs="Times New Roman"/>
                <w:bCs/>
                <w:color w:val="000000" w:themeColor="text1"/>
                <w:sz w:val="24"/>
                <w:szCs w:val="24"/>
                <w14:textFill>
                  <w14:solidFill>
                    <w14:schemeClr w14:val="tx1"/>
                  </w14:solidFill>
                </w14:textFill>
              </w:rPr>
              <w:t>污水处理站NH</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bCs/>
                <w:color w:val="000000" w:themeColor="text1"/>
                <w:sz w:val="24"/>
                <w:szCs w:val="24"/>
                <w14:textFill>
                  <w14:solidFill>
                    <w14:schemeClr w14:val="tx1"/>
                  </w14:solidFill>
                </w14:textFill>
              </w:rPr>
              <w:t>、H</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bCs/>
                <w:color w:val="000000" w:themeColor="text1"/>
                <w:sz w:val="24"/>
                <w:szCs w:val="24"/>
                <w14:textFill>
                  <w14:solidFill>
                    <w14:schemeClr w14:val="tx1"/>
                  </w14:solidFill>
                </w14:textFill>
              </w:rPr>
              <w:t>S排放</w:t>
            </w:r>
            <w:r>
              <w:rPr>
                <w:rFonts w:hint="eastAsia" w:cs="Times New Roman"/>
                <w:bCs/>
                <w:color w:val="000000" w:themeColor="text1"/>
                <w:sz w:val="24"/>
                <w:szCs w:val="24"/>
                <w:lang w:eastAsia="zh-CN"/>
                <w14:textFill>
                  <w14:solidFill>
                    <w14:schemeClr w14:val="tx1"/>
                  </w14:solidFill>
                </w14:textFill>
              </w:rPr>
              <w:t>量</w:t>
            </w:r>
            <w:r>
              <w:rPr>
                <w:rFonts w:hint="default" w:ascii="Times New Roman" w:hAnsi="Times New Roman" w:eastAsia="宋体" w:cs="Times New Roman"/>
                <w:bCs/>
                <w:color w:val="000000" w:themeColor="text1"/>
                <w:sz w:val="24"/>
                <w:szCs w:val="24"/>
                <w14:textFill>
                  <w14:solidFill>
                    <w14:schemeClr w14:val="tx1"/>
                  </w14:solidFill>
                </w14:textFill>
              </w:rPr>
              <w:t>分别为</w:t>
            </w:r>
            <w:r>
              <w:rPr>
                <w:rFonts w:hint="eastAsia"/>
                <w:color w:val="000000" w:themeColor="text1"/>
                <w:kern w:val="0"/>
                <w:sz w:val="24"/>
                <w:lang w:val="en-US" w:eastAsia="zh-CN"/>
                <w14:textFill>
                  <w14:solidFill>
                    <w14:schemeClr w14:val="tx1"/>
                  </w14:solidFill>
                </w14:textFill>
              </w:rPr>
              <w:t>0.00576t/a</w:t>
            </w:r>
            <w:r>
              <w:rPr>
                <w:rFonts w:hint="default" w:ascii="Times New Roman" w:hAnsi="Times New Roman" w:eastAsia="宋体" w:cs="Times New Roman"/>
                <w:bCs/>
                <w:color w:val="000000" w:themeColor="text1"/>
                <w:sz w:val="24"/>
                <w:szCs w:val="24"/>
                <w14:textFill>
                  <w14:solidFill>
                    <w14:schemeClr w14:val="tx1"/>
                  </w14:solidFill>
                </w14:textFill>
              </w:rPr>
              <w:t>、</w:t>
            </w:r>
            <w:r>
              <w:rPr>
                <w:rFonts w:hint="eastAsia"/>
                <w:color w:val="000000" w:themeColor="text1"/>
                <w:kern w:val="0"/>
                <w:sz w:val="24"/>
                <w:lang w:val="en-US" w:eastAsia="zh-CN"/>
                <w14:textFill>
                  <w14:solidFill>
                    <w14:schemeClr w14:val="tx1"/>
                  </w14:solidFill>
                </w14:textFill>
              </w:rPr>
              <w:t>0.002164t/a</w:t>
            </w:r>
            <w:r>
              <w:rPr>
                <w:rFonts w:hint="default" w:ascii="Times New Roman" w:hAnsi="Times New Roman" w:eastAsia="宋体" w:cs="Times New Roman"/>
                <w:bCs/>
                <w:color w:val="000000" w:themeColor="text1"/>
                <w:sz w:val="24"/>
                <w:szCs w:val="24"/>
                <w14:textFill>
                  <w14:solidFill>
                    <w14:schemeClr w14:val="tx1"/>
                  </w14:solidFill>
                </w14:textFill>
              </w:rPr>
              <w:t>，臭气浓度≤10（无量纲），</w:t>
            </w:r>
            <w:r>
              <w:rPr>
                <w:rFonts w:hint="eastAsia" w:cs="Times New Roman"/>
                <w:bCs/>
                <w:color w:val="000000" w:themeColor="text1"/>
                <w:sz w:val="24"/>
                <w:szCs w:val="24"/>
                <w:lang w:eastAsia="zh-CN"/>
                <w14:textFill>
                  <w14:solidFill>
                    <w14:schemeClr w14:val="tx1"/>
                  </w14:solidFill>
                </w14:textFill>
              </w:rPr>
              <w:t>废气经</w:t>
            </w:r>
            <w:r>
              <w:rPr>
                <w:rFonts w:hint="eastAsia" w:cs="Times New Roman"/>
                <w:bCs/>
                <w:color w:val="000000" w:themeColor="text1"/>
                <w:sz w:val="24"/>
                <w:szCs w:val="24"/>
                <w:lang w:val="en-US" w:eastAsia="zh-CN"/>
                <w14:textFill>
                  <w14:solidFill>
                    <w14:schemeClr w14:val="tx1"/>
                  </w14:solidFill>
                </w14:textFill>
              </w:rPr>
              <w:t>1根15m排气筒排放，</w:t>
            </w:r>
            <w:r>
              <w:rPr>
                <w:rFonts w:hint="default" w:ascii="Times New Roman" w:hAnsi="Times New Roman" w:eastAsia="宋体" w:cs="Times New Roman"/>
                <w:color w:val="000000" w:themeColor="text1"/>
                <w:sz w:val="24"/>
                <w14:textFill>
                  <w14:solidFill>
                    <w14:schemeClr w14:val="tx1"/>
                  </w14:solidFill>
                </w14:textFill>
              </w:rPr>
              <w:t>恶臭污染物排放</w:t>
            </w:r>
            <w:r>
              <w:rPr>
                <w:rFonts w:hint="eastAsia" w:cs="Times New Roman"/>
                <w:color w:val="000000" w:themeColor="text1"/>
                <w:sz w:val="24"/>
                <w:lang w:eastAsia="zh-CN"/>
                <w14:textFill>
                  <w14:solidFill>
                    <w14:schemeClr w14:val="tx1"/>
                  </w14:solidFill>
                </w14:textFill>
              </w:rPr>
              <w:t>可</w:t>
            </w:r>
            <w:r>
              <w:rPr>
                <w:rFonts w:hint="default" w:ascii="Times New Roman" w:hAnsi="Times New Roman" w:eastAsia="宋体" w:cs="Times New Roman"/>
                <w:color w:val="000000" w:themeColor="text1"/>
                <w:sz w:val="24"/>
                <w14:textFill>
                  <w14:solidFill>
                    <w14:schemeClr w14:val="tx1"/>
                  </w14:solidFill>
                </w14:textFill>
              </w:rPr>
              <w:t>满足</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《恶臭污染物排放标准》(GB14554-93)表1二级新扩改建标准。</w:t>
            </w:r>
          </w:p>
          <w:p w14:paraId="2B9620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b/>
                <w:bCs/>
                <w:color w:val="000000" w:themeColor="text1"/>
                <w:sz w:val="24"/>
                <w:szCs w:val="24"/>
                <w:lang w:eastAsia="zh-CN" w:bidi="ar"/>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项目废气污染源及治理措施见表</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4-</w:t>
            </w:r>
            <w:r>
              <w:rPr>
                <w:rFonts w:hint="eastAsia" w:cs="Times New Roman"/>
                <w:color w:val="000000" w:themeColor="text1"/>
                <w:kern w:val="0"/>
                <w:sz w:val="24"/>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14:textFill>
                  <w14:solidFill>
                    <w14:schemeClr w14:val="tx1"/>
                  </w14:solidFill>
                </w14:textFill>
              </w:rPr>
              <w:t>。项目废气排放口基本情况见表</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4-</w:t>
            </w:r>
            <w:r>
              <w:rPr>
                <w:rFonts w:hint="eastAsia" w:cs="Times New Roman"/>
                <w:color w:val="000000" w:themeColor="text1"/>
                <w:kern w:val="0"/>
                <w:sz w:val="24"/>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w:t>
            </w:r>
          </w:p>
          <w:p w14:paraId="51AE7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表</w:t>
            </w:r>
            <w:r>
              <w:rPr>
                <w:rFonts w:hint="default" w:ascii="Times New Roman" w:hAnsi="Times New Roman" w:eastAsia="宋体" w:cs="Times New Roman"/>
                <w:b/>
                <w:bCs/>
                <w:color w:val="000000" w:themeColor="text1"/>
                <w:sz w:val="24"/>
                <w:lang w:val="en-US" w:eastAsia="zh-CN"/>
                <w14:textFill>
                  <w14:solidFill>
                    <w14:schemeClr w14:val="tx1"/>
                  </w14:solidFill>
                </w14:textFill>
              </w:rPr>
              <w:t>4-</w:t>
            </w:r>
            <w:r>
              <w:rPr>
                <w:rFonts w:hint="eastAsia" w:cs="Times New Roman"/>
                <w:b/>
                <w:bCs/>
                <w:color w:val="000000" w:themeColor="text1"/>
                <w:sz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14:textFill>
                  <w14:solidFill>
                    <w14:schemeClr w14:val="tx1"/>
                  </w14:solidFill>
                </w14:textFill>
              </w:rPr>
              <w:t xml:space="preserve"> </w:t>
            </w:r>
            <w:r>
              <w:rPr>
                <w:rFonts w:hint="default" w:ascii="Times New Roman" w:hAnsi="Times New Roman" w:eastAsia="宋体" w:cs="Times New Roman"/>
                <w:b/>
                <w:bCs/>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14:textFill>
                  <w14:solidFill>
                    <w14:schemeClr w14:val="tx1"/>
                  </w14:solidFill>
                </w14:textFill>
              </w:rPr>
              <w:t>项目</w:t>
            </w:r>
            <w:r>
              <w:rPr>
                <w:rFonts w:hint="default" w:ascii="Times New Roman" w:hAnsi="Times New Roman" w:eastAsia="宋体" w:cs="Times New Roman"/>
                <w:b/>
                <w:bCs/>
                <w:color w:val="000000" w:themeColor="text1"/>
                <w:sz w:val="24"/>
                <w:lang w:eastAsia="zh-CN"/>
                <w14:textFill>
                  <w14:solidFill>
                    <w14:schemeClr w14:val="tx1"/>
                  </w14:solidFill>
                </w14:textFill>
              </w:rPr>
              <w:t>有组织</w:t>
            </w:r>
            <w:r>
              <w:rPr>
                <w:rFonts w:hint="default" w:ascii="Times New Roman" w:hAnsi="Times New Roman" w:eastAsia="宋体" w:cs="Times New Roman"/>
                <w:b/>
                <w:bCs/>
                <w:color w:val="000000" w:themeColor="text1"/>
                <w:sz w:val="24"/>
                <w14:textFill>
                  <w14:solidFill>
                    <w14:schemeClr w14:val="tx1"/>
                  </w14:solidFill>
                </w14:textFill>
              </w:rPr>
              <w:t>废气污染源及其治理措施一览表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54"/>
              <w:gridCol w:w="610"/>
              <w:gridCol w:w="399"/>
              <w:gridCol w:w="650"/>
              <w:gridCol w:w="624"/>
              <w:gridCol w:w="708"/>
              <w:gridCol w:w="904"/>
              <w:gridCol w:w="526"/>
              <w:gridCol w:w="428"/>
              <w:gridCol w:w="256"/>
              <w:gridCol w:w="256"/>
              <w:gridCol w:w="614"/>
              <w:gridCol w:w="713"/>
              <w:gridCol w:w="846"/>
            </w:tblGrid>
            <w:tr w14:paraId="199092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restart"/>
                  <w:tcBorders>
                    <w:tl2br w:val="nil"/>
                    <w:tr2bl w:val="nil"/>
                  </w:tcBorders>
                  <w:noWrap w:val="0"/>
                  <w:vAlign w:val="center"/>
                </w:tcPr>
                <w:p w14:paraId="0C56988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污染源</w:t>
                  </w:r>
                </w:p>
                <w:p w14:paraId="35A9666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名称</w:t>
                  </w:r>
                </w:p>
              </w:tc>
              <w:tc>
                <w:tcPr>
                  <w:tcW w:w="355" w:type="pct"/>
                  <w:vMerge w:val="restart"/>
                  <w:tcBorders>
                    <w:tl2br w:val="nil"/>
                    <w:tr2bl w:val="nil"/>
                  </w:tcBorders>
                  <w:noWrap w:val="0"/>
                  <w:vAlign w:val="center"/>
                </w:tcPr>
                <w:p w14:paraId="6757A12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排放量</w:t>
                  </w:r>
                </w:p>
                <w:p w14:paraId="5C88C0D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pacing w:val="-20"/>
                      <w:sz w:val="21"/>
                      <w:szCs w:val="21"/>
                      <w:lang w:eastAsia="zh-CN"/>
                      <w14:textFill>
                        <w14:solidFill>
                          <w14:schemeClr w14:val="tx1"/>
                        </w14:solidFill>
                      </w14:textFill>
                    </w:rPr>
                    <w:t>Nm</w:t>
                  </w:r>
                  <w:r>
                    <w:rPr>
                      <w:rFonts w:hint="default" w:ascii="Times New Roman" w:hAnsi="Times New Roman" w:eastAsia="宋体" w:cs="Times New Roman"/>
                      <w:b/>
                      <w:bCs/>
                      <w:color w:val="000000" w:themeColor="text1"/>
                      <w:spacing w:val="-20"/>
                      <w:sz w:val="21"/>
                      <w:szCs w:val="21"/>
                      <w:vertAlign w:val="superscript"/>
                      <w:lang w:eastAsia="zh-CN"/>
                      <w14:textFill>
                        <w14:solidFill>
                          <w14:schemeClr w14:val="tx1"/>
                        </w14:solidFill>
                      </w14:textFill>
                    </w:rPr>
                    <w:t>3</w:t>
                  </w:r>
                  <w:r>
                    <w:rPr>
                      <w:rFonts w:hint="default" w:ascii="Times New Roman" w:hAnsi="Times New Roman" w:eastAsia="宋体" w:cs="Times New Roman"/>
                      <w:b/>
                      <w:bCs/>
                      <w:color w:val="000000" w:themeColor="text1"/>
                      <w:spacing w:val="-20"/>
                      <w:sz w:val="21"/>
                      <w:szCs w:val="21"/>
                      <w:lang w:eastAsia="zh-CN"/>
                      <w14:textFill>
                        <w14:solidFill>
                          <w14:schemeClr w14:val="tx1"/>
                        </w14:solidFill>
                      </w14:textFill>
                    </w:rPr>
                    <w:t>/h</w:t>
                  </w:r>
                </w:p>
              </w:tc>
              <w:tc>
                <w:tcPr>
                  <w:tcW w:w="232" w:type="pct"/>
                  <w:vMerge w:val="restart"/>
                  <w:tcBorders>
                    <w:tl2br w:val="nil"/>
                    <w:tr2bl w:val="nil"/>
                  </w:tcBorders>
                  <w:noWrap w:val="0"/>
                  <w:vAlign w:val="center"/>
                </w:tcPr>
                <w:p w14:paraId="026B530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污染物种类</w:t>
                  </w:r>
                </w:p>
              </w:tc>
              <w:tc>
                <w:tcPr>
                  <w:tcW w:w="378" w:type="pct"/>
                  <w:vMerge w:val="restart"/>
                  <w:tcBorders>
                    <w:tl2br w:val="nil"/>
                    <w:tr2bl w:val="nil"/>
                  </w:tcBorders>
                  <w:noWrap w:val="0"/>
                  <w:vAlign w:val="center"/>
                </w:tcPr>
                <w:p w14:paraId="1CF06CC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产</w:t>
                  </w:r>
                </w:p>
                <w:p w14:paraId="00D4099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生</w:t>
                  </w:r>
                </w:p>
                <w:p w14:paraId="16286DF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量</w:t>
                  </w:r>
                </w:p>
                <w:p w14:paraId="5689BD8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pacing w:val="-20"/>
                      <w:sz w:val="21"/>
                      <w:szCs w:val="21"/>
                      <w:lang w:eastAsia="zh-CN"/>
                      <w14:textFill>
                        <w14:solidFill>
                          <w14:schemeClr w14:val="tx1"/>
                        </w14:solidFill>
                      </w14:textFill>
                    </w:rPr>
                    <w:t>t/a</w:t>
                  </w:r>
                </w:p>
              </w:tc>
              <w:tc>
                <w:tcPr>
                  <w:tcW w:w="363" w:type="pct"/>
                  <w:vMerge w:val="restart"/>
                  <w:tcBorders>
                    <w:tl2br w:val="nil"/>
                    <w:tr2bl w:val="nil"/>
                  </w:tcBorders>
                  <w:noWrap w:val="0"/>
                  <w:vAlign w:val="center"/>
                </w:tcPr>
                <w:p w14:paraId="7A1B325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产生</w:t>
                  </w:r>
                </w:p>
                <w:p w14:paraId="363DCBA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速率</w:t>
                  </w:r>
                  <w:r>
                    <w:rPr>
                      <w:rFonts w:hint="eastAsia" w:cs="Times New Roman"/>
                      <w:b/>
                      <w:bCs/>
                      <w:color w:val="000000" w:themeColor="text1"/>
                      <w:szCs w:val="21"/>
                      <w:lang w:val="en-US" w:eastAsia="zh-CN"/>
                      <w14:textFill>
                        <w14:solidFill>
                          <w14:schemeClr w14:val="tx1"/>
                        </w14:solidFill>
                      </w14:textFill>
                    </w:rPr>
                    <w:t>kg</w:t>
                  </w:r>
                  <w:r>
                    <w:rPr>
                      <w:rFonts w:hint="default" w:ascii="Times New Roman" w:hAnsi="Times New Roman" w:eastAsia="宋体" w:cs="Times New Roman"/>
                      <w:b/>
                      <w:bCs/>
                      <w:color w:val="000000" w:themeColor="text1"/>
                      <w:szCs w:val="21"/>
                      <w:lang w:val="en-US" w:eastAsia="zh-CN"/>
                      <w14:textFill>
                        <w14:solidFill>
                          <w14:schemeClr w14:val="tx1"/>
                        </w14:solidFill>
                      </w14:textFill>
                    </w:rPr>
                    <w:t>/h</w:t>
                  </w:r>
                </w:p>
              </w:tc>
              <w:tc>
                <w:tcPr>
                  <w:tcW w:w="412" w:type="pct"/>
                  <w:vMerge w:val="restart"/>
                  <w:tcBorders>
                    <w:tl2br w:val="nil"/>
                    <w:tr2bl w:val="nil"/>
                  </w:tcBorders>
                  <w:noWrap w:val="0"/>
                  <w:vAlign w:val="center"/>
                </w:tcPr>
                <w:p w14:paraId="7CEF13D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产生</w:t>
                  </w:r>
                </w:p>
                <w:p w14:paraId="68761E4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浓度mg/m</w:t>
                  </w:r>
                  <w:r>
                    <w:rPr>
                      <w:rFonts w:hint="default" w:ascii="Times New Roman" w:hAnsi="Times New Roman" w:eastAsia="宋体" w:cs="Times New Roman"/>
                      <w:b/>
                      <w:bCs/>
                      <w:color w:val="000000" w:themeColor="text1"/>
                      <w:szCs w:val="21"/>
                      <w:vertAlign w:val="superscript"/>
                      <w:lang w:eastAsia="zh-CN"/>
                      <w14:textFill>
                        <w14:solidFill>
                          <w14:schemeClr w14:val="tx1"/>
                        </w14:solidFill>
                      </w14:textFill>
                    </w:rPr>
                    <w:t>3</w:t>
                  </w:r>
                </w:p>
              </w:tc>
              <w:tc>
                <w:tcPr>
                  <w:tcW w:w="1081" w:type="pct"/>
                  <w:gridSpan w:val="3"/>
                  <w:tcBorders>
                    <w:tl2br w:val="nil"/>
                    <w:tr2bl w:val="nil"/>
                  </w:tcBorders>
                  <w:noWrap w:val="0"/>
                  <w:vAlign w:val="center"/>
                </w:tcPr>
                <w:p w14:paraId="3F7505D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污染治理设施</w:t>
                  </w:r>
                </w:p>
              </w:tc>
              <w:tc>
                <w:tcPr>
                  <w:tcW w:w="149" w:type="pct"/>
                  <w:tcBorders>
                    <w:tl2br w:val="nil"/>
                    <w:tr2bl w:val="nil"/>
                  </w:tcBorders>
                  <w:noWrap w:val="0"/>
                  <w:vAlign w:val="center"/>
                </w:tcPr>
                <w:p w14:paraId="6878DA4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p>
              </w:tc>
              <w:tc>
                <w:tcPr>
                  <w:tcW w:w="149" w:type="pct"/>
                  <w:vMerge w:val="restart"/>
                  <w:tcBorders>
                    <w:tl2br w:val="nil"/>
                    <w:tr2bl w:val="nil"/>
                  </w:tcBorders>
                  <w:noWrap w:val="0"/>
                  <w:vAlign w:val="center"/>
                </w:tcPr>
                <w:p w14:paraId="5C282DB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排放形式</w:t>
                  </w:r>
                </w:p>
              </w:tc>
              <w:tc>
                <w:tcPr>
                  <w:tcW w:w="357" w:type="pct"/>
                  <w:vMerge w:val="restart"/>
                  <w:tcBorders>
                    <w:tl2br w:val="nil"/>
                    <w:tr2bl w:val="nil"/>
                  </w:tcBorders>
                  <w:noWrap w:val="0"/>
                  <w:vAlign w:val="center"/>
                </w:tcPr>
                <w:p w14:paraId="2261E72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外排</w:t>
                  </w:r>
                </w:p>
                <w:p w14:paraId="456A760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浓度</w:t>
                  </w:r>
                  <w:r>
                    <w:rPr>
                      <w:rFonts w:hint="default" w:ascii="Times New Roman" w:hAnsi="Times New Roman" w:eastAsia="宋体" w:cs="Times New Roman"/>
                      <w:b/>
                      <w:bCs/>
                      <w:color w:val="000000" w:themeColor="text1"/>
                      <w:spacing w:val="-20"/>
                      <w:sz w:val="21"/>
                      <w:szCs w:val="21"/>
                      <w:lang w:eastAsia="zh-CN"/>
                      <w14:textFill>
                        <w14:solidFill>
                          <w14:schemeClr w14:val="tx1"/>
                        </w14:solidFill>
                      </w14:textFill>
                    </w:rPr>
                    <w:t>mg/m</w:t>
                  </w:r>
                  <w:r>
                    <w:rPr>
                      <w:rFonts w:hint="default" w:ascii="Times New Roman" w:hAnsi="Times New Roman" w:eastAsia="宋体" w:cs="Times New Roman"/>
                      <w:b/>
                      <w:bCs/>
                      <w:color w:val="000000" w:themeColor="text1"/>
                      <w:spacing w:val="-20"/>
                      <w:sz w:val="21"/>
                      <w:szCs w:val="21"/>
                      <w:vertAlign w:val="superscript"/>
                      <w:lang w:eastAsia="zh-CN"/>
                      <w14:textFill>
                        <w14:solidFill>
                          <w14:schemeClr w14:val="tx1"/>
                        </w14:solidFill>
                      </w14:textFill>
                    </w:rPr>
                    <w:t>3</w:t>
                  </w:r>
                </w:p>
              </w:tc>
              <w:tc>
                <w:tcPr>
                  <w:tcW w:w="415" w:type="pct"/>
                  <w:vMerge w:val="restart"/>
                  <w:tcBorders>
                    <w:tl2br w:val="nil"/>
                    <w:tr2bl w:val="nil"/>
                  </w:tcBorders>
                  <w:noWrap w:val="0"/>
                  <w:vAlign w:val="center"/>
                </w:tcPr>
                <w:p w14:paraId="3F98A0F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排</w:t>
                  </w:r>
                </w:p>
                <w:p w14:paraId="5D5F0D4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放</w:t>
                  </w:r>
                </w:p>
                <w:p w14:paraId="3288DA2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量</w:t>
                  </w:r>
                </w:p>
                <w:p w14:paraId="5925CD2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t/a</w:t>
                  </w:r>
                </w:p>
              </w:tc>
              <w:tc>
                <w:tcPr>
                  <w:tcW w:w="491" w:type="pct"/>
                  <w:vMerge w:val="restart"/>
                  <w:tcBorders>
                    <w:tl2br w:val="nil"/>
                    <w:tr2bl w:val="nil"/>
                  </w:tcBorders>
                  <w:noWrap w:val="0"/>
                  <w:vAlign w:val="center"/>
                </w:tcPr>
                <w:p w14:paraId="0F3F408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排放</w:t>
                  </w:r>
                </w:p>
                <w:p w14:paraId="2788498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速率</w:t>
                  </w:r>
                  <w:r>
                    <w:rPr>
                      <w:rFonts w:hint="eastAsia" w:cs="Times New Roman"/>
                      <w:b/>
                      <w:bCs/>
                      <w:color w:val="000000" w:themeColor="text1"/>
                      <w:szCs w:val="21"/>
                      <w:lang w:val="en-US" w:eastAsia="zh-CN"/>
                      <w14:textFill>
                        <w14:solidFill>
                          <w14:schemeClr w14:val="tx1"/>
                        </w14:solidFill>
                      </w14:textFill>
                    </w:rPr>
                    <w:t>kg</w:t>
                  </w:r>
                  <w:r>
                    <w:rPr>
                      <w:rFonts w:hint="default" w:ascii="Times New Roman" w:hAnsi="Times New Roman" w:eastAsia="宋体" w:cs="Times New Roman"/>
                      <w:b/>
                      <w:bCs/>
                      <w:color w:val="000000" w:themeColor="text1"/>
                      <w:szCs w:val="21"/>
                      <w:lang w:val="en-US" w:eastAsia="zh-CN"/>
                      <w14:textFill>
                        <w14:solidFill>
                          <w14:schemeClr w14:val="tx1"/>
                        </w14:solidFill>
                      </w14:textFill>
                    </w:rPr>
                    <w:t>/h</w:t>
                  </w:r>
                </w:p>
              </w:tc>
            </w:tr>
            <w:tr w14:paraId="2115A0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5B1B757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3CB49B7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232" w:type="pct"/>
                  <w:vMerge w:val="continue"/>
                  <w:tcBorders>
                    <w:tl2br w:val="nil"/>
                    <w:tr2bl w:val="nil"/>
                  </w:tcBorders>
                  <w:noWrap w:val="0"/>
                  <w:vAlign w:val="center"/>
                </w:tcPr>
                <w:p w14:paraId="5E0B4FB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78" w:type="pct"/>
                  <w:vMerge w:val="continue"/>
                  <w:tcBorders>
                    <w:tl2br w:val="nil"/>
                    <w:tr2bl w:val="nil"/>
                  </w:tcBorders>
                  <w:noWrap w:val="0"/>
                  <w:vAlign w:val="center"/>
                </w:tcPr>
                <w:p w14:paraId="6EF48B1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63" w:type="pct"/>
                  <w:vMerge w:val="continue"/>
                  <w:tcBorders>
                    <w:tl2br w:val="nil"/>
                    <w:tr2bl w:val="nil"/>
                  </w:tcBorders>
                  <w:noWrap w:val="0"/>
                  <w:vAlign w:val="center"/>
                </w:tcPr>
                <w:p w14:paraId="602B5AB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412" w:type="pct"/>
                  <w:vMerge w:val="continue"/>
                  <w:tcBorders>
                    <w:tl2br w:val="nil"/>
                    <w:tr2bl w:val="nil"/>
                  </w:tcBorders>
                  <w:noWrap w:val="0"/>
                  <w:vAlign w:val="center"/>
                </w:tcPr>
                <w:p w14:paraId="4F0A46D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526" w:type="pct"/>
                  <w:tcBorders>
                    <w:tl2br w:val="nil"/>
                    <w:tr2bl w:val="nil"/>
                  </w:tcBorders>
                  <w:noWrap w:val="0"/>
                  <w:vAlign w:val="center"/>
                </w:tcPr>
                <w:p w14:paraId="4F3C24B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治理</w:t>
                  </w:r>
                </w:p>
                <w:p w14:paraId="186D20E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措施</w:t>
                  </w:r>
                </w:p>
              </w:tc>
              <w:tc>
                <w:tcPr>
                  <w:tcW w:w="306" w:type="pct"/>
                  <w:tcBorders>
                    <w:tl2br w:val="nil"/>
                    <w:tr2bl w:val="nil"/>
                  </w:tcBorders>
                  <w:noWrap w:val="0"/>
                  <w:vAlign w:val="center"/>
                </w:tcPr>
                <w:p w14:paraId="3F928EC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收集效率</w:t>
                  </w:r>
                </w:p>
                <w:p w14:paraId="6AC3077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w:t>
                  </w:r>
                </w:p>
              </w:tc>
              <w:tc>
                <w:tcPr>
                  <w:tcW w:w="248" w:type="pct"/>
                  <w:tcBorders>
                    <w:tl2br w:val="nil"/>
                    <w:tr2bl w:val="nil"/>
                  </w:tcBorders>
                  <w:noWrap w:val="0"/>
                  <w:vAlign w:val="center"/>
                </w:tcPr>
                <w:p w14:paraId="0844E6A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处理</w:t>
                  </w:r>
                </w:p>
                <w:p w14:paraId="2FC124E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效率</w:t>
                  </w:r>
                  <w:r>
                    <w:rPr>
                      <w:rFonts w:hint="eastAsia" w:cs="Times New Roman"/>
                      <w:b/>
                      <w:bCs/>
                      <w:color w:val="000000" w:themeColor="text1"/>
                      <w:szCs w:val="21"/>
                      <w:lang w:val="en-US" w:eastAsia="zh-CN"/>
                      <w14:textFill>
                        <w14:solidFill>
                          <w14:schemeClr w14:val="tx1"/>
                        </w14:solidFill>
                      </w14:textFill>
                    </w:rPr>
                    <w:t>%</w:t>
                  </w:r>
                </w:p>
              </w:tc>
              <w:tc>
                <w:tcPr>
                  <w:tcW w:w="149" w:type="pct"/>
                  <w:tcBorders>
                    <w:tl2br w:val="nil"/>
                    <w:tr2bl w:val="nil"/>
                  </w:tcBorders>
                  <w:noWrap w:val="0"/>
                  <w:vAlign w:val="center"/>
                </w:tcPr>
                <w:p w14:paraId="29BF701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是否为可行技术</w:t>
                  </w:r>
                </w:p>
              </w:tc>
              <w:tc>
                <w:tcPr>
                  <w:tcW w:w="149" w:type="pct"/>
                  <w:vMerge w:val="continue"/>
                  <w:tcBorders>
                    <w:tl2br w:val="nil"/>
                    <w:tr2bl w:val="nil"/>
                  </w:tcBorders>
                  <w:noWrap w:val="0"/>
                  <w:vAlign w:val="center"/>
                </w:tcPr>
                <w:p w14:paraId="3A0950D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vMerge w:val="continue"/>
                  <w:tcBorders>
                    <w:tl2br w:val="nil"/>
                    <w:tr2bl w:val="nil"/>
                  </w:tcBorders>
                  <w:noWrap w:val="0"/>
                  <w:vAlign w:val="center"/>
                </w:tcPr>
                <w:p w14:paraId="1B5551C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415" w:type="pct"/>
                  <w:vMerge w:val="continue"/>
                  <w:tcBorders>
                    <w:tl2br w:val="nil"/>
                    <w:tr2bl w:val="nil"/>
                  </w:tcBorders>
                  <w:noWrap w:val="0"/>
                  <w:vAlign w:val="center"/>
                </w:tcPr>
                <w:p w14:paraId="0F69D17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491" w:type="pct"/>
                  <w:vMerge w:val="continue"/>
                  <w:tcBorders>
                    <w:tl2br w:val="nil"/>
                    <w:tr2bl w:val="nil"/>
                  </w:tcBorders>
                  <w:noWrap w:val="0"/>
                  <w:vAlign w:val="center"/>
                </w:tcPr>
                <w:p w14:paraId="47BC525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r>
            <w:tr w14:paraId="54382E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tcBorders>
                    <w:tl2br w:val="nil"/>
                    <w:tr2bl w:val="nil"/>
                  </w:tcBorders>
                  <w:noWrap w:val="0"/>
                  <w:vAlign w:val="center"/>
                </w:tcPr>
                <w:p w14:paraId="1755E0A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3#生产车间投料粉尘（DA00</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355" w:type="pct"/>
                  <w:tcBorders>
                    <w:tl2br w:val="nil"/>
                    <w:tr2bl w:val="nil"/>
                  </w:tcBorders>
                  <w:noWrap w:val="0"/>
                  <w:vAlign w:val="center"/>
                </w:tcPr>
                <w:p w14:paraId="6102896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2500</w:t>
                  </w:r>
                </w:p>
              </w:tc>
              <w:tc>
                <w:tcPr>
                  <w:tcW w:w="232" w:type="pct"/>
                  <w:tcBorders>
                    <w:tl2br w:val="nil"/>
                    <w:tr2bl w:val="nil"/>
                  </w:tcBorders>
                  <w:noWrap w:val="0"/>
                  <w:vAlign w:val="center"/>
                </w:tcPr>
                <w:p w14:paraId="1404F5D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378" w:type="pct"/>
                  <w:tcBorders>
                    <w:tl2br w:val="nil"/>
                    <w:tr2bl w:val="nil"/>
                  </w:tcBorders>
                  <w:noWrap w:val="0"/>
                  <w:vAlign w:val="center"/>
                </w:tcPr>
                <w:p w14:paraId="4AEDC93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15.02</w:t>
                  </w:r>
                </w:p>
              </w:tc>
              <w:tc>
                <w:tcPr>
                  <w:tcW w:w="363" w:type="pct"/>
                  <w:tcBorders>
                    <w:tl2br w:val="nil"/>
                    <w:tr2bl w:val="nil"/>
                  </w:tcBorders>
                  <w:noWrap w:val="0"/>
                  <w:vAlign w:val="center"/>
                </w:tcPr>
                <w:p w14:paraId="6F10FA1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2.09</w:t>
                  </w:r>
                </w:p>
              </w:tc>
              <w:tc>
                <w:tcPr>
                  <w:tcW w:w="412" w:type="pct"/>
                  <w:tcBorders>
                    <w:tl2br w:val="nil"/>
                    <w:tr2bl w:val="nil"/>
                  </w:tcBorders>
                  <w:noWrap w:val="0"/>
                  <w:vAlign w:val="center"/>
                </w:tcPr>
                <w:p w14:paraId="6482DD1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2503.3</w:t>
                  </w:r>
                </w:p>
              </w:tc>
              <w:tc>
                <w:tcPr>
                  <w:tcW w:w="526" w:type="pct"/>
                  <w:tcBorders>
                    <w:tl2br w:val="nil"/>
                    <w:tr2bl w:val="nil"/>
                  </w:tcBorders>
                  <w:noWrap w:val="0"/>
                  <w:vAlign w:val="center"/>
                </w:tcPr>
                <w:p w14:paraId="28C95F5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集气罩+袋式除尘器</w:t>
                  </w:r>
                </w:p>
              </w:tc>
              <w:tc>
                <w:tcPr>
                  <w:tcW w:w="306" w:type="pct"/>
                  <w:tcBorders>
                    <w:tl2br w:val="nil"/>
                    <w:tr2bl w:val="nil"/>
                  </w:tcBorders>
                  <w:noWrap w:val="0"/>
                  <w:vAlign w:val="center"/>
                </w:tcPr>
                <w:p w14:paraId="26D4B5E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95</w:t>
                  </w:r>
                </w:p>
              </w:tc>
              <w:tc>
                <w:tcPr>
                  <w:tcW w:w="248" w:type="pct"/>
                  <w:tcBorders>
                    <w:tl2br w:val="nil"/>
                    <w:tr2bl w:val="nil"/>
                  </w:tcBorders>
                  <w:noWrap w:val="0"/>
                  <w:vAlign w:val="center"/>
                </w:tcPr>
                <w:p w14:paraId="04FE468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9</w:t>
                  </w:r>
                  <w:r>
                    <w:rPr>
                      <w:rFonts w:hint="default" w:ascii="Times New Roman" w:hAnsi="Times New Roman" w:eastAsia="宋体" w:cs="Times New Roman"/>
                      <w:color w:val="000000" w:themeColor="text1"/>
                      <w:szCs w:val="21"/>
                      <w:lang w:val="en-US" w:eastAsia="zh-CN"/>
                      <w14:textFill>
                        <w14:solidFill>
                          <w14:schemeClr w14:val="tx1"/>
                        </w14:solidFill>
                      </w14:textFill>
                    </w:rPr>
                    <w:t>9</w:t>
                  </w:r>
                </w:p>
              </w:tc>
              <w:tc>
                <w:tcPr>
                  <w:tcW w:w="149" w:type="pct"/>
                  <w:tcBorders>
                    <w:tl2br w:val="nil"/>
                    <w:tr2bl w:val="nil"/>
                  </w:tcBorders>
                  <w:noWrap w:val="0"/>
                  <w:vAlign w:val="center"/>
                </w:tcPr>
                <w:p w14:paraId="38EAA60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是</w:t>
                  </w:r>
                </w:p>
              </w:tc>
              <w:tc>
                <w:tcPr>
                  <w:tcW w:w="149" w:type="pct"/>
                  <w:tcBorders>
                    <w:tl2br w:val="nil"/>
                    <w:tr2bl w:val="nil"/>
                  </w:tcBorders>
                  <w:noWrap w:val="0"/>
                  <w:vAlign w:val="center"/>
                </w:tcPr>
                <w:p w14:paraId="6B36EF8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有组织</w:t>
                  </w:r>
                </w:p>
              </w:tc>
              <w:tc>
                <w:tcPr>
                  <w:tcW w:w="357" w:type="pct"/>
                  <w:tcBorders>
                    <w:tl2br w:val="nil"/>
                    <w:tr2bl w:val="nil"/>
                  </w:tcBorders>
                  <w:noWrap w:val="0"/>
                  <w:vAlign w:val="center"/>
                </w:tcPr>
                <w:p w14:paraId="6013DB3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25.03</w:t>
                  </w:r>
                </w:p>
              </w:tc>
              <w:tc>
                <w:tcPr>
                  <w:tcW w:w="415" w:type="pct"/>
                  <w:tcBorders>
                    <w:tl2br w:val="nil"/>
                    <w:tr2bl w:val="nil"/>
                  </w:tcBorders>
                  <w:noWrap w:val="0"/>
                  <w:vAlign w:val="center"/>
                </w:tcPr>
                <w:p w14:paraId="1E29677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0.15</w:t>
                  </w:r>
                </w:p>
              </w:tc>
              <w:tc>
                <w:tcPr>
                  <w:tcW w:w="491" w:type="pct"/>
                  <w:tcBorders>
                    <w:tl2br w:val="nil"/>
                    <w:tr2bl w:val="nil"/>
                  </w:tcBorders>
                  <w:noWrap w:val="0"/>
                  <w:vAlign w:val="center"/>
                </w:tcPr>
                <w:p w14:paraId="32A4F5F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0.063</w:t>
                  </w:r>
                </w:p>
              </w:tc>
            </w:tr>
            <w:tr w14:paraId="5A9C32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98" w:hRule="atLeast"/>
                <w:jc w:val="center"/>
              </w:trPr>
              <w:tc>
                <w:tcPr>
                  <w:tcW w:w="613" w:type="pct"/>
                  <w:tcBorders>
                    <w:tl2br w:val="nil"/>
                    <w:tr2bl w:val="nil"/>
                  </w:tcBorders>
                  <w:noWrap w:val="0"/>
                  <w:vAlign w:val="center"/>
                </w:tcPr>
                <w:p w14:paraId="7BA8E4E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8#车间</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卤制过程产生的异味（DA002）</w:t>
                  </w:r>
                </w:p>
              </w:tc>
              <w:tc>
                <w:tcPr>
                  <w:tcW w:w="355" w:type="pct"/>
                  <w:tcBorders>
                    <w:tl2br w:val="nil"/>
                    <w:tr2bl w:val="nil"/>
                  </w:tcBorders>
                  <w:noWrap w:val="0"/>
                  <w:vAlign w:val="center"/>
                </w:tcPr>
                <w:p w14:paraId="579F6EE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5000</w:t>
                  </w:r>
                </w:p>
              </w:tc>
              <w:tc>
                <w:tcPr>
                  <w:tcW w:w="232" w:type="pct"/>
                  <w:tcBorders>
                    <w:tl2br w:val="nil"/>
                    <w:tr2bl w:val="nil"/>
                  </w:tcBorders>
                  <w:noWrap w:val="0"/>
                  <w:vAlign w:val="center"/>
                </w:tcPr>
                <w:p w14:paraId="1D83179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臭气浓度</w:t>
                  </w:r>
                </w:p>
              </w:tc>
              <w:tc>
                <w:tcPr>
                  <w:tcW w:w="378" w:type="pct"/>
                  <w:tcBorders>
                    <w:tl2br w:val="nil"/>
                    <w:tr2bl w:val="nil"/>
                  </w:tcBorders>
                  <w:noWrap w:val="0"/>
                  <w:vAlign w:val="center"/>
                </w:tcPr>
                <w:p w14:paraId="0F92B0F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63" w:type="pct"/>
                  <w:tcBorders>
                    <w:tl2br w:val="nil"/>
                    <w:tr2bl w:val="nil"/>
                  </w:tcBorders>
                  <w:noWrap w:val="0"/>
                  <w:vAlign w:val="center"/>
                </w:tcPr>
                <w:p w14:paraId="313E64E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2" w:type="pct"/>
                  <w:tcBorders>
                    <w:tl2br w:val="nil"/>
                    <w:tr2bl w:val="nil"/>
                  </w:tcBorders>
                  <w:noWrap w:val="0"/>
                  <w:vAlign w:val="center"/>
                </w:tcPr>
                <w:p w14:paraId="12EA192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526" w:type="pct"/>
                  <w:tcBorders>
                    <w:tl2br w:val="nil"/>
                    <w:tr2bl w:val="nil"/>
                  </w:tcBorders>
                  <w:noWrap w:val="0"/>
                  <w:vAlign w:val="center"/>
                </w:tcPr>
                <w:p w14:paraId="2C89DE9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集气罩+活性炭吸附</w:t>
                  </w:r>
                </w:p>
              </w:tc>
              <w:tc>
                <w:tcPr>
                  <w:tcW w:w="306" w:type="pct"/>
                  <w:tcBorders>
                    <w:tl2br w:val="nil"/>
                    <w:tr2bl w:val="nil"/>
                  </w:tcBorders>
                  <w:noWrap w:val="0"/>
                  <w:vAlign w:val="center"/>
                </w:tcPr>
                <w:p w14:paraId="66D15A9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90</w:t>
                  </w:r>
                </w:p>
              </w:tc>
              <w:tc>
                <w:tcPr>
                  <w:tcW w:w="248" w:type="pct"/>
                  <w:tcBorders>
                    <w:tl2br w:val="nil"/>
                    <w:tr2bl w:val="nil"/>
                  </w:tcBorders>
                  <w:noWrap w:val="0"/>
                  <w:vAlign w:val="center"/>
                </w:tcPr>
                <w:p w14:paraId="5F1F132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80</w:t>
                  </w:r>
                </w:p>
              </w:tc>
              <w:tc>
                <w:tcPr>
                  <w:tcW w:w="149" w:type="pct"/>
                  <w:tcBorders>
                    <w:tl2br w:val="nil"/>
                    <w:tr2bl w:val="nil"/>
                  </w:tcBorders>
                  <w:noWrap w:val="0"/>
                  <w:vAlign w:val="center"/>
                </w:tcPr>
                <w:p w14:paraId="391950B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是</w:t>
                  </w:r>
                </w:p>
              </w:tc>
              <w:tc>
                <w:tcPr>
                  <w:tcW w:w="149" w:type="pct"/>
                  <w:tcBorders>
                    <w:tl2br w:val="nil"/>
                    <w:tr2bl w:val="nil"/>
                  </w:tcBorders>
                  <w:noWrap w:val="0"/>
                  <w:vAlign w:val="center"/>
                </w:tcPr>
                <w:p w14:paraId="300D3B4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有组织</w:t>
                  </w:r>
                </w:p>
              </w:tc>
              <w:tc>
                <w:tcPr>
                  <w:tcW w:w="357" w:type="pct"/>
                  <w:tcBorders>
                    <w:tl2br w:val="nil"/>
                    <w:tr2bl w:val="nil"/>
                  </w:tcBorders>
                  <w:noWrap w:val="0"/>
                  <w:vAlign w:val="center"/>
                </w:tcPr>
                <w:p w14:paraId="0357C4B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5" w:type="pct"/>
                  <w:tcBorders>
                    <w:tl2br w:val="nil"/>
                    <w:tr2bl w:val="nil"/>
                  </w:tcBorders>
                  <w:noWrap w:val="0"/>
                  <w:vAlign w:val="center"/>
                </w:tcPr>
                <w:p w14:paraId="5E24A53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91" w:type="pct"/>
                  <w:tcBorders>
                    <w:tl2br w:val="nil"/>
                    <w:tr2bl w:val="nil"/>
                  </w:tcBorders>
                  <w:noWrap w:val="0"/>
                  <w:vAlign w:val="center"/>
                </w:tcPr>
                <w:p w14:paraId="16ABC58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r>
            <w:tr w14:paraId="50F4D6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98" w:hRule="atLeast"/>
                <w:jc w:val="center"/>
              </w:trPr>
              <w:tc>
                <w:tcPr>
                  <w:tcW w:w="613" w:type="pct"/>
                  <w:tcBorders>
                    <w:tl2br w:val="nil"/>
                    <w:tr2bl w:val="nil"/>
                  </w:tcBorders>
                  <w:shd w:val="clear" w:color="auto" w:fill="auto"/>
                  <w:noWrap w:val="0"/>
                  <w:vAlign w:val="center"/>
                </w:tcPr>
                <w:p w14:paraId="2AF6EDB0">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10#车间</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卤制过程产生的异味（DA00</w:t>
                  </w:r>
                  <w:r>
                    <w:rPr>
                      <w:rFonts w:hint="eastAsia" w:ascii="Times New Roman" w:hAnsi="Times New Roman" w:eastAsia="宋体" w:cs="Times New Roman"/>
                      <w:color w:val="000000" w:themeColor="text1"/>
                      <w:szCs w:val="21"/>
                      <w:lang w:val="en-US" w:eastAsia="zh-CN"/>
                      <w14:textFill>
                        <w14:solidFill>
                          <w14:schemeClr w14:val="tx1"/>
                        </w14:solidFill>
                      </w14:textFill>
                    </w:rPr>
                    <w:t>3</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355" w:type="pct"/>
                  <w:tcBorders>
                    <w:tl2br w:val="nil"/>
                    <w:tr2bl w:val="nil"/>
                  </w:tcBorders>
                  <w:shd w:val="clear" w:color="auto" w:fill="auto"/>
                  <w:noWrap w:val="0"/>
                  <w:vAlign w:val="center"/>
                </w:tcPr>
                <w:p w14:paraId="30538A1A">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5000</w:t>
                  </w:r>
                </w:p>
              </w:tc>
              <w:tc>
                <w:tcPr>
                  <w:tcW w:w="232" w:type="pct"/>
                  <w:tcBorders>
                    <w:tl2br w:val="nil"/>
                    <w:tr2bl w:val="nil"/>
                  </w:tcBorders>
                  <w:shd w:val="clear" w:color="auto" w:fill="auto"/>
                  <w:noWrap w:val="0"/>
                  <w:vAlign w:val="center"/>
                </w:tcPr>
                <w:p w14:paraId="49D34359">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臭气浓度</w:t>
                  </w:r>
                </w:p>
              </w:tc>
              <w:tc>
                <w:tcPr>
                  <w:tcW w:w="378" w:type="pct"/>
                  <w:tcBorders>
                    <w:tl2br w:val="nil"/>
                    <w:tr2bl w:val="nil"/>
                  </w:tcBorders>
                  <w:shd w:val="clear" w:color="auto" w:fill="auto"/>
                  <w:noWrap w:val="0"/>
                  <w:vAlign w:val="center"/>
                </w:tcPr>
                <w:p w14:paraId="0CECABAB">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63" w:type="pct"/>
                  <w:tcBorders>
                    <w:tl2br w:val="nil"/>
                    <w:tr2bl w:val="nil"/>
                  </w:tcBorders>
                  <w:shd w:val="clear" w:color="auto" w:fill="auto"/>
                  <w:noWrap w:val="0"/>
                  <w:vAlign w:val="center"/>
                </w:tcPr>
                <w:p w14:paraId="1356021F">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2" w:type="pct"/>
                  <w:tcBorders>
                    <w:tl2br w:val="nil"/>
                    <w:tr2bl w:val="nil"/>
                  </w:tcBorders>
                  <w:shd w:val="clear" w:color="auto" w:fill="auto"/>
                  <w:noWrap w:val="0"/>
                  <w:vAlign w:val="center"/>
                </w:tcPr>
                <w:p w14:paraId="332199F3">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526" w:type="pct"/>
                  <w:tcBorders>
                    <w:tl2br w:val="nil"/>
                    <w:tr2bl w:val="nil"/>
                  </w:tcBorders>
                  <w:shd w:val="clear" w:color="auto" w:fill="auto"/>
                  <w:noWrap w:val="0"/>
                  <w:vAlign w:val="center"/>
                </w:tcPr>
                <w:p w14:paraId="7FF5DD70">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集气罩+活性炭吸附</w:t>
                  </w:r>
                </w:p>
              </w:tc>
              <w:tc>
                <w:tcPr>
                  <w:tcW w:w="306" w:type="pct"/>
                  <w:tcBorders>
                    <w:tl2br w:val="nil"/>
                    <w:tr2bl w:val="nil"/>
                  </w:tcBorders>
                  <w:shd w:val="clear" w:color="auto" w:fill="auto"/>
                  <w:noWrap w:val="0"/>
                  <w:vAlign w:val="center"/>
                </w:tcPr>
                <w:p w14:paraId="0C2D2A8B">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90</w:t>
                  </w:r>
                </w:p>
              </w:tc>
              <w:tc>
                <w:tcPr>
                  <w:tcW w:w="248" w:type="pct"/>
                  <w:tcBorders>
                    <w:tl2br w:val="nil"/>
                    <w:tr2bl w:val="nil"/>
                  </w:tcBorders>
                  <w:shd w:val="clear" w:color="auto" w:fill="auto"/>
                  <w:noWrap w:val="0"/>
                  <w:vAlign w:val="center"/>
                </w:tcPr>
                <w:p w14:paraId="5ADBFC3A">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80</w:t>
                  </w:r>
                </w:p>
              </w:tc>
              <w:tc>
                <w:tcPr>
                  <w:tcW w:w="149" w:type="pct"/>
                  <w:tcBorders>
                    <w:tl2br w:val="nil"/>
                    <w:tr2bl w:val="nil"/>
                  </w:tcBorders>
                  <w:shd w:val="clear" w:color="auto" w:fill="auto"/>
                  <w:noWrap w:val="0"/>
                  <w:vAlign w:val="center"/>
                </w:tcPr>
                <w:p w14:paraId="794AE591">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是</w:t>
                  </w:r>
                </w:p>
              </w:tc>
              <w:tc>
                <w:tcPr>
                  <w:tcW w:w="149" w:type="pct"/>
                  <w:tcBorders>
                    <w:tl2br w:val="nil"/>
                    <w:tr2bl w:val="nil"/>
                  </w:tcBorders>
                  <w:shd w:val="clear" w:color="auto" w:fill="auto"/>
                  <w:noWrap w:val="0"/>
                  <w:vAlign w:val="center"/>
                </w:tcPr>
                <w:p w14:paraId="7149D2F7">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有组织</w:t>
                  </w:r>
                </w:p>
              </w:tc>
              <w:tc>
                <w:tcPr>
                  <w:tcW w:w="357" w:type="pct"/>
                  <w:tcBorders>
                    <w:tl2br w:val="nil"/>
                    <w:tr2bl w:val="nil"/>
                  </w:tcBorders>
                  <w:shd w:val="clear" w:color="auto" w:fill="auto"/>
                  <w:noWrap w:val="0"/>
                  <w:vAlign w:val="center"/>
                </w:tcPr>
                <w:p w14:paraId="421D1BBA">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5" w:type="pct"/>
                  <w:tcBorders>
                    <w:tl2br w:val="nil"/>
                    <w:tr2bl w:val="nil"/>
                  </w:tcBorders>
                  <w:shd w:val="clear" w:color="auto" w:fill="auto"/>
                  <w:noWrap w:val="0"/>
                  <w:vAlign w:val="center"/>
                </w:tcPr>
                <w:p w14:paraId="58FE87A6">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91" w:type="pct"/>
                  <w:tcBorders>
                    <w:tl2br w:val="nil"/>
                    <w:tr2bl w:val="nil"/>
                  </w:tcBorders>
                  <w:shd w:val="clear" w:color="auto" w:fill="auto"/>
                  <w:noWrap w:val="0"/>
                  <w:vAlign w:val="center"/>
                </w:tcPr>
                <w:p w14:paraId="18E425ED">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r>
            <w:tr w14:paraId="27D4FE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restart"/>
                  <w:tcBorders>
                    <w:tl2br w:val="nil"/>
                    <w:tr2bl w:val="nil"/>
                  </w:tcBorders>
                  <w:noWrap w:val="0"/>
                  <w:vAlign w:val="center"/>
                </w:tcPr>
                <w:p w14:paraId="1519DD8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3#烤箱烘干天然气</w:t>
                  </w:r>
                  <w:r>
                    <w:rPr>
                      <w:rFonts w:hint="default" w:ascii="Times New Roman" w:hAnsi="Times New Roman" w:eastAsia="宋体" w:cs="Times New Roman"/>
                      <w:color w:val="000000" w:themeColor="text1"/>
                      <w:szCs w:val="21"/>
                      <w:lang w:val="en-US" w:eastAsia="zh-CN"/>
                      <w14:textFill>
                        <w14:solidFill>
                          <w14:schemeClr w14:val="tx1"/>
                        </w14:solidFill>
                      </w14:textFill>
                    </w:rPr>
                    <w:t>燃烧废气（DA00</w:t>
                  </w:r>
                  <w:r>
                    <w:rPr>
                      <w:rFonts w:hint="eastAsia" w:ascii="Times New Roman" w:hAnsi="Times New Roman" w:eastAsia="宋体" w:cs="Times New Roman"/>
                      <w:color w:val="000000" w:themeColor="text1"/>
                      <w:szCs w:val="21"/>
                      <w:lang w:val="en-US" w:eastAsia="zh-CN"/>
                      <w14:textFill>
                        <w14:solidFill>
                          <w14:schemeClr w14:val="tx1"/>
                        </w14:solidFill>
                      </w14:textFill>
                    </w:rPr>
                    <w:t>4</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355" w:type="pct"/>
                  <w:vMerge w:val="restart"/>
                  <w:tcBorders>
                    <w:tl2br w:val="nil"/>
                    <w:tr2bl w:val="nil"/>
                  </w:tcBorders>
                  <w:noWrap w:val="0"/>
                  <w:vAlign w:val="center"/>
                </w:tcPr>
                <w:p w14:paraId="3B1B812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566.67</w:t>
                  </w:r>
                </w:p>
              </w:tc>
              <w:tc>
                <w:tcPr>
                  <w:tcW w:w="232" w:type="pct"/>
                  <w:tcBorders>
                    <w:tl2br w:val="nil"/>
                    <w:tr2bl w:val="nil"/>
                  </w:tcBorders>
                  <w:noWrap w:val="0"/>
                  <w:vAlign w:val="center"/>
                </w:tcPr>
                <w:p w14:paraId="4FF104A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378" w:type="pct"/>
                  <w:tcBorders>
                    <w:tl2br w:val="nil"/>
                    <w:tr2bl w:val="nil"/>
                  </w:tcBorders>
                  <w:noWrap w:val="0"/>
                  <w:vAlign w:val="center"/>
                </w:tcPr>
                <w:p w14:paraId="4B1456C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0.0286</w:t>
                  </w:r>
                </w:p>
              </w:tc>
              <w:tc>
                <w:tcPr>
                  <w:tcW w:w="363" w:type="pct"/>
                  <w:tcBorders>
                    <w:tl2br w:val="nil"/>
                    <w:tr2bl w:val="nil"/>
                  </w:tcBorders>
                  <w:noWrap w:val="0"/>
                  <w:vAlign w:val="center"/>
                </w:tcPr>
                <w:p w14:paraId="18026F3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0.012</w:t>
                  </w:r>
                </w:p>
              </w:tc>
              <w:tc>
                <w:tcPr>
                  <w:tcW w:w="412" w:type="pct"/>
                  <w:tcBorders>
                    <w:tl2br w:val="nil"/>
                    <w:tr2bl w:val="nil"/>
                  </w:tcBorders>
                  <w:noWrap w:val="0"/>
                  <w:vAlign w:val="center"/>
                </w:tcPr>
                <w:p w14:paraId="71DB251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21.03</w:t>
                  </w:r>
                </w:p>
              </w:tc>
              <w:tc>
                <w:tcPr>
                  <w:tcW w:w="526" w:type="pct"/>
                  <w:vMerge w:val="restart"/>
                  <w:tcBorders>
                    <w:tl2br w:val="nil"/>
                    <w:tr2bl w:val="nil"/>
                  </w:tcBorders>
                  <w:noWrap w:val="0"/>
                  <w:vAlign w:val="center"/>
                </w:tcPr>
                <w:p w14:paraId="2911DE2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清洁能源天然气</w:t>
                  </w:r>
                </w:p>
              </w:tc>
              <w:tc>
                <w:tcPr>
                  <w:tcW w:w="306" w:type="pct"/>
                  <w:vMerge w:val="restart"/>
                  <w:tcBorders>
                    <w:tl2br w:val="nil"/>
                    <w:tr2bl w:val="nil"/>
                  </w:tcBorders>
                  <w:noWrap w:val="0"/>
                  <w:vAlign w:val="center"/>
                </w:tcPr>
                <w:p w14:paraId="26C15C8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100</w:t>
                  </w:r>
                </w:p>
              </w:tc>
              <w:tc>
                <w:tcPr>
                  <w:tcW w:w="248" w:type="pct"/>
                  <w:tcBorders>
                    <w:tl2br w:val="nil"/>
                    <w:tr2bl w:val="nil"/>
                  </w:tcBorders>
                  <w:noWrap w:val="0"/>
                  <w:vAlign w:val="center"/>
                </w:tcPr>
                <w:p w14:paraId="0456607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restart"/>
                  <w:tcBorders>
                    <w:tl2br w:val="nil"/>
                    <w:tr2bl w:val="nil"/>
                  </w:tcBorders>
                  <w:noWrap w:val="0"/>
                  <w:vAlign w:val="center"/>
                </w:tcPr>
                <w:p w14:paraId="3DD310F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是</w:t>
                  </w:r>
                </w:p>
              </w:tc>
              <w:tc>
                <w:tcPr>
                  <w:tcW w:w="149" w:type="pct"/>
                  <w:vMerge w:val="restart"/>
                  <w:tcBorders>
                    <w:tl2br w:val="nil"/>
                    <w:tr2bl w:val="nil"/>
                  </w:tcBorders>
                  <w:noWrap w:val="0"/>
                  <w:vAlign w:val="center"/>
                </w:tcPr>
                <w:p w14:paraId="4279FEA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有组织</w:t>
                  </w:r>
                </w:p>
              </w:tc>
              <w:tc>
                <w:tcPr>
                  <w:tcW w:w="357" w:type="pct"/>
                  <w:tcBorders>
                    <w:tl2br w:val="nil"/>
                    <w:tr2bl w:val="nil"/>
                  </w:tcBorders>
                  <w:noWrap w:val="0"/>
                  <w:vAlign w:val="center"/>
                </w:tcPr>
                <w:p w14:paraId="70BBDB6F">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21.03</w:t>
                  </w:r>
                </w:p>
              </w:tc>
              <w:tc>
                <w:tcPr>
                  <w:tcW w:w="415" w:type="pct"/>
                  <w:tcBorders>
                    <w:tl2br w:val="nil"/>
                    <w:tr2bl w:val="nil"/>
                  </w:tcBorders>
                  <w:noWrap w:val="0"/>
                  <w:vAlign w:val="center"/>
                </w:tcPr>
                <w:p w14:paraId="30F9E82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0.0286</w:t>
                  </w:r>
                </w:p>
              </w:tc>
              <w:tc>
                <w:tcPr>
                  <w:tcW w:w="491" w:type="pct"/>
                  <w:tcBorders>
                    <w:tl2br w:val="nil"/>
                    <w:tr2bl w:val="nil"/>
                  </w:tcBorders>
                  <w:noWrap w:val="0"/>
                  <w:vAlign w:val="center"/>
                </w:tcPr>
                <w:p w14:paraId="679147C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0.012</w:t>
                  </w:r>
                </w:p>
              </w:tc>
            </w:tr>
            <w:tr w14:paraId="7056C8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321A5C0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7A35A73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noWrap w:val="0"/>
                  <w:vAlign w:val="center"/>
                </w:tcPr>
                <w:p w14:paraId="23B3E31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二氧化硫</w:t>
                  </w:r>
                </w:p>
              </w:tc>
              <w:tc>
                <w:tcPr>
                  <w:tcW w:w="378" w:type="pct"/>
                  <w:tcBorders>
                    <w:tl2br w:val="nil"/>
                    <w:tr2bl w:val="nil"/>
                  </w:tcBorders>
                  <w:noWrap w:val="0"/>
                  <w:vAlign w:val="center"/>
                </w:tcPr>
                <w:p w14:paraId="672AFCF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0.004</w:t>
                  </w:r>
                </w:p>
              </w:tc>
              <w:tc>
                <w:tcPr>
                  <w:tcW w:w="363" w:type="pct"/>
                  <w:tcBorders>
                    <w:tl2br w:val="nil"/>
                    <w:tr2bl w:val="nil"/>
                  </w:tcBorders>
                  <w:noWrap w:val="0"/>
                  <w:vAlign w:val="center"/>
                </w:tcPr>
                <w:p w14:paraId="1A3F6005">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0.0017</w:t>
                  </w:r>
                </w:p>
              </w:tc>
              <w:tc>
                <w:tcPr>
                  <w:tcW w:w="412" w:type="pct"/>
                  <w:tcBorders>
                    <w:tl2br w:val="nil"/>
                    <w:tr2bl w:val="nil"/>
                  </w:tcBorders>
                  <w:noWrap w:val="0"/>
                  <w:vAlign w:val="center"/>
                </w:tcPr>
                <w:p w14:paraId="03A9527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2.94</w:t>
                  </w:r>
                </w:p>
              </w:tc>
              <w:tc>
                <w:tcPr>
                  <w:tcW w:w="526" w:type="pct"/>
                  <w:vMerge w:val="continue"/>
                  <w:tcBorders>
                    <w:tl2br w:val="nil"/>
                    <w:tr2bl w:val="nil"/>
                  </w:tcBorders>
                  <w:noWrap w:val="0"/>
                  <w:vAlign w:val="center"/>
                </w:tcPr>
                <w:p w14:paraId="463B861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vMerge w:val="continue"/>
                  <w:tcBorders>
                    <w:tl2br w:val="nil"/>
                    <w:tr2bl w:val="nil"/>
                  </w:tcBorders>
                  <w:noWrap w:val="0"/>
                  <w:vAlign w:val="center"/>
                </w:tcPr>
                <w:p w14:paraId="15BEF73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tcBorders>
                    <w:tl2br w:val="nil"/>
                    <w:tr2bl w:val="nil"/>
                  </w:tcBorders>
                  <w:noWrap w:val="0"/>
                  <w:vAlign w:val="center"/>
                </w:tcPr>
                <w:p w14:paraId="0D9F7C1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7D22BE6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27DD16A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7F0265C9">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2.94</w:t>
                  </w:r>
                </w:p>
              </w:tc>
              <w:tc>
                <w:tcPr>
                  <w:tcW w:w="415" w:type="pct"/>
                  <w:tcBorders>
                    <w:tl2br w:val="nil"/>
                    <w:tr2bl w:val="nil"/>
                  </w:tcBorders>
                  <w:noWrap w:val="0"/>
                  <w:vAlign w:val="center"/>
                </w:tcPr>
                <w:p w14:paraId="64F8780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0.004</w:t>
                  </w:r>
                </w:p>
              </w:tc>
              <w:tc>
                <w:tcPr>
                  <w:tcW w:w="491" w:type="pct"/>
                  <w:tcBorders>
                    <w:tl2br w:val="nil"/>
                    <w:tr2bl w:val="nil"/>
                  </w:tcBorders>
                  <w:noWrap w:val="0"/>
                  <w:vAlign w:val="center"/>
                </w:tcPr>
                <w:p w14:paraId="5C1A1B4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0.0017</w:t>
                  </w:r>
                </w:p>
              </w:tc>
            </w:tr>
            <w:tr w14:paraId="52D736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5EA36D6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61A0DD1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noWrap w:val="0"/>
                  <w:vAlign w:val="center"/>
                </w:tcPr>
                <w:p w14:paraId="4E749BB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氮氧化物</w:t>
                  </w:r>
                </w:p>
              </w:tc>
              <w:tc>
                <w:tcPr>
                  <w:tcW w:w="378" w:type="pct"/>
                  <w:tcBorders>
                    <w:tl2br w:val="nil"/>
                    <w:tr2bl w:val="nil"/>
                  </w:tcBorders>
                  <w:noWrap w:val="0"/>
                  <w:vAlign w:val="center"/>
                </w:tcPr>
                <w:p w14:paraId="0B23B8D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0.187</w:t>
                  </w:r>
                </w:p>
              </w:tc>
              <w:tc>
                <w:tcPr>
                  <w:tcW w:w="363" w:type="pct"/>
                  <w:tcBorders>
                    <w:tl2br w:val="nil"/>
                    <w:tr2bl w:val="nil"/>
                  </w:tcBorders>
                  <w:noWrap w:val="0"/>
                  <w:vAlign w:val="center"/>
                </w:tcPr>
                <w:p w14:paraId="4A80179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0.078</w:t>
                  </w:r>
                </w:p>
              </w:tc>
              <w:tc>
                <w:tcPr>
                  <w:tcW w:w="412" w:type="pct"/>
                  <w:tcBorders>
                    <w:tl2br w:val="nil"/>
                    <w:tr2bl w:val="nil"/>
                  </w:tcBorders>
                  <w:noWrap w:val="0"/>
                  <w:vAlign w:val="center"/>
                </w:tcPr>
                <w:p w14:paraId="562B4E2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137.5</w:t>
                  </w:r>
                </w:p>
              </w:tc>
              <w:tc>
                <w:tcPr>
                  <w:tcW w:w="526" w:type="pct"/>
                  <w:vMerge w:val="continue"/>
                  <w:tcBorders>
                    <w:tl2br w:val="nil"/>
                    <w:tr2bl w:val="nil"/>
                  </w:tcBorders>
                  <w:noWrap w:val="0"/>
                  <w:vAlign w:val="center"/>
                </w:tcPr>
                <w:p w14:paraId="2254EFA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vMerge w:val="continue"/>
                  <w:tcBorders>
                    <w:tl2br w:val="nil"/>
                    <w:tr2bl w:val="nil"/>
                  </w:tcBorders>
                  <w:noWrap w:val="0"/>
                  <w:vAlign w:val="center"/>
                </w:tcPr>
                <w:p w14:paraId="33AB668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tcBorders>
                    <w:tl2br w:val="nil"/>
                    <w:tr2bl w:val="nil"/>
                  </w:tcBorders>
                  <w:noWrap w:val="0"/>
                  <w:vAlign w:val="center"/>
                </w:tcPr>
                <w:p w14:paraId="41C2EBE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7BA4473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6178500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1461378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137.5</w:t>
                  </w:r>
                </w:p>
              </w:tc>
              <w:tc>
                <w:tcPr>
                  <w:tcW w:w="415" w:type="pct"/>
                  <w:tcBorders>
                    <w:tl2br w:val="nil"/>
                    <w:tr2bl w:val="nil"/>
                  </w:tcBorders>
                  <w:noWrap w:val="0"/>
                  <w:vAlign w:val="center"/>
                </w:tcPr>
                <w:p w14:paraId="20547C0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0.187</w:t>
                  </w:r>
                </w:p>
              </w:tc>
              <w:tc>
                <w:tcPr>
                  <w:tcW w:w="491" w:type="pct"/>
                  <w:tcBorders>
                    <w:tl2br w:val="nil"/>
                    <w:tr2bl w:val="nil"/>
                  </w:tcBorders>
                  <w:noWrap w:val="0"/>
                  <w:vAlign w:val="center"/>
                </w:tcPr>
                <w:p w14:paraId="712132D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0.078</w:t>
                  </w:r>
                </w:p>
              </w:tc>
            </w:tr>
            <w:tr w14:paraId="002ECE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restart"/>
                  <w:tcBorders>
                    <w:tl2br w:val="nil"/>
                    <w:tr2bl w:val="nil"/>
                  </w:tcBorders>
                  <w:noWrap w:val="0"/>
                  <w:vAlign w:val="center"/>
                </w:tcPr>
                <w:p w14:paraId="7A451F7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355" w:type="pct"/>
                  <w:vMerge w:val="restart"/>
                  <w:tcBorders>
                    <w:tl2br w:val="nil"/>
                    <w:tr2bl w:val="nil"/>
                  </w:tcBorders>
                  <w:noWrap w:val="0"/>
                  <w:vAlign w:val="center"/>
                </w:tcPr>
                <w:p w14:paraId="76B1949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377.14</w:t>
                  </w:r>
                </w:p>
              </w:tc>
              <w:tc>
                <w:tcPr>
                  <w:tcW w:w="232" w:type="pct"/>
                  <w:tcBorders>
                    <w:tl2br w:val="nil"/>
                    <w:tr2bl w:val="nil"/>
                  </w:tcBorders>
                  <w:noWrap w:val="0"/>
                  <w:vAlign w:val="center"/>
                </w:tcPr>
                <w:p w14:paraId="2FD2A98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378" w:type="pct"/>
                  <w:tcBorders>
                    <w:tl2br w:val="nil"/>
                    <w:tr2bl w:val="nil"/>
                  </w:tcBorders>
                  <w:noWrap w:val="0"/>
                  <w:vAlign w:val="center"/>
                </w:tcPr>
                <w:p w14:paraId="15A586D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0.00378</w:t>
                  </w:r>
                </w:p>
              </w:tc>
              <w:tc>
                <w:tcPr>
                  <w:tcW w:w="363" w:type="pct"/>
                  <w:tcBorders>
                    <w:tl2br w:val="nil"/>
                    <w:tr2bl w:val="nil"/>
                  </w:tcBorders>
                  <w:noWrap w:val="0"/>
                  <w:vAlign w:val="center"/>
                </w:tcPr>
                <w:p w14:paraId="7C8BFBA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0.016</w:t>
                  </w:r>
                </w:p>
              </w:tc>
              <w:tc>
                <w:tcPr>
                  <w:tcW w:w="412" w:type="pct"/>
                  <w:tcBorders>
                    <w:tl2br w:val="nil"/>
                    <w:tr2bl w:val="nil"/>
                  </w:tcBorders>
                  <w:noWrap w:val="0"/>
                  <w:vAlign w:val="center"/>
                </w:tcPr>
                <w:p w14:paraId="1892CEB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4.18</w:t>
                  </w:r>
                </w:p>
              </w:tc>
              <w:tc>
                <w:tcPr>
                  <w:tcW w:w="526" w:type="pct"/>
                  <w:vMerge w:val="restart"/>
                  <w:tcBorders>
                    <w:tl2br w:val="nil"/>
                    <w:tr2bl w:val="nil"/>
                  </w:tcBorders>
                  <w:noWrap w:val="0"/>
                  <w:vAlign w:val="center"/>
                </w:tcPr>
                <w:p w14:paraId="27FB603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清洁能源天然气+低氮燃烧</w:t>
                  </w:r>
                </w:p>
              </w:tc>
              <w:tc>
                <w:tcPr>
                  <w:tcW w:w="306" w:type="pct"/>
                  <w:vMerge w:val="restart"/>
                  <w:tcBorders>
                    <w:tl2br w:val="nil"/>
                    <w:tr2bl w:val="nil"/>
                  </w:tcBorders>
                  <w:shd w:val="clear" w:color="auto" w:fill="auto"/>
                  <w:noWrap w:val="0"/>
                  <w:vAlign w:val="center"/>
                </w:tcPr>
                <w:p w14:paraId="6095A1A7">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100</w:t>
                  </w:r>
                </w:p>
              </w:tc>
              <w:tc>
                <w:tcPr>
                  <w:tcW w:w="248" w:type="pct"/>
                  <w:tcBorders>
                    <w:tl2br w:val="nil"/>
                    <w:tr2bl w:val="nil"/>
                  </w:tcBorders>
                  <w:noWrap w:val="0"/>
                  <w:vAlign w:val="center"/>
                </w:tcPr>
                <w:p w14:paraId="185B4EB9">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49" w:type="pct"/>
                  <w:vMerge w:val="restart"/>
                  <w:tcBorders>
                    <w:tl2br w:val="nil"/>
                    <w:tr2bl w:val="nil"/>
                  </w:tcBorders>
                  <w:noWrap w:val="0"/>
                  <w:vAlign w:val="center"/>
                </w:tcPr>
                <w:p w14:paraId="3841EBE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是</w:t>
                  </w:r>
                </w:p>
              </w:tc>
              <w:tc>
                <w:tcPr>
                  <w:tcW w:w="149" w:type="pct"/>
                  <w:vMerge w:val="restart"/>
                  <w:tcBorders>
                    <w:tl2br w:val="nil"/>
                    <w:tr2bl w:val="nil"/>
                  </w:tcBorders>
                  <w:noWrap w:val="0"/>
                  <w:vAlign w:val="center"/>
                </w:tcPr>
                <w:p w14:paraId="5F0B079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有组织</w:t>
                  </w:r>
                </w:p>
              </w:tc>
              <w:tc>
                <w:tcPr>
                  <w:tcW w:w="357" w:type="pct"/>
                  <w:tcBorders>
                    <w:tl2br w:val="nil"/>
                    <w:tr2bl w:val="nil"/>
                  </w:tcBorders>
                  <w:noWrap w:val="0"/>
                  <w:vAlign w:val="center"/>
                </w:tcPr>
                <w:p w14:paraId="39E5ACB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4.18</w:t>
                  </w:r>
                </w:p>
              </w:tc>
              <w:tc>
                <w:tcPr>
                  <w:tcW w:w="415" w:type="pct"/>
                  <w:tcBorders>
                    <w:tl2br w:val="nil"/>
                    <w:tr2bl w:val="nil"/>
                  </w:tcBorders>
                  <w:noWrap w:val="0"/>
                  <w:vAlign w:val="center"/>
                </w:tcPr>
                <w:p w14:paraId="1D128BA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0.00378</w:t>
                  </w:r>
                </w:p>
              </w:tc>
              <w:tc>
                <w:tcPr>
                  <w:tcW w:w="491" w:type="pct"/>
                  <w:tcBorders>
                    <w:tl2br w:val="nil"/>
                    <w:tr2bl w:val="nil"/>
                  </w:tcBorders>
                  <w:noWrap w:val="0"/>
                  <w:vAlign w:val="center"/>
                </w:tcPr>
                <w:p w14:paraId="54CF81C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0.016</w:t>
                  </w:r>
                </w:p>
              </w:tc>
            </w:tr>
            <w:tr w14:paraId="1501A4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6D8FA9C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16565A8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noWrap w:val="0"/>
                  <w:vAlign w:val="center"/>
                </w:tcPr>
                <w:p w14:paraId="3B4025C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二氧化硫</w:t>
                  </w:r>
                </w:p>
              </w:tc>
              <w:tc>
                <w:tcPr>
                  <w:tcW w:w="378" w:type="pct"/>
                  <w:tcBorders>
                    <w:tl2br w:val="nil"/>
                    <w:tr2bl w:val="nil"/>
                  </w:tcBorders>
                  <w:noWrap w:val="0"/>
                  <w:vAlign w:val="center"/>
                </w:tcPr>
                <w:p w14:paraId="1DC18CD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0.00336</w:t>
                  </w:r>
                </w:p>
              </w:tc>
              <w:tc>
                <w:tcPr>
                  <w:tcW w:w="363" w:type="pct"/>
                  <w:tcBorders>
                    <w:tl2br w:val="nil"/>
                    <w:tr2bl w:val="nil"/>
                  </w:tcBorders>
                  <w:noWrap w:val="0"/>
                  <w:vAlign w:val="center"/>
                </w:tcPr>
                <w:p w14:paraId="2CE6908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0.0014</w:t>
                  </w:r>
                </w:p>
              </w:tc>
              <w:tc>
                <w:tcPr>
                  <w:tcW w:w="412" w:type="pct"/>
                  <w:tcBorders>
                    <w:tl2br w:val="nil"/>
                    <w:tr2bl w:val="nil"/>
                  </w:tcBorders>
                  <w:noWrap w:val="0"/>
                  <w:vAlign w:val="center"/>
                </w:tcPr>
                <w:p w14:paraId="3B26263E">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3.71</w:t>
                  </w:r>
                </w:p>
              </w:tc>
              <w:tc>
                <w:tcPr>
                  <w:tcW w:w="526" w:type="pct"/>
                  <w:vMerge w:val="continue"/>
                  <w:tcBorders>
                    <w:tl2br w:val="nil"/>
                    <w:tr2bl w:val="nil"/>
                  </w:tcBorders>
                  <w:noWrap w:val="0"/>
                  <w:vAlign w:val="center"/>
                </w:tcPr>
                <w:p w14:paraId="372E86E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306" w:type="pct"/>
                  <w:vMerge w:val="continue"/>
                  <w:tcBorders>
                    <w:tl2br w:val="nil"/>
                    <w:tr2bl w:val="nil"/>
                  </w:tcBorders>
                  <w:noWrap w:val="0"/>
                  <w:vAlign w:val="center"/>
                </w:tcPr>
                <w:p w14:paraId="4D41E5F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tcBorders>
                    <w:tl2br w:val="nil"/>
                    <w:tr2bl w:val="nil"/>
                  </w:tcBorders>
                  <w:noWrap w:val="0"/>
                  <w:vAlign w:val="center"/>
                </w:tcPr>
                <w:p w14:paraId="3A5590B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7CD20F8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149" w:type="pct"/>
                  <w:vMerge w:val="continue"/>
                  <w:tcBorders>
                    <w:tl2br w:val="nil"/>
                    <w:tr2bl w:val="nil"/>
                  </w:tcBorders>
                  <w:noWrap w:val="0"/>
                  <w:vAlign w:val="center"/>
                </w:tcPr>
                <w:p w14:paraId="581FA08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357" w:type="pct"/>
                  <w:tcBorders>
                    <w:tl2br w:val="nil"/>
                    <w:tr2bl w:val="nil"/>
                  </w:tcBorders>
                  <w:noWrap w:val="0"/>
                  <w:vAlign w:val="center"/>
                </w:tcPr>
                <w:p w14:paraId="25CDAB3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3.71</w:t>
                  </w:r>
                </w:p>
              </w:tc>
              <w:tc>
                <w:tcPr>
                  <w:tcW w:w="415" w:type="pct"/>
                  <w:tcBorders>
                    <w:tl2br w:val="nil"/>
                    <w:tr2bl w:val="nil"/>
                  </w:tcBorders>
                  <w:noWrap w:val="0"/>
                  <w:vAlign w:val="center"/>
                </w:tcPr>
                <w:p w14:paraId="552F230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0.00336</w:t>
                  </w:r>
                </w:p>
              </w:tc>
              <w:tc>
                <w:tcPr>
                  <w:tcW w:w="491" w:type="pct"/>
                  <w:tcBorders>
                    <w:tl2br w:val="nil"/>
                    <w:tr2bl w:val="nil"/>
                  </w:tcBorders>
                  <w:noWrap w:val="0"/>
                  <w:vAlign w:val="center"/>
                </w:tcPr>
                <w:p w14:paraId="7A73FB7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r>
            <w:tr w14:paraId="7635B4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7780B62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733EC97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noWrap w:val="0"/>
                  <w:vAlign w:val="center"/>
                </w:tcPr>
                <w:p w14:paraId="2B6E5FA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氮氧化物</w:t>
                  </w:r>
                </w:p>
              </w:tc>
              <w:tc>
                <w:tcPr>
                  <w:tcW w:w="378" w:type="pct"/>
                  <w:tcBorders>
                    <w:tl2br w:val="nil"/>
                    <w:tr2bl w:val="nil"/>
                  </w:tcBorders>
                  <w:noWrap w:val="0"/>
                  <w:vAlign w:val="center"/>
                </w:tcPr>
                <w:p w14:paraId="640970A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0.025</w:t>
                  </w:r>
                </w:p>
              </w:tc>
              <w:tc>
                <w:tcPr>
                  <w:tcW w:w="363" w:type="pct"/>
                  <w:tcBorders>
                    <w:tl2br w:val="nil"/>
                    <w:tr2bl w:val="nil"/>
                  </w:tcBorders>
                  <w:noWrap w:val="0"/>
                  <w:vAlign w:val="center"/>
                </w:tcPr>
                <w:p w14:paraId="2F159855">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0.011</w:t>
                  </w:r>
                </w:p>
              </w:tc>
              <w:tc>
                <w:tcPr>
                  <w:tcW w:w="412" w:type="pct"/>
                  <w:tcBorders>
                    <w:tl2br w:val="nil"/>
                    <w:tr2bl w:val="nil"/>
                  </w:tcBorders>
                  <w:noWrap w:val="0"/>
                  <w:vAlign w:val="center"/>
                </w:tcPr>
                <w:p w14:paraId="4783189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27.62</w:t>
                  </w:r>
                </w:p>
              </w:tc>
              <w:tc>
                <w:tcPr>
                  <w:tcW w:w="526" w:type="pct"/>
                  <w:vMerge w:val="continue"/>
                  <w:tcBorders>
                    <w:tl2br w:val="nil"/>
                    <w:tr2bl w:val="nil"/>
                  </w:tcBorders>
                  <w:noWrap w:val="0"/>
                  <w:vAlign w:val="center"/>
                </w:tcPr>
                <w:p w14:paraId="1112C3A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vMerge w:val="continue"/>
                  <w:tcBorders>
                    <w:tl2br w:val="nil"/>
                    <w:tr2bl w:val="nil"/>
                  </w:tcBorders>
                  <w:noWrap w:val="0"/>
                  <w:vAlign w:val="center"/>
                </w:tcPr>
                <w:p w14:paraId="0E03A5F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tcBorders>
                    <w:tl2br w:val="nil"/>
                    <w:tr2bl w:val="nil"/>
                  </w:tcBorders>
                  <w:noWrap w:val="0"/>
                  <w:vAlign w:val="center"/>
                </w:tcPr>
                <w:p w14:paraId="0E0862C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74B0416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38244F9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50BC885F">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27.62</w:t>
                  </w:r>
                </w:p>
              </w:tc>
              <w:tc>
                <w:tcPr>
                  <w:tcW w:w="415" w:type="pct"/>
                  <w:tcBorders>
                    <w:tl2br w:val="nil"/>
                    <w:tr2bl w:val="nil"/>
                  </w:tcBorders>
                  <w:noWrap w:val="0"/>
                  <w:vAlign w:val="center"/>
                </w:tcPr>
                <w:p w14:paraId="15309A5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0.025</w:t>
                  </w:r>
                </w:p>
              </w:tc>
              <w:tc>
                <w:tcPr>
                  <w:tcW w:w="491" w:type="pct"/>
                  <w:tcBorders>
                    <w:tl2br w:val="nil"/>
                    <w:tr2bl w:val="nil"/>
                  </w:tcBorders>
                  <w:noWrap w:val="0"/>
                  <w:vAlign w:val="center"/>
                </w:tcPr>
                <w:p w14:paraId="361E20F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0.011</w:t>
                  </w:r>
                </w:p>
              </w:tc>
            </w:tr>
            <w:tr w14:paraId="00A643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restart"/>
                  <w:tcBorders>
                    <w:tl2br w:val="nil"/>
                    <w:tr2bl w:val="nil"/>
                  </w:tcBorders>
                  <w:noWrap w:val="0"/>
                  <w:vAlign w:val="center"/>
                </w:tcPr>
                <w:p w14:paraId="72D0BE4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6</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355" w:type="pct"/>
                  <w:vMerge w:val="restart"/>
                  <w:tcBorders>
                    <w:tl2br w:val="nil"/>
                    <w:tr2bl w:val="nil"/>
                  </w:tcBorders>
                  <w:noWrap w:val="0"/>
                  <w:vAlign w:val="center"/>
                </w:tcPr>
                <w:p w14:paraId="35AE863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377.14</w:t>
                  </w:r>
                </w:p>
              </w:tc>
              <w:tc>
                <w:tcPr>
                  <w:tcW w:w="232" w:type="pct"/>
                  <w:tcBorders>
                    <w:tl2br w:val="nil"/>
                    <w:tr2bl w:val="nil"/>
                  </w:tcBorders>
                  <w:shd w:val="clear" w:color="auto" w:fill="auto"/>
                  <w:noWrap w:val="0"/>
                  <w:vAlign w:val="center"/>
                </w:tcPr>
                <w:p w14:paraId="42C7571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378" w:type="pct"/>
                  <w:tcBorders>
                    <w:tl2br w:val="nil"/>
                    <w:tr2bl w:val="nil"/>
                  </w:tcBorders>
                  <w:noWrap w:val="0"/>
                  <w:vAlign w:val="center"/>
                </w:tcPr>
                <w:p w14:paraId="58B229B0">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0.0016</w:t>
                  </w:r>
                </w:p>
              </w:tc>
              <w:tc>
                <w:tcPr>
                  <w:tcW w:w="363" w:type="pct"/>
                  <w:tcBorders>
                    <w:tl2br w:val="nil"/>
                    <w:tr2bl w:val="nil"/>
                  </w:tcBorders>
                  <w:noWrap w:val="0"/>
                  <w:vAlign w:val="center"/>
                </w:tcPr>
                <w:p w14:paraId="08ED342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0.0016</w:t>
                  </w:r>
                </w:p>
              </w:tc>
              <w:tc>
                <w:tcPr>
                  <w:tcW w:w="412" w:type="pct"/>
                  <w:tcBorders>
                    <w:tl2br w:val="nil"/>
                    <w:tr2bl w:val="nil"/>
                  </w:tcBorders>
                  <w:noWrap w:val="0"/>
                  <w:vAlign w:val="center"/>
                </w:tcPr>
                <w:p w14:paraId="5A33F45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4.24</w:t>
                  </w:r>
                </w:p>
              </w:tc>
              <w:tc>
                <w:tcPr>
                  <w:tcW w:w="526" w:type="pct"/>
                  <w:vMerge w:val="restart"/>
                  <w:tcBorders>
                    <w:tl2br w:val="nil"/>
                    <w:tr2bl w:val="nil"/>
                  </w:tcBorders>
                  <w:shd w:val="clear" w:color="auto" w:fill="auto"/>
                  <w:noWrap w:val="0"/>
                  <w:vAlign w:val="center"/>
                </w:tcPr>
                <w:p w14:paraId="441B63C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清洁能源天然气+低氮燃烧</w:t>
                  </w:r>
                </w:p>
              </w:tc>
              <w:tc>
                <w:tcPr>
                  <w:tcW w:w="306" w:type="pct"/>
                  <w:vMerge w:val="restart"/>
                  <w:tcBorders>
                    <w:tl2br w:val="nil"/>
                    <w:tr2bl w:val="nil"/>
                  </w:tcBorders>
                  <w:shd w:val="clear" w:color="auto" w:fill="auto"/>
                  <w:noWrap w:val="0"/>
                  <w:vAlign w:val="center"/>
                </w:tcPr>
                <w:p w14:paraId="3617C617">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100</w:t>
                  </w:r>
                </w:p>
              </w:tc>
              <w:tc>
                <w:tcPr>
                  <w:tcW w:w="248" w:type="pct"/>
                  <w:tcBorders>
                    <w:tl2br w:val="nil"/>
                    <w:tr2bl w:val="nil"/>
                  </w:tcBorders>
                  <w:noWrap w:val="0"/>
                  <w:vAlign w:val="center"/>
                </w:tcPr>
                <w:p w14:paraId="603633E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2727F5B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24E5C96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1F547E10">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4.24</w:t>
                  </w:r>
                </w:p>
              </w:tc>
              <w:tc>
                <w:tcPr>
                  <w:tcW w:w="415" w:type="pct"/>
                  <w:tcBorders>
                    <w:tl2br w:val="nil"/>
                    <w:tr2bl w:val="nil"/>
                  </w:tcBorders>
                  <w:noWrap w:val="0"/>
                  <w:vAlign w:val="center"/>
                </w:tcPr>
                <w:p w14:paraId="3CC58D3F">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0.0016</w:t>
                  </w:r>
                </w:p>
              </w:tc>
              <w:tc>
                <w:tcPr>
                  <w:tcW w:w="491" w:type="pct"/>
                  <w:tcBorders>
                    <w:tl2br w:val="nil"/>
                    <w:tr2bl w:val="nil"/>
                  </w:tcBorders>
                  <w:noWrap w:val="0"/>
                  <w:vAlign w:val="center"/>
                </w:tcPr>
                <w:p w14:paraId="6815DF26">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0.0016</w:t>
                  </w:r>
                </w:p>
              </w:tc>
            </w:tr>
            <w:tr w14:paraId="38AD42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04C0908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51C0373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pPr>
                </w:p>
              </w:tc>
              <w:tc>
                <w:tcPr>
                  <w:tcW w:w="232" w:type="pct"/>
                  <w:tcBorders>
                    <w:tl2br w:val="nil"/>
                    <w:tr2bl w:val="nil"/>
                  </w:tcBorders>
                  <w:shd w:val="clear" w:color="auto" w:fill="auto"/>
                  <w:noWrap w:val="0"/>
                  <w:vAlign w:val="center"/>
                </w:tcPr>
                <w:p w14:paraId="3B979681">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二氧化硫</w:t>
                  </w:r>
                </w:p>
              </w:tc>
              <w:tc>
                <w:tcPr>
                  <w:tcW w:w="378" w:type="pct"/>
                  <w:tcBorders>
                    <w:tl2br w:val="nil"/>
                    <w:tr2bl w:val="nil"/>
                  </w:tcBorders>
                  <w:noWrap w:val="0"/>
                  <w:vAlign w:val="center"/>
                </w:tcPr>
                <w:p w14:paraId="02099552">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c>
                <w:tcPr>
                  <w:tcW w:w="363" w:type="pct"/>
                  <w:tcBorders>
                    <w:tl2br w:val="nil"/>
                    <w:tr2bl w:val="nil"/>
                  </w:tcBorders>
                  <w:noWrap w:val="0"/>
                  <w:vAlign w:val="center"/>
                </w:tcPr>
                <w:p w14:paraId="54C50A60">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0.0014</w:t>
                  </w:r>
                </w:p>
              </w:tc>
              <w:tc>
                <w:tcPr>
                  <w:tcW w:w="412" w:type="pct"/>
                  <w:tcBorders>
                    <w:tl2br w:val="nil"/>
                    <w:tr2bl w:val="nil"/>
                  </w:tcBorders>
                  <w:noWrap w:val="0"/>
                  <w:vAlign w:val="center"/>
                </w:tcPr>
                <w:p w14:paraId="6DFFE0C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3.72</w:t>
                  </w:r>
                </w:p>
              </w:tc>
              <w:tc>
                <w:tcPr>
                  <w:tcW w:w="526" w:type="pct"/>
                  <w:vMerge w:val="continue"/>
                  <w:tcBorders>
                    <w:tl2br w:val="nil"/>
                    <w:tr2bl w:val="nil"/>
                  </w:tcBorders>
                  <w:noWrap w:val="0"/>
                  <w:vAlign w:val="center"/>
                </w:tcPr>
                <w:p w14:paraId="22542E1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vMerge w:val="continue"/>
                  <w:tcBorders>
                    <w:tl2br w:val="nil"/>
                    <w:tr2bl w:val="nil"/>
                  </w:tcBorders>
                  <w:noWrap w:val="0"/>
                  <w:vAlign w:val="center"/>
                </w:tcPr>
                <w:p w14:paraId="052B6C2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tcBorders>
                    <w:tl2br w:val="nil"/>
                    <w:tr2bl w:val="nil"/>
                  </w:tcBorders>
                  <w:noWrap w:val="0"/>
                  <w:vAlign w:val="center"/>
                </w:tcPr>
                <w:p w14:paraId="0FD2FE8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192ECBE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7BA4061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1F52079E">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3.72</w:t>
                  </w:r>
                </w:p>
              </w:tc>
              <w:tc>
                <w:tcPr>
                  <w:tcW w:w="415" w:type="pct"/>
                  <w:tcBorders>
                    <w:tl2br w:val="nil"/>
                    <w:tr2bl w:val="nil"/>
                  </w:tcBorders>
                  <w:noWrap w:val="0"/>
                  <w:vAlign w:val="center"/>
                </w:tcPr>
                <w:p w14:paraId="55E4C1AD">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c>
                <w:tcPr>
                  <w:tcW w:w="491" w:type="pct"/>
                  <w:tcBorders>
                    <w:tl2br w:val="nil"/>
                    <w:tr2bl w:val="nil"/>
                  </w:tcBorders>
                  <w:noWrap w:val="0"/>
                  <w:vAlign w:val="center"/>
                </w:tcPr>
                <w:p w14:paraId="2BEC13D1">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r>
            <w:tr w14:paraId="3AA625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5B33BA9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590B273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pPr>
                </w:p>
              </w:tc>
              <w:tc>
                <w:tcPr>
                  <w:tcW w:w="232" w:type="pct"/>
                  <w:tcBorders>
                    <w:tl2br w:val="nil"/>
                    <w:tr2bl w:val="nil"/>
                  </w:tcBorders>
                  <w:shd w:val="clear" w:color="auto" w:fill="auto"/>
                  <w:noWrap w:val="0"/>
                  <w:vAlign w:val="center"/>
                </w:tcPr>
                <w:p w14:paraId="4C0E3CCF">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氮氧化物</w:t>
                  </w:r>
                </w:p>
              </w:tc>
              <w:tc>
                <w:tcPr>
                  <w:tcW w:w="378" w:type="pct"/>
                  <w:tcBorders>
                    <w:tl2br w:val="nil"/>
                    <w:tr2bl w:val="nil"/>
                  </w:tcBorders>
                  <w:noWrap w:val="0"/>
                  <w:vAlign w:val="center"/>
                </w:tcPr>
                <w:p w14:paraId="25D89C5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c>
                <w:tcPr>
                  <w:tcW w:w="363" w:type="pct"/>
                  <w:tcBorders>
                    <w:tl2br w:val="nil"/>
                    <w:tr2bl w:val="nil"/>
                  </w:tcBorders>
                  <w:noWrap w:val="0"/>
                  <w:vAlign w:val="center"/>
                </w:tcPr>
                <w:p w14:paraId="0A261E3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c>
                <w:tcPr>
                  <w:tcW w:w="412" w:type="pct"/>
                  <w:tcBorders>
                    <w:tl2br w:val="nil"/>
                    <w:tr2bl w:val="nil"/>
                  </w:tcBorders>
                  <w:noWrap w:val="0"/>
                  <w:vAlign w:val="center"/>
                </w:tcPr>
                <w:p w14:paraId="7BA08D29">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26.52</w:t>
                  </w:r>
                </w:p>
              </w:tc>
              <w:tc>
                <w:tcPr>
                  <w:tcW w:w="526" w:type="pct"/>
                  <w:vMerge w:val="continue"/>
                  <w:tcBorders>
                    <w:tl2br w:val="nil"/>
                    <w:tr2bl w:val="nil"/>
                  </w:tcBorders>
                  <w:noWrap w:val="0"/>
                  <w:vAlign w:val="center"/>
                </w:tcPr>
                <w:p w14:paraId="0658F1D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vMerge w:val="continue"/>
                  <w:tcBorders>
                    <w:tl2br w:val="nil"/>
                    <w:tr2bl w:val="nil"/>
                  </w:tcBorders>
                  <w:noWrap w:val="0"/>
                  <w:vAlign w:val="center"/>
                </w:tcPr>
                <w:p w14:paraId="138B53F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tcBorders>
                    <w:tl2br w:val="nil"/>
                    <w:tr2bl w:val="nil"/>
                  </w:tcBorders>
                  <w:noWrap w:val="0"/>
                  <w:vAlign w:val="center"/>
                </w:tcPr>
                <w:p w14:paraId="285163A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2831CEC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5DB01CB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3FD7D493">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26.52</w:t>
                  </w:r>
                </w:p>
              </w:tc>
              <w:tc>
                <w:tcPr>
                  <w:tcW w:w="415" w:type="pct"/>
                  <w:tcBorders>
                    <w:tl2br w:val="nil"/>
                    <w:tr2bl w:val="nil"/>
                  </w:tcBorders>
                  <w:noWrap w:val="0"/>
                  <w:vAlign w:val="center"/>
                </w:tcPr>
                <w:p w14:paraId="22FB604A">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c>
                <w:tcPr>
                  <w:tcW w:w="491" w:type="pct"/>
                  <w:tcBorders>
                    <w:tl2br w:val="nil"/>
                    <w:tr2bl w:val="nil"/>
                  </w:tcBorders>
                  <w:noWrap w:val="0"/>
                  <w:vAlign w:val="center"/>
                </w:tcPr>
                <w:p w14:paraId="77F1A6B4">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r>
            <w:tr w14:paraId="381AB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restart"/>
                  <w:tcBorders>
                    <w:tl2br w:val="nil"/>
                    <w:tr2bl w:val="nil"/>
                  </w:tcBorders>
                  <w:noWrap w:val="0"/>
                  <w:vAlign w:val="center"/>
                </w:tcPr>
                <w:p w14:paraId="2D03D7B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7</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355" w:type="pct"/>
                  <w:vMerge w:val="restart"/>
                  <w:tcBorders>
                    <w:tl2br w:val="nil"/>
                    <w:tr2bl w:val="nil"/>
                  </w:tcBorders>
                  <w:shd w:val="clear" w:color="auto" w:fill="auto"/>
                  <w:noWrap w:val="0"/>
                  <w:vAlign w:val="center"/>
                </w:tcPr>
                <w:p w14:paraId="52460DEE">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pacing w:val="-20"/>
                      <w:kern w:val="2"/>
                      <w:sz w:val="21"/>
                      <w:szCs w:val="21"/>
                      <w:lang w:val="en-US" w:eastAsia="zh-CN" w:bidi="ar-SA"/>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377.14</w:t>
                  </w:r>
                </w:p>
                <w:p w14:paraId="30B43C3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pPr>
                </w:p>
              </w:tc>
              <w:tc>
                <w:tcPr>
                  <w:tcW w:w="232" w:type="pct"/>
                  <w:tcBorders>
                    <w:tl2br w:val="nil"/>
                    <w:tr2bl w:val="nil"/>
                  </w:tcBorders>
                  <w:shd w:val="clear" w:color="auto" w:fill="auto"/>
                  <w:noWrap w:val="0"/>
                  <w:vAlign w:val="center"/>
                </w:tcPr>
                <w:p w14:paraId="3C98F5B2">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378" w:type="pct"/>
                  <w:tcBorders>
                    <w:tl2br w:val="nil"/>
                    <w:tr2bl w:val="nil"/>
                  </w:tcBorders>
                  <w:shd w:val="clear" w:color="auto" w:fill="auto"/>
                  <w:noWrap w:val="0"/>
                  <w:vAlign w:val="center"/>
                </w:tcPr>
                <w:p w14:paraId="3A948011">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0.0016</w:t>
                  </w:r>
                </w:p>
              </w:tc>
              <w:tc>
                <w:tcPr>
                  <w:tcW w:w="363" w:type="pct"/>
                  <w:tcBorders>
                    <w:tl2br w:val="nil"/>
                    <w:tr2bl w:val="nil"/>
                  </w:tcBorders>
                  <w:shd w:val="clear" w:color="auto" w:fill="auto"/>
                  <w:noWrap w:val="0"/>
                  <w:vAlign w:val="center"/>
                </w:tcPr>
                <w:p w14:paraId="6AD2FAD7">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pacing w:val="-20"/>
                      <w:kern w:val="2"/>
                      <w:sz w:val="21"/>
                      <w:szCs w:val="21"/>
                      <w:lang w:val="en-US" w:eastAsia="zh-CN" w:bidi="ar-SA"/>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0.0016</w:t>
                  </w:r>
                </w:p>
              </w:tc>
              <w:tc>
                <w:tcPr>
                  <w:tcW w:w="412" w:type="pct"/>
                  <w:tcBorders>
                    <w:tl2br w:val="nil"/>
                    <w:tr2bl w:val="nil"/>
                  </w:tcBorders>
                  <w:shd w:val="clear" w:color="auto" w:fill="auto"/>
                  <w:noWrap w:val="0"/>
                  <w:vAlign w:val="center"/>
                </w:tcPr>
                <w:p w14:paraId="4C651A31">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4.24</w:t>
                  </w:r>
                </w:p>
              </w:tc>
              <w:tc>
                <w:tcPr>
                  <w:tcW w:w="526" w:type="pct"/>
                  <w:vMerge w:val="restart"/>
                  <w:tcBorders>
                    <w:tl2br w:val="nil"/>
                    <w:tr2bl w:val="nil"/>
                  </w:tcBorders>
                  <w:shd w:val="clear" w:color="auto" w:fill="auto"/>
                  <w:noWrap w:val="0"/>
                  <w:vAlign w:val="center"/>
                </w:tcPr>
                <w:p w14:paraId="1C2B7E9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清洁能源天然气+低氮燃烧</w:t>
                  </w:r>
                </w:p>
                <w:p w14:paraId="27CE1A3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tcBorders>
                    <w:tl2br w:val="nil"/>
                    <w:tr2bl w:val="nil"/>
                  </w:tcBorders>
                  <w:shd w:val="clear" w:color="auto" w:fill="auto"/>
                  <w:noWrap w:val="0"/>
                  <w:vAlign w:val="center"/>
                </w:tcPr>
                <w:p w14:paraId="703AAC41">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100</w:t>
                  </w:r>
                </w:p>
              </w:tc>
              <w:tc>
                <w:tcPr>
                  <w:tcW w:w="248" w:type="pct"/>
                  <w:tcBorders>
                    <w:tl2br w:val="nil"/>
                    <w:tr2bl w:val="nil"/>
                  </w:tcBorders>
                  <w:shd w:val="clear" w:color="auto" w:fill="auto"/>
                  <w:noWrap w:val="0"/>
                  <w:vAlign w:val="center"/>
                </w:tcPr>
                <w:p w14:paraId="23D2068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7DEF297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7445E6E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shd w:val="clear" w:color="auto" w:fill="auto"/>
                  <w:noWrap w:val="0"/>
                  <w:vAlign w:val="center"/>
                </w:tcPr>
                <w:p w14:paraId="1D6C28E9">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4.24</w:t>
                  </w:r>
                </w:p>
              </w:tc>
              <w:tc>
                <w:tcPr>
                  <w:tcW w:w="415" w:type="pct"/>
                  <w:tcBorders>
                    <w:tl2br w:val="nil"/>
                    <w:tr2bl w:val="nil"/>
                  </w:tcBorders>
                  <w:shd w:val="clear" w:color="auto" w:fill="auto"/>
                  <w:noWrap w:val="0"/>
                  <w:vAlign w:val="center"/>
                </w:tcPr>
                <w:p w14:paraId="66760E72">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0.0016</w:t>
                  </w:r>
                </w:p>
              </w:tc>
              <w:tc>
                <w:tcPr>
                  <w:tcW w:w="491" w:type="pct"/>
                  <w:tcBorders>
                    <w:tl2br w:val="nil"/>
                    <w:tr2bl w:val="nil"/>
                  </w:tcBorders>
                  <w:shd w:val="clear" w:color="auto" w:fill="auto"/>
                  <w:noWrap w:val="0"/>
                  <w:vAlign w:val="center"/>
                </w:tcPr>
                <w:p w14:paraId="16328F7F">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0.0016</w:t>
                  </w:r>
                </w:p>
              </w:tc>
            </w:tr>
            <w:tr w14:paraId="6D1A20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60A974C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008D503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shd w:val="clear" w:color="auto" w:fill="auto"/>
                  <w:noWrap w:val="0"/>
                  <w:vAlign w:val="center"/>
                </w:tcPr>
                <w:p w14:paraId="77FE6DA1">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二氧化硫</w:t>
                  </w:r>
                </w:p>
              </w:tc>
              <w:tc>
                <w:tcPr>
                  <w:tcW w:w="378" w:type="pct"/>
                  <w:tcBorders>
                    <w:tl2br w:val="nil"/>
                    <w:tr2bl w:val="nil"/>
                  </w:tcBorders>
                  <w:shd w:val="clear" w:color="auto" w:fill="auto"/>
                  <w:noWrap w:val="0"/>
                  <w:vAlign w:val="center"/>
                </w:tcPr>
                <w:p w14:paraId="2E1D84BE">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c>
                <w:tcPr>
                  <w:tcW w:w="363" w:type="pct"/>
                  <w:tcBorders>
                    <w:tl2br w:val="nil"/>
                    <w:tr2bl w:val="nil"/>
                  </w:tcBorders>
                  <w:shd w:val="clear" w:color="auto" w:fill="auto"/>
                  <w:noWrap w:val="0"/>
                  <w:vAlign w:val="center"/>
                </w:tcPr>
                <w:p w14:paraId="3B1545FB">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pacing w:val="-20"/>
                      <w:kern w:val="2"/>
                      <w:sz w:val="21"/>
                      <w:szCs w:val="21"/>
                      <w:lang w:val="en-US" w:eastAsia="zh-CN" w:bidi="ar-SA"/>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0.0014</w:t>
                  </w:r>
                </w:p>
              </w:tc>
              <w:tc>
                <w:tcPr>
                  <w:tcW w:w="412" w:type="pct"/>
                  <w:tcBorders>
                    <w:tl2br w:val="nil"/>
                    <w:tr2bl w:val="nil"/>
                  </w:tcBorders>
                  <w:shd w:val="clear" w:color="auto" w:fill="auto"/>
                  <w:noWrap w:val="0"/>
                  <w:vAlign w:val="center"/>
                </w:tcPr>
                <w:p w14:paraId="26FC07BB">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3.72</w:t>
                  </w:r>
                </w:p>
              </w:tc>
              <w:tc>
                <w:tcPr>
                  <w:tcW w:w="526" w:type="pct"/>
                  <w:vMerge w:val="continue"/>
                  <w:tcBorders>
                    <w:tl2br w:val="nil"/>
                    <w:tr2bl w:val="nil"/>
                  </w:tcBorders>
                  <w:noWrap w:val="0"/>
                  <w:vAlign w:val="center"/>
                </w:tcPr>
                <w:p w14:paraId="4135274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tcBorders>
                    <w:tl2br w:val="nil"/>
                    <w:tr2bl w:val="nil"/>
                  </w:tcBorders>
                  <w:noWrap w:val="0"/>
                  <w:vAlign w:val="center"/>
                </w:tcPr>
                <w:p w14:paraId="1FD6426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tcBorders>
                    <w:tl2br w:val="nil"/>
                    <w:tr2bl w:val="nil"/>
                  </w:tcBorders>
                  <w:shd w:val="clear" w:color="auto" w:fill="auto"/>
                  <w:noWrap w:val="0"/>
                  <w:vAlign w:val="center"/>
                </w:tcPr>
                <w:p w14:paraId="7401B0EE">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6F7F67A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494FD64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shd w:val="clear" w:color="auto" w:fill="auto"/>
                  <w:noWrap w:val="0"/>
                  <w:vAlign w:val="center"/>
                </w:tcPr>
                <w:p w14:paraId="3C4D539A">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3.72</w:t>
                  </w:r>
                </w:p>
              </w:tc>
              <w:tc>
                <w:tcPr>
                  <w:tcW w:w="415" w:type="pct"/>
                  <w:tcBorders>
                    <w:tl2br w:val="nil"/>
                    <w:tr2bl w:val="nil"/>
                  </w:tcBorders>
                  <w:shd w:val="clear" w:color="auto" w:fill="auto"/>
                  <w:noWrap w:val="0"/>
                  <w:vAlign w:val="center"/>
                </w:tcPr>
                <w:p w14:paraId="6639A461">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c>
                <w:tcPr>
                  <w:tcW w:w="491" w:type="pct"/>
                  <w:tcBorders>
                    <w:tl2br w:val="nil"/>
                    <w:tr2bl w:val="nil"/>
                  </w:tcBorders>
                  <w:shd w:val="clear" w:color="auto" w:fill="auto"/>
                  <w:noWrap w:val="0"/>
                  <w:vAlign w:val="center"/>
                </w:tcPr>
                <w:p w14:paraId="35BFD59D">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r>
            <w:tr w14:paraId="0964D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45C82C1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6F5CE54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shd w:val="clear" w:color="auto" w:fill="auto"/>
                  <w:noWrap w:val="0"/>
                  <w:vAlign w:val="center"/>
                </w:tcPr>
                <w:p w14:paraId="00847BC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氮氧化物</w:t>
                  </w:r>
                </w:p>
              </w:tc>
              <w:tc>
                <w:tcPr>
                  <w:tcW w:w="378" w:type="pct"/>
                  <w:tcBorders>
                    <w:tl2br w:val="nil"/>
                    <w:tr2bl w:val="nil"/>
                  </w:tcBorders>
                  <w:shd w:val="clear" w:color="auto" w:fill="auto"/>
                  <w:noWrap w:val="0"/>
                  <w:vAlign w:val="center"/>
                </w:tcPr>
                <w:p w14:paraId="7B8CA788">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c>
                <w:tcPr>
                  <w:tcW w:w="363" w:type="pct"/>
                  <w:tcBorders>
                    <w:tl2br w:val="nil"/>
                    <w:tr2bl w:val="nil"/>
                  </w:tcBorders>
                  <w:shd w:val="clear" w:color="auto" w:fill="auto"/>
                  <w:noWrap w:val="0"/>
                  <w:vAlign w:val="center"/>
                </w:tcPr>
                <w:p w14:paraId="4F59107F">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c>
                <w:tcPr>
                  <w:tcW w:w="412" w:type="pct"/>
                  <w:tcBorders>
                    <w:tl2br w:val="nil"/>
                    <w:tr2bl w:val="nil"/>
                  </w:tcBorders>
                  <w:shd w:val="clear" w:color="auto" w:fill="auto"/>
                  <w:noWrap w:val="0"/>
                  <w:vAlign w:val="center"/>
                </w:tcPr>
                <w:p w14:paraId="7CBF4E04">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26.52</w:t>
                  </w:r>
                </w:p>
              </w:tc>
              <w:tc>
                <w:tcPr>
                  <w:tcW w:w="526" w:type="pct"/>
                  <w:vMerge w:val="continue"/>
                  <w:tcBorders>
                    <w:tl2br w:val="nil"/>
                    <w:tr2bl w:val="nil"/>
                  </w:tcBorders>
                  <w:noWrap w:val="0"/>
                  <w:vAlign w:val="center"/>
                </w:tcPr>
                <w:p w14:paraId="169A9AF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tcBorders>
                    <w:tl2br w:val="nil"/>
                    <w:tr2bl w:val="nil"/>
                  </w:tcBorders>
                  <w:noWrap w:val="0"/>
                  <w:vAlign w:val="center"/>
                </w:tcPr>
                <w:p w14:paraId="1D0BF2B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tcBorders>
                    <w:tl2br w:val="nil"/>
                    <w:tr2bl w:val="nil"/>
                  </w:tcBorders>
                  <w:shd w:val="clear" w:color="auto" w:fill="auto"/>
                  <w:noWrap w:val="0"/>
                  <w:vAlign w:val="center"/>
                </w:tcPr>
                <w:p w14:paraId="26B394A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174797B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2EF856C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shd w:val="clear" w:color="auto" w:fill="auto"/>
                  <w:noWrap w:val="0"/>
                  <w:vAlign w:val="center"/>
                </w:tcPr>
                <w:p w14:paraId="43B4C17C">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26.52</w:t>
                  </w:r>
                </w:p>
              </w:tc>
              <w:tc>
                <w:tcPr>
                  <w:tcW w:w="415" w:type="pct"/>
                  <w:tcBorders>
                    <w:tl2br w:val="nil"/>
                    <w:tr2bl w:val="nil"/>
                  </w:tcBorders>
                  <w:shd w:val="clear" w:color="auto" w:fill="auto"/>
                  <w:noWrap w:val="0"/>
                  <w:vAlign w:val="center"/>
                </w:tcPr>
                <w:p w14:paraId="181B2C03">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c>
                <w:tcPr>
                  <w:tcW w:w="491" w:type="pct"/>
                  <w:tcBorders>
                    <w:tl2br w:val="nil"/>
                    <w:tr2bl w:val="nil"/>
                  </w:tcBorders>
                  <w:shd w:val="clear" w:color="auto" w:fill="auto"/>
                  <w:noWrap w:val="0"/>
                  <w:vAlign w:val="center"/>
                </w:tcPr>
                <w:p w14:paraId="66D061BF">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r>
            <w:tr w14:paraId="1EC7F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restart"/>
                  <w:tcBorders>
                    <w:tl2br w:val="nil"/>
                    <w:tr2bl w:val="nil"/>
                  </w:tcBorders>
                  <w:noWrap w:val="0"/>
                  <w:vAlign w:val="center"/>
                </w:tcPr>
                <w:p w14:paraId="4852738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污水处理恶臭（</w:t>
                  </w:r>
                  <w:r>
                    <w:rPr>
                      <w:rFonts w:hint="eastAsia" w:cs="Times New Roman"/>
                      <w:color w:val="000000" w:themeColor="text1"/>
                      <w:szCs w:val="21"/>
                      <w:lang w:val="en-US" w:eastAsia="zh-CN"/>
                      <w14:textFill>
                        <w14:solidFill>
                          <w14:schemeClr w14:val="tx1"/>
                        </w14:solidFill>
                      </w14:textFill>
                    </w:rPr>
                    <w:t>DA008</w:t>
                  </w:r>
                  <w:r>
                    <w:rPr>
                      <w:rFonts w:hint="eastAsia" w:cs="Times New Roman"/>
                      <w:color w:val="000000" w:themeColor="text1"/>
                      <w:szCs w:val="21"/>
                      <w:lang w:eastAsia="zh-CN"/>
                      <w14:textFill>
                        <w14:solidFill>
                          <w14:schemeClr w14:val="tx1"/>
                        </w14:solidFill>
                      </w14:textFill>
                    </w:rPr>
                    <w:t>）</w:t>
                  </w:r>
                </w:p>
              </w:tc>
              <w:tc>
                <w:tcPr>
                  <w:tcW w:w="355" w:type="pct"/>
                  <w:vMerge w:val="restart"/>
                  <w:tcBorders>
                    <w:tl2br w:val="nil"/>
                    <w:tr2bl w:val="nil"/>
                  </w:tcBorders>
                  <w:noWrap w:val="0"/>
                  <w:vAlign w:val="center"/>
                </w:tcPr>
                <w:p w14:paraId="22B407D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1500</w:t>
                  </w:r>
                </w:p>
              </w:tc>
              <w:tc>
                <w:tcPr>
                  <w:tcW w:w="232" w:type="pct"/>
                  <w:tcBorders>
                    <w:tl2br w:val="nil"/>
                    <w:tr2bl w:val="nil"/>
                  </w:tcBorders>
                  <w:noWrap w:val="0"/>
                  <w:vAlign w:val="center"/>
                </w:tcPr>
                <w:p w14:paraId="4D3210A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氨</w:t>
                  </w:r>
                </w:p>
              </w:tc>
              <w:tc>
                <w:tcPr>
                  <w:tcW w:w="378" w:type="pct"/>
                  <w:tcBorders>
                    <w:tl2br w:val="nil"/>
                    <w:tr2bl w:val="nil"/>
                  </w:tcBorders>
                  <w:noWrap w:val="0"/>
                  <w:vAlign w:val="center"/>
                </w:tcPr>
                <w:p w14:paraId="382277D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0.0288</w:t>
                  </w:r>
                </w:p>
              </w:tc>
              <w:tc>
                <w:tcPr>
                  <w:tcW w:w="363" w:type="pct"/>
                  <w:tcBorders>
                    <w:tl2br w:val="nil"/>
                    <w:tr2bl w:val="nil"/>
                  </w:tcBorders>
                  <w:noWrap w:val="0"/>
                  <w:vAlign w:val="center"/>
                </w:tcPr>
                <w:p w14:paraId="16AC3D2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0.012</w:t>
                  </w:r>
                </w:p>
              </w:tc>
              <w:tc>
                <w:tcPr>
                  <w:tcW w:w="412" w:type="pct"/>
                  <w:tcBorders>
                    <w:tl2br w:val="nil"/>
                    <w:tr2bl w:val="nil"/>
                  </w:tcBorders>
                  <w:noWrap w:val="0"/>
                  <w:vAlign w:val="center"/>
                </w:tcPr>
                <w:p w14:paraId="6E0F149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4.0</w:t>
                  </w:r>
                </w:p>
              </w:tc>
              <w:tc>
                <w:tcPr>
                  <w:tcW w:w="526" w:type="pct"/>
                  <w:vMerge w:val="restart"/>
                  <w:tcBorders>
                    <w:tl2br w:val="nil"/>
                    <w:tr2bl w:val="nil"/>
                  </w:tcBorders>
                  <w:noWrap w:val="0"/>
                  <w:vAlign w:val="center"/>
                </w:tcPr>
                <w:p w14:paraId="22E1D43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活性炭吸附装置</w:t>
                  </w:r>
                </w:p>
              </w:tc>
              <w:tc>
                <w:tcPr>
                  <w:tcW w:w="306" w:type="pct"/>
                  <w:vMerge w:val="restart"/>
                  <w:tcBorders>
                    <w:tl2br w:val="nil"/>
                    <w:tr2bl w:val="nil"/>
                  </w:tcBorders>
                  <w:noWrap w:val="0"/>
                  <w:vAlign w:val="center"/>
                </w:tcPr>
                <w:p w14:paraId="2C42BE5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9</w:t>
                  </w:r>
                  <w:r>
                    <w:rPr>
                      <w:rFonts w:hint="eastAsia" w:cs="Times New Roman"/>
                      <w:color w:val="000000" w:themeColor="text1"/>
                      <w:szCs w:val="21"/>
                      <w:lang w:val="en-US" w:eastAsia="zh-CN"/>
                      <w14:textFill>
                        <w14:solidFill>
                          <w14:schemeClr w14:val="tx1"/>
                        </w14:solidFill>
                      </w14:textFill>
                    </w:rPr>
                    <w:t>0</w:t>
                  </w:r>
                </w:p>
              </w:tc>
              <w:tc>
                <w:tcPr>
                  <w:tcW w:w="248" w:type="pct"/>
                  <w:vMerge w:val="restart"/>
                  <w:tcBorders>
                    <w:tl2br w:val="nil"/>
                    <w:tr2bl w:val="nil"/>
                  </w:tcBorders>
                  <w:noWrap w:val="0"/>
                  <w:vAlign w:val="center"/>
                </w:tcPr>
                <w:p w14:paraId="06E672E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80</w:t>
                  </w:r>
                </w:p>
              </w:tc>
              <w:tc>
                <w:tcPr>
                  <w:tcW w:w="149" w:type="pct"/>
                  <w:vMerge w:val="restart"/>
                  <w:tcBorders>
                    <w:tl2br w:val="nil"/>
                    <w:tr2bl w:val="nil"/>
                  </w:tcBorders>
                  <w:noWrap w:val="0"/>
                  <w:vAlign w:val="center"/>
                </w:tcPr>
                <w:p w14:paraId="1F14EED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是</w:t>
                  </w:r>
                </w:p>
              </w:tc>
              <w:tc>
                <w:tcPr>
                  <w:tcW w:w="149" w:type="pct"/>
                  <w:vMerge w:val="restart"/>
                  <w:tcBorders>
                    <w:tl2br w:val="nil"/>
                    <w:tr2bl w:val="nil"/>
                  </w:tcBorders>
                  <w:noWrap w:val="0"/>
                  <w:vAlign w:val="center"/>
                </w:tcPr>
                <w:p w14:paraId="3C02BB2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有组织</w:t>
                  </w:r>
                </w:p>
              </w:tc>
              <w:tc>
                <w:tcPr>
                  <w:tcW w:w="357" w:type="pct"/>
                  <w:tcBorders>
                    <w:tl2br w:val="nil"/>
                    <w:tr2bl w:val="nil"/>
                  </w:tcBorders>
                  <w:noWrap w:val="0"/>
                  <w:vAlign w:val="center"/>
                </w:tcPr>
                <w:p w14:paraId="7708DF1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0.8</w:t>
                  </w:r>
                </w:p>
              </w:tc>
              <w:tc>
                <w:tcPr>
                  <w:tcW w:w="415" w:type="pct"/>
                  <w:tcBorders>
                    <w:tl2br w:val="nil"/>
                    <w:tr2bl w:val="nil"/>
                  </w:tcBorders>
                  <w:noWrap w:val="0"/>
                  <w:vAlign w:val="center"/>
                </w:tcPr>
                <w:p w14:paraId="4BC99C3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0.00576</w:t>
                  </w:r>
                </w:p>
              </w:tc>
              <w:tc>
                <w:tcPr>
                  <w:tcW w:w="491" w:type="pct"/>
                  <w:tcBorders>
                    <w:tl2br w:val="nil"/>
                    <w:tr2bl w:val="nil"/>
                  </w:tcBorders>
                  <w:noWrap w:val="0"/>
                  <w:vAlign w:val="center"/>
                </w:tcPr>
                <w:p w14:paraId="0A3EAAF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0.0024</w:t>
                  </w:r>
                </w:p>
              </w:tc>
            </w:tr>
            <w:tr w14:paraId="5EE52B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4154BC5A">
                  <w:pPr>
                    <w:keepNext w:val="0"/>
                    <w:keepLines w:val="0"/>
                    <w:suppressLineNumbers w:val="0"/>
                    <w:adjustRightInd w:val="0"/>
                    <w:snapToGrid w:val="0"/>
                    <w:spacing w:before="0" w:beforeAutospacing="0" w:after="0" w:afterAutospacing="0" w:line="260" w:lineRule="exact"/>
                    <w:ind w:left="0" w:right="0"/>
                    <w:jc w:val="center"/>
                    <w:rPr>
                      <w:rFonts w:hint="eastAsia"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3F582E5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noWrap w:val="0"/>
                  <w:vAlign w:val="center"/>
                </w:tcPr>
                <w:p w14:paraId="572258F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硫化氢</w:t>
                  </w:r>
                </w:p>
              </w:tc>
              <w:tc>
                <w:tcPr>
                  <w:tcW w:w="378" w:type="pct"/>
                  <w:tcBorders>
                    <w:tl2br w:val="nil"/>
                    <w:tr2bl w:val="nil"/>
                  </w:tcBorders>
                  <w:noWrap w:val="0"/>
                  <w:vAlign w:val="center"/>
                </w:tcPr>
                <w:p w14:paraId="7FB1BAA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0.00108</w:t>
                  </w:r>
                </w:p>
              </w:tc>
              <w:tc>
                <w:tcPr>
                  <w:tcW w:w="363" w:type="pct"/>
                  <w:tcBorders>
                    <w:tl2br w:val="nil"/>
                    <w:tr2bl w:val="nil"/>
                  </w:tcBorders>
                  <w:noWrap w:val="0"/>
                  <w:vAlign w:val="center"/>
                </w:tcPr>
                <w:p w14:paraId="5946BF7A">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0.00045</w:t>
                  </w:r>
                </w:p>
              </w:tc>
              <w:tc>
                <w:tcPr>
                  <w:tcW w:w="412" w:type="pct"/>
                  <w:tcBorders>
                    <w:tl2br w:val="nil"/>
                    <w:tr2bl w:val="nil"/>
                  </w:tcBorders>
                  <w:noWrap w:val="0"/>
                  <w:vAlign w:val="center"/>
                </w:tcPr>
                <w:p w14:paraId="6B61B8E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0.15</w:t>
                  </w:r>
                </w:p>
              </w:tc>
              <w:tc>
                <w:tcPr>
                  <w:tcW w:w="526" w:type="pct"/>
                  <w:vMerge w:val="continue"/>
                  <w:tcBorders>
                    <w:tl2br w:val="nil"/>
                    <w:tr2bl w:val="nil"/>
                  </w:tcBorders>
                  <w:noWrap w:val="0"/>
                  <w:vAlign w:val="center"/>
                </w:tcPr>
                <w:p w14:paraId="7D045AE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vMerge w:val="continue"/>
                  <w:tcBorders>
                    <w:tl2br w:val="nil"/>
                    <w:tr2bl w:val="nil"/>
                  </w:tcBorders>
                  <w:noWrap w:val="0"/>
                  <w:vAlign w:val="center"/>
                </w:tcPr>
                <w:p w14:paraId="48939BC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vMerge w:val="continue"/>
                  <w:tcBorders>
                    <w:tl2br w:val="nil"/>
                    <w:tr2bl w:val="nil"/>
                  </w:tcBorders>
                  <w:noWrap w:val="0"/>
                  <w:vAlign w:val="center"/>
                </w:tcPr>
                <w:p w14:paraId="23C7C2C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56C8392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724D92A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1699877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0.03</w:t>
                  </w:r>
                </w:p>
              </w:tc>
              <w:tc>
                <w:tcPr>
                  <w:tcW w:w="415" w:type="pct"/>
                  <w:tcBorders>
                    <w:tl2br w:val="nil"/>
                    <w:tr2bl w:val="nil"/>
                  </w:tcBorders>
                  <w:noWrap w:val="0"/>
                  <w:vAlign w:val="center"/>
                </w:tcPr>
                <w:p w14:paraId="0DCF769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pacing w:val="-20"/>
                      <w:sz w:val="21"/>
                      <w:szCs w:val="21"/>
                      <w:lang w:val="en-US" w:eastAsia="zh-CN"/>
                      <w14:textFill>
                        <w14:solidFill>
                          <w14:schemeClr w14:val="tx1"/>
                        </w14:solidFill>
                      </w14:textFill>
                    </w:rPr>
                    <w:t>0.00216</w:t>
                  </w:r>
                </w:p>
              </w:tc>
              <w:tc>
                <w:tcPr>
                  <w:tcW w:w="491" w:type="pct"/>
                  <w:tcBorders>
                    <w:tl2br w:val="nil"/>
                    <w:tr2bl w:val="nil"/>
                  </w:tcBorders>
                  <w:noWrap w:val="0"/>
                  <w:vAlign w:val="center"/>
                </w:tcPr>
                <w:p w14:paraId="571F0A89">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0.0009</w:t>
                  </w:r>
                </w:p>
              </w:tc>
            </w:tr>
            <w:tr w14:paraId="35BD91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443AF9C3">
                  <w:pPr>
                    <w:keepNext w:val="0"/>
                    <w:keepLines w:val="0"/>
                    <w:suppressLineNumbers w:val="0"/>
                    <w:adjustRightInd w:val="0"/>
                    <w:snapToGrid w:val="0"/>
                    <w:spacing w:before="0" w:beforeAutospacing="0" w:after="0" w:afterAutospacing="0" w:line="260" w:lineRule="exact"/>
                    <w:ind w:left="0" w:right="0"/>
                    <w:jc w:val="center"/>
                    <w:rPr>
                      <w:rFonts w:hint="eastAsia"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3FA1AF2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noWrap w:val="0"/>
                  <w:vAlign w:val="center"/>
                </w:tcPr>
                <w:p w14:paraId="108E249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臭气浓度</w:t>
                  </w:r>
                </w:p>
              </w:tc>
              <w:tc>
                <w:tcPr>
                  <w:tcW w:w="378" w:type="pct"/>
                  <w:tcBorders>
                    <w:tl2br w:val="nil"/>
                    <w:tr2bl w:val="nil"/>
                  </w:tcBorders>
                  <w:noWrap w:val="0"/>
                  <w:vAlign w:val="center"/>
                </w:tcPr>
                <w:p w14:paraId="771FB15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63" w:type="pct"/>
                  <w:tcBorders>
                    <w:tl2br w:val="nil"/>
                    <w:tr2bl w:val="nil"/>
                  </w:tcBorders>
                  <w:noWrap w:val="0"/>
                  <w:vAlign w:val="center"/>
                </w:tcPr>
                <w:p w14:paraId="5F28CAE2">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2" w:type="pct"/>
                  <w:tcBorders>
                    <w:tl2br w:val="nil"/>
                    <w:tr2bl w:val="nil"/>
                  </w:tcBorders>
                  <w:noWrap w:val="0"/>
                  <w:vAlign w:val="center"/>
                </w:tcPr>
                <w:p w14:paraId="0E5F245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526" w:type="pct"/>
                  <w:vMerge w:val="continue"/>
                  <w:tcBorders>
                    <w:tl2br w:val="nil"/>
                    <w:tr2bl w:val="nil"/>
                  </w:tcBorders>
                  <w:noWrap w:val="0"/>
                  <w:vAlign w:val="center"/>
                </w:tcPr>
                <w:p w14:paraId="0F994CC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vMerge w:val="continue"/>
                  <w:tcBorders>
                    <w:tl2br w:val="nil"/>
                    <w:tr2bl w:val="nil"/>
                  </w:tcBorders>
                  <w:noWrap w:val="0"/>
                  <w:vAlign w:val="center"/>
                </w:tcPr>
                <w:p w14:paraId="3919B79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48" w:type="pct"/>
                  <w:vMerge w:val="continue"/>
                  <w:tcBorders>
                    <w:tl2br w:val="nil"/>
                    <w:tr2bl w:val="nil"/>
                  </w:tcBorders>
                  <w:noWrap w:val="0"/>
                  <w:vAlign w:val="center"/>
                </w:tcPr>
                <w:p w14:paraId="520DC98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46CB821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49" w:type="pct"/>
                  <w:vMerge w:val="continue"/>
                  <w:tcBorders>
                    <w:tl2br w:val="nil"/>
                    <w:tr2bl w:val="nil"/>
                  </w:tcBorders>
                  <w:noWrap w:val="0"/>
                  <w:vAlign w:val="center"/>
                </w:tcPr>
                <w:p w14:paraId="4A10992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463B4FB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5" w:type="pct"/>
                  <w:tcBorders>
                    <w:tl2br w:val="nil"/>
                    <w:tr2bl w:val="nil"/>
                  </w:tcBorders>
                  <w:noWrap w:val="0"/>
                  <w:vAlign w:val="center"/>
                </w:tcPr>
                <w:p w14:paraId="1CDB503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91" w:type="pct"/>
                  <w:tcBorders>
                    <w:tl2br w:val="nil"/>
                    <w:tr2bl w:val="nil"/>
                  </w:tcBorders>
                  <w:noWrap w:val="0"/>
                  <w:vAlign w:val="center"/>
                </w:tcPr>
                <w:p w14:paraId="7CC8F511">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r>
            <w:tr w14:paraId="265C7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restart"/>
                  <w:tcBorders>
                    <w:tl2br w:val="nil"/>
                    <w:tr2bl w:val="nil"/>
                  </w:tcBorders>
                  <w:noWrap w:val="0"/>
                  <w:vAlign w:val="center"/>
                </w:tcPr>
                <w:p w14:paraId="48BC854C">
                  <w:pPr>
                    <w:keepNext w:val="0"/>
                    <w:keepLines w:val="0"/>
                    <w:suppressLineNumbers w:val="0"/>
                    <w:adjustRightInd w:val="0"/>
                    <w:snapToGrid w:val="0"/>
                    <w:spacing w:before="0" w:beforeAutospacing="0" w:after="0" w:afterAutospacing="0" w:line="260" w:lineRule="exact"/>
                    <w:ind w:left="0" w:right="0"/>
                    <w:jc w:val="center"/>
                    <w:rPr>
                      <w:rFonts w:hint="eastAsia"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无组织</w:t>
                  </w:r>
                </w:p>
              </w:tc>
              <w:tc>
                <w:tcPr>
                  <w:tcW w:w="355" w:type="pct"/>
                  <w:vMerge w:val="restart"/>
                  <w:tcBorders>
                    <w:tl2br w:val="nil"/>
                    <w:tr2bl w:val="nil"/>
                  </w:tcBorders>
                  <w:noWrap w:val="0"/>
                  <w:vAlign w:val="center"/>
                </w:tcPr>
                <w:p w14:paraId="1E87BED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232" w:type="pct"/>
                  <w:tcBorders>
                    <w:tl2br w:val="nil"/>
                    <w:tr2bl w:val="nil"/>
                  </w:tcBorders>
                  <w:noWrap w:val="0"/>
                  <w:vAlign w:val="center"/>
                </w:tcPr>
                <w:p w14:paraId="02FA7A3C">
                  <w:pPr>
                    <w:keepNext w:val="0"/>
                    <w:keepLines w:val="0"/>
                    <w:suppressLineNumbers w:val="0"/>
                    <w:adjustRightInd w:val="0"/>
                    <w:snapToGrid w:val="0"/>
                    <w:spacing w:before="0" w:beforeAutospacing="0" w:after="0" w:afterAutospacing="0" w:line="260" w:lineRule="exact"/>
                    <w:ind w:left="0" w:right="0"/>
                    <w:jc w:val="center"/>
                    <w:rPr>
                      <w:rFonts w:hint="eastAsia"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颗粒物</w:t>
                  </w:r>
                </w:p>
              </w:tc>
              <w:tc>
                <w:tcPr>
                  <w:tcW w:w="378" w:type="pct"/>
                  <w:tcBorders>
                    <w:tl2br w:val="nil"/>
                    <w:tr2bl w:val="nil"/>
                  </w:tcBorders>
                  <w:noWrap w:val="0"/>
                  <w:vAlign w:val="center"/>
                </w:tcPr>
                <w:p w14:paraId="01E322D1">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63" w:type="pct"/>
                  <w:tcBorders>
                    <w:tl2br w:val="nil"/>
                    <w:tr2bl w:val="nil"/>
                  </w:tcBorders>
                  <w:noWrap w:val="0"/>
                  <w:vAlign w:val="center"/>
                </w:tcPr>
                <w:p w14:paraId="22C53DDB">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2" w:type="pct"/>
                  <w:tcBorders>
                    <w:tl2br w:val="nil"/>
                    <w:tr2bl w:val="nil"/>
                  </w:tcBorders>
                  <w:noWrap w:val="0"/>
                  <w:vAlign w:val="center"/>
                </w:tcPr>
                <w:p w14:paraId="2AEF0969">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526" w:type="pct"/>
                  <w:vMerge w:val="restart"/>
                  <w:tcBorders>
                    <w:tl2br w:val="nil"/>
                    <w:tr2bl w:val="nil"/>
                  </w:tcBorders>
                  <w:noWrap w:val="0"/>
                  <w:vAlign w:val="center"/>
                </w:tcPr>
                <w:p w14:paraId="4F9195F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olor w:val="auto"/>
                      <w:sz w:val="21"/>
                      <w:szCs w:val="21"/>
                      <w:lang w:eastAsia="zh-CN"/>
                    </w:rPr>
                    <w:t>生产</w:t>
                  </w:r>
                  <w:r>
                    <w:rPr>
                      <w:rFonts w:hint="eastAsia"/>
                      <w:color w:val="auto"/>
                      <w:sz w:val="21"/>
                      <w:szCs w:val="21"/>
                    </w:rPr>
                    <w:t>车间密闭</w:t>
                  </w:r>
                  <w:r>
                    <w:rPr>
                      <w:rFonts w:hint="eastAsia"/>
                      <w:color w:val="auto"/>
                      <w:sz w:val="21"/>
                      <w:szCs w:val="21"/>
                      <w:lang w:eastAsia="zh-CN"/>
                    </w:rPr>
                    <w:t>，</w:t>
                  </w:r>
                  <w:r>
                    <w:rPr>
                      <w:rFonts w:hint="eastAsia"/>
                      <w:color w:val="auto"/>
                      <w:sz w:val="21"/>
                      <w:szCs w:val="21"/>
                    </w:rPr>
                    <w:t>加强废气收集措施</w:t>
                  </w:r>
                  <w:r>
                    <w:rPr>
                      <w:rFonts w:hint="eastAsia"/>
                      <w:color w:val="auto"/>
                      <w:sz w:val="21"/>
                      <w:szCs w:val="21"/>
                      <w:lang w:eastAsia="zh-CN"/>
                    </w:rPr>
                    <w:t>；</w:t>
                  </w:r>
                  <w:r>
                    <w:rPr>
                      <w:rFonts w:hint="eastAsia" w:ascii="Times New Roman" w:hAnsi="Times New Roman" w:eastAsia="宋体" w:cs="Times New Roman"/>
                      <w:color w:val="000000"/>
                      <w:sz w:val="21"/>
                      <w:szCs w:val="21"/>
                      <w:lang w:eastAsia="zh-CN"/>
                    </w:rPr>
                    <w:t>污水处理设施密闭运行，喷洒除臭剂</w:t>
                  </w:r>
                </w:p>
              </w:tc>
              <w:tc>
                <w:tcPr>
                  <w:tcW w:w="306" w:type="pct"/>
                  <w:tcBorders>
                    <w:tl2br w:val="nil"/>
                    <w:tr2bl w:val="nil"/>
                  </w:tcBorders>
                  <w:noWrap w:val="0"/>
                  <w:vAlign w:val="center"/>
                </w:tcPr>
                <w:p w14:paraId="6E198CBE">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248" w:type="pct"/>
                  <w:tcBorders>
                    <w:tl2br w:val="nil"/>
                    <w:tr2bl w:val="nil"/>
                  </w:tcBorders>
                  <w:noWrap w:val="0"/>
                  <w:vAlign w:val="center"/>
                </w:tcPr>
                <w:p w14:paraId="110A557F">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tcBorders>
                    <w:tl2br w:val="nil"/>
                    <w:tr2bl w:val="nil"/>
                  </w:tcBorders>
                  <w:noWrap w:val="0"/>
                  <w:vAlign w:val="center"/>
                </w:tcPr>
                <w:p w14:paraId="42FAEF7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restart"/>
                  <w:tcBorders>
                    <w:tl2br w:val="nil"/>
                    <w:tr2bl w:val="nil"/>
                  </w:tcBorders>
                  <w:noWrap w:val="0"/>
                  <w:vAlign w:val="center"/>
                </w:tcPr>
                <w:p w14:paraId="680B2BB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无组织</w:t>
                  </w:r>
                </w:p>
              </w:tc>
              <w:tc>
                <w:tcPr>
                  <w:tcW w:w="357" w:type="pct"/>
                  <w:tcBorders>
                    <w:tl2br w:val="nil"/>
                    <w:tr2bl w:val="nil"/>
                  </w:tcBorders>
                  <w:noWrap w:val="0"/>
                  <w:vAlign w:val="center"/>
                </w:tcPr>
                <w:p w14:paraId="7B2417A7">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5" w:type="pct"/>
                  <w:tcBorders>
                    <w:tl2br w:val="nil"/>
                    <w:tr2bl w:val="nil"/>
                  </w:tcBorders>
                  <w:noWrap w:val="0"/>
                  <w:vAlign w:val="center"/>
                </w:tcPr>
                <w:p w14:paraId="4E4D0E87">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0.79</w:t>
                  </w:r>
                </w:p>
              </w:tc>
              <w:tc>
                <w:tcPr>
                  <w:tcW w:w="491" w:type="pct"/>
                  <w:tcBorders>
                    <w:tl2br w:val="nil"/>
                    <w:tr2bl w:val="nil"/>
                  </w:tcBorders>
                  <w:noWrap w:val="0"/>
                  <w:vAlign w:val="center"/>
                </w:tcPr>
                <w:p w14:paraId="2EC3C8A9">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0.329</w:t>
                  </w:r>
                </w:p>
              </w:tc>
            </w:tr>
            <w:tr w14:paraId="59BD90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7561BB0A">
                  <w:pPr>
                    <w:keepNext w:val="0"/>
                    <w:keepLines w:val="0"/>
                    <w:suppressLineNumbers w:val="0"/>
                    <w:adjustRightInd w:val="0"/>
                    <w:snapToGrid w:val="0"/>
                    <w:spacing w:before="0" w:beforeAutospacing="0" w:after="0" w:afterAutospacing="0" w:line="260" w:lineRule="exact"/>
                    <w:ind w:left="0" w:right="0"/>
                    <w:jc w:val="center"/>
                    <w:rPr>
                      <w:rFonts w:hint="eastAsia"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01BF02E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shd w:val="clear" w:color="auto" w:fill="auto"/>
                  <w:noWrap w:val="0"/>
                  <w:vAlign w:val="center"/>
                </w:tcPr>
                <w:p w14:paraId="4272F784">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氨</w:t>
                  </w:r>
                </w:p>
              </w:tc>
              <w:tc>
                <w:tcPr>
                  <w:tcW w:w="378" w:type="pct"/>
                  <w:tcBorders>
                    <w:tl2br w:val="nil"/>
                    <w:tr2bl w:val="nil"/>
                  </w:tcBorders>
                  <w:noWrap w:val="0"/>
                  <w:vAlign w:val="center"/>
                </w:tcPr>
                <w:p w14:paraId="498FCA9D">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63" w:type="pct"/>
                  <w:tcBorders>
                    <w:tl2br w:val="nil"/>
                    <w:tr2bl w:val="nil"/>
                  </w:tcBorders>
                  <w:noWrap w:val="0"/>
                  <w:vAlign w:val="center"/>
                </w:tcPr>
                <w:p w14:paraId="03583059">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2" w:type="pct"/>
                  <w:tcBorders>
                    <w:tl2br w:val="nil"/>
                    <w:tr2bl w:val="nil"/>
                  </w:tcBorders>
                  <w:noWrap w:val="0"/>
                  <w:vAlign w:val="center"/>
                </w:tcPr>
                <w:p w14:paraId="5523BB5B">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526" w:type="pct"/>
                  <w:vMerge w:val="continue"/>
                  <w:tcBorders>
                    <w:tl2br w:val="nil"/>
                    <w:tr2bl w:val="nil"/>
                  </w:tcBorders>
                  <w:noWrap w:val="0"/>
                  <w:vAlign w:val="center"/>
                </w:tcPr>
                <w:p w14:paraId="797727B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tcBorders>
                    <w:tl2br w:val="nil"/>
                    <w:tr2bl w:val="nil"/>
                  </w:tcBorders>
                  <w:noWrap w:val="0"/>
                  <w:vAlign w:val="center"/>
                </w:tcPr>
                <w:p w14:paraId="72D31E32">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248" w:type="pct"/>
                  <w:tcBorders>
                    <w:tl2br w:val="nil"/>
                    <w:tr2bl w:val="nil"/>
                  </w:tcBorders>
                  <w:noWrap w:val="0"/>
                  <w:vAlign w:val="center"/>
                </w:tcPr>
                <w:p w14:paraId="57EC0CA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tcBorders>
                    <w:tl2br w:val="nil"/>
                    <w:tr2bl w:val="nil"/>
                  </w:tcBorders>
                  <w:noWrap w:val="0"/>
                  <w:vAlign w:val="center"/>
                </w:tcPr>
                <w:p w14:paraId="5DF6041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0F2E2A5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3EFEC6B4">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5" w:type="pct"/>
                  <w:tcBorders>
                    <w:tl2br w:val="nil"/>
                    <w:tr2bl w:val="nil"/>
                  </w:tcBorders>
                  <w:noWrap w:val="0"/>
                  <w:vAlign w:val="center"/>
                </w:tcPr>
                <w:p w14:paraId="15F0CAA9">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0.0032</w:t>
                  </w:r>
                </w:p>
              </w:tc>
              <w:tc>
                <w:tcPr>
                  <w:tcW w:w="491" w:type="pct"/>
                  <w:tcBorders>
                    <w:tl2br w:val="nil"/>
                    <w:tr2bl w:val="nil"/>
                  </w:tcBorders>
                  <w:noWrap w:val="0"/>
                  <w:vAlign w:val="center"/>
                </w:tcPr>
                <w:p w14:paraId="3881F43D">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0.0013</w:t>
                  </w:r>
                </w:p>
              </w:tc>
            </w:tr>
            <w:tr w14:paraId="3A12A5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284DF219">
                  <w:pPr>
                    <w:keepNext w:val="0"/>
                    <w:keepLines w:val="0"/>
                    <w:suppressLineNumbers w:val="0"/>
                    <w:adjustRightInd w:val="0"/>
                    <w:snapToGrid w:val="0"/>
                    <w:spacing w:before="0" w:beforeAutospacing="0" w:after="0" w:afterAutospacing="0" w:line="260" w:lineRule="exact"/>
                    <w:ind w:left="0" w:right="0"/>
                    <w:jc w:val="center"/>
                    <w:rPr>
                      <w:rFonts w:hint="eastAsia"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327966B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shd w:val="clear" w:color="auto" w:fill="auto"/>
                  <w:noWrap w:val="0"/>
                  <w:vAlign w:val="center"/>
                </w:tcPr>
                <w:p w14:paraId="3B49C575">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硫化氢</w:t>
                  </w:r>
                </w:p>
              </w:tc>
              <w:tc>
                <w:tcPr>
                  <w:tcW w:w="378" w:type="pct"/>
                  <w:tcBorders>
                    <w:tl2br w:val="nil"/>
                    <w:tr2bl w:val="nil"/>
                  </w:tcBorders>
                  <w:noWrap w:val="0"/>
                  <w:vAlign w:val="center"/>
                </w:tcPr>
                <w:p w14:paraId="2AC6C2C7">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63" w:type="pct"/>
                  <w:tcBorders>
                    <w:tl2br w:val="nil"/>
                    <w:tr2bl w:val="nil"/>
                  </w:tcBorders>
                  <w:noWrap w:val="0"/>
                  <w:vAlign w:val="center"/>
                </w:tcPr>
                <w:p w14:paraId="1AA2880D">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2" w:type="pct"/>
                  <w:tcBorders>
                    <w:tl2br w:val="nil"/>
                    <w:tr2bl w:val="nil"/>
                  </w:tcBorders>
                  <w:noWrap w:val="0"/>
                  <w:vAlign w:val="center"/>
                </w:tcPr>
                <w:p w14:paraId="57F26158">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526" w:type="pct"/>
                  <w:vMerge w:val="continue"/>
                  <w:tcBorders>
                    <w:tl2br w:val="nil"/>
                    <w:tr2bl w:val="nil"/>
                  </w:tcBorders>
                  <w:noWrap w:val="0"/>
                  <w:vAlign w:val="center"/>
                </w:tcPr>
                <w:p w14:paraId="5C52421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tcBorders>
                    <w:tl2br w:val="nil"/>
                    <w:tr2bl w:val="nil"/>
                  </w:tcBorders>
                  <w:noWrap w:val="0"/>
                  <w:vAlign w:val="center"/>
                </w:tcPr>
                <w:p w14:paraId="03BD3C0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248" w:type="pct"/>
                  <w:tcBorders>
                    <w:tl2br w:val="nil"/>
                    <w:tr2bl w:val="nil"/>
                  </w:tcBorders>
                  <w:noWrap w:val="0"/>
                  <w:vAlign w:val="center"/>
                </w:tcPr>
                <w:p w14:paraId="4A69D24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tcBorders>
                    <w:tl2br w:val="nil"/>
                    <w:tr2bl w:val="nil"/>
                  </w:tcBorders>
                  <w:noWrap w:val="0"/>
                  <w:vAlign w:val="center"/>
                </w:tcPr>
                <w:p w14:paraId="25F05045">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628A86D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tcBorders>
                    <w:tl2br w:val="nil"/>
                    <w:tr2bl w:val="nil"/>
                  </w:tcBorders>
                  <w:noWrap w:val="0"/>
                  <w:vAlign w:val="center"/>
                </w:tcPr>
                <w:p w14:paraId="61895B81">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5" w:type="pct"/>
                  <w:tcBorders>
                    <w:tl2br w:val="nil"/>
                    <w:tr2bl w:val="nil"/>
                  </w:tcBorders>
                  <w:noWrap w:val="0"/>
                  <w:vAlign w:val="center"/>
                </w:tcPr>
                <w:p w14:paraId="58CF5B57">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w:t>
                  </w:r>
                  <w:r>
                    <w:rPr>
                      <w:rFonts w:hint="eastAsia" w:cs="Times New Roman"/>
                      <w:color w:val="000000" w:themeColor="text1"/>
                      <w:spacing w:val="-20"/>
                      <w:sz w:val="21"/>
                      <w:szCs w:val="21"/>
                      <w:lang w:val="en-US" w:eastAsia="zh-CN"/>
                      <w14:textFill>
                        <w14:solidFill>
                          <w14:schemeClr w14:val="tx1"/>
                        </w14:solidFill>
                      </w14:textFill>
                    </w:rPr>
                    <w:t>.00012</w:t>
                  </w:r>
                </w:p>
              </w:tc>
              <w:tc>
                <w:tcPr>
                  <w:tcW w:w="491" w:type="pct"/>
                  <w:tcBorders>
                    <w:tl2br w:val="nil"/>
                    <w:tr2bl w:val="nil"/>
                  </w:tcBorders>
                  <w:noWrap w:val="0"/>
                  <w:vAlign w:val="center"/>
                </w:tcPr>
                <w:p w14:paraId="67025216">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0.00005</w:t>
                  </w:r>
                </w:p>
              </w:tc>
            </w:tr>
            <w:tr w14:paraId="35DD57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613" w:type="pct"/>
                  <w:vMerge w:val="continue"/>
                  <w:tcBorders>
                    <w:tl2br w:val="nil"/>
                    <w:tr2bl w:val="nil"/>
                  </w:tcBorders>
                  <w:noWrap w:val="0"/>
                  <w:vAlign w:val="center"/>
                </w:tcPr>
                <w:p w14:paraId="2CB5226B">
                  <w:pPr>
                    <w:keepNext w:val="0"/>
                    <w:keepLines w:val="0"/>
                    <w:suppressLineNumbers w:val="0"/>
                    <w:adjustRightInd w:val="0"/>
                    <w:snapToGrid w:val="0"/>
                    <w:spacing w:before="0" w:beforeAutospacing="0" w:after="0" w:afterAutospacing="0" w:line="260" w:lineRule="exact"/>
                    <w:ind w:left="0" w:right="0"/>
                    <w:jc w:val="center"/>
                    <w:rPr>
                      <w:rFonts w:hint="eastAsia" w:cs="Times New Roman"/>
                      <w:color w:val="000000" w:themeColor="text1"/>
                      <w:szCs w:val="21"/>
                      <w:lang w:eastAsia="zh-CN"/>
                      <w14:textFill>
                        <w14:solidFill>
                          <w14:schemeClr w14:val="tx1"/>
                        </w14:solidFill>
                      </w14:textFill>
                    </w:rPr>
                  </w:pPr>
                </w:p>
              </w:tc>
              <w:tc>
                <w:tcPr>
                  <w:tcW w:w="355" w:type="pct"/>
                  <w:vMerge w:val="continue"/>
                  <w:tcBorders>
                    <w:tl2br w:val="nil"/>
                    <w:tr2bl w:val="nil"/>
                  </w:tcBorders>
                  <w:noWrap w:val="0"/>
                  <w:vAlign w:val="center"/>
                </w:tcPr>
                <w:p w14:paraId="763ADF3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232" w:type="pct"/>
                  <w:tcBorders>
                    <w:tl2br w:val="nil"/>
                    <w:tr2bl w:val="nil"/>
                  </w:tcBorders>
                  <w:shd w:val="clear" w:color="auto" w:fill="auto"/>
                  <w:noWrap w:val="0"/>
                  <w:vAlign w:val="center"/>
                </w:tcPr>
                <w:p w14:paraId="6FB6AF45">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臭气浓度</w:t>
                  </w:r>
                </w:p>
              </w:tc>
              <w:tc>
                <w:tcPr>
                  <w:tcW w:w="378" w:type="pct"/>
                  <w:tcBorders>
                    <w:tl2br w:val="nil"/>
                    <w:tr2bl w:val="nil"/>
                  </w:tcBorders>
                  <w:noWrap w:val="0"/>
                  <w:vAlign w:val="center"/>
                </w:tcPr>
                <w:p w14:paraId="6018DFE3">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63" w:type="pct"/>
                  <w:tcBorders>
                    <w:tl2br w:val="nil"/>
                    <w:tr2bl w:val="nil"/>
                  </w:tcBorders>
                  <w:noWrap w:val="0"/>
                  <w:vAlign w:val="center"/>
                </w:tcPr>
                <w:p w14:paraId="199B1487">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12" w:type="pct"/>
                  <w:tcBorders>
                    <w:tl2br w:val="nil"/>
                    <w:tr2bl w:val="nil"/>
                  </w:tcBorders>
                  <w:noWrap w:val="0"/>
                  <w:vAlign w:val="center"/>
                </w:tcPr>
                <w:p w14:paraId="4570AD06">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526" w:type="pct"/>
                  <w:vMerge w:val="continue"/>
                  <w:tcBorders>
                    <w:tl2br w:val="nil"/>
                    <w:tr2bl w:val="nil"/>
                  </w:tcBorders>
                  <w:noWrap w:val="0"/>
                  <w:vAlign w:val="center"/>
                </w:tcPr>
                <w:p w14:paraId="04BB925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06" w:type="pct"/>
                  <w:tcBorders>
                    <w:tl2br w:val="nil"/>
                    <w:tr2bl w:val="nil"/>
                  </w:tcBorders>
                  <w:noWrap w:val="0"/>
                  <w:vAlign w:val="center"/>
                </w:tcPr>
                <w:p w14:paraId="2814882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248" w:type="pct"/>
                  <w:tcBorders>
                    <w:tl2br w:val="nil"/>
                    <w:tr2bl w:val="nil"/>
                  </w:tcBorders>
                  <w:noWrap w:val="0"/>
                  <w:vAlign w:val="center"/>
                </w:tcPr>
                <w:p w14:paraId="3C649D02">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tcBorders>
                    <w:tl2br w:val="nil"/>
                    <w:tr2bl w:val="nil"/>
                  </w:tcBorders>
                  <w:noWrap w:val="0"/>
                  <w:vAlign w:val="center"/>
                </w:tcPr>
                <w:p w14:paraId="4CE7276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49" w:type="pct"/>
                  <w:vMerge w:val="continue"/>
                  <w:tcBorders>
                    <w:tl2br w:val="nil"/>
                    <w:tr2bl w:val="nil"/>
                  </w:tcBorders>
                  <w:noWrap w:val="0"/>
                  <w:vAlign w:val="center"/>
                </w:tcPr>
                <w:p w14:paraId="1B64613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1264" w:type="pct"/>
                  <w:gridSpan w:val="3"/>
                  <w:tcBorders>
                    <w:tl2br w:val="nil"/>
                    <w:tr2bl w:val="nil"/>
                  </w:tcBorders>
                  <w:noWrap w:val="0"/>
                  <w:vAlign w:val="center"/>
                </w:tcPr>
                <w:p w14:paraId="02A03D39">
                  <w:pPr>
                    <w:keepNext w:val="0"/>
                    <w:keepLines w:val="0"/>
                    <w:suppressLineNumbers w:val="0"/>
                    <w:adjustRightInd w:val="0"/>
                    <w:snapToGrid w:val="0"/>
                    <w:spacing w:before="0" w:beforeAutospacing="0" w:after="0" w:afterAutospacing="0" w:line="260" w:lineRule="exact"/>
                    <w:ind w:left="0" w:right="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＜20（无量纲）</w:t>
                  </w:r>
                </w:p>
              </w:tc>
            </w:tr>
          </w:tbl>
          <w:p w14:paraId="58D290B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w:t>
            </w:r>
            <w:r>
              <w:rPr>
                <w:rFonts w:hint="default" w:ascii="Times New Roman" w:hAnsi="Times New Roman" w:eastAsia="宋体" w:cs="Times New Roman"/>
                <w:b/>
                <w:color w:val="000000" w:themeColor="text1"/>
                <w:sz w:val="24"/>
                <w:lang w:val="en-US" w:eastAsia="zh-CN"/>
                <w14:textFill>
                  <w14:solidFill>
                    <w14:schemeClr w14:val="tx1"/>
                  </w14:solidFill>
                </w14:textFill>
              </w:rPr>
              <w:t>4-</w:t>
            </w:r>
            <w:r>
              <w:rPr>
                <w:rFonts w:hint="eastAsia" w:cs="Times New Roman"/>
                <w:b/>
                <w:color w:val="000000" w:themeColor="text1"/>
                <w:sz w:val="24"/>
                <w:lang w:val="en-US" w:eastAsia="zh-CN"/>
                <w14:textFill>
                  <w14:solidFill>
                    <w14:schemeClr w14:val="tx1"/>
                  </w14:solidFill>
                </w14:textFill>
              </w:rPr>
              <w:t>4</w:t>
            </w:r>
            <w:r>
              <w:rPr>
                <w:rFonts w:hint="default" w:ascii="Times New Roman" w:hAnsi="Times New Roman" w:eastAsia="宋体" w:cs="Times New Roman"/>
                <w:b/>
                <w:color w:val="000000" w:themeColor="text1"/>
                <w:sz w:val="24"/>
                <w14:textFill>
                  <w14:solidFill>
                    <w14:schemeClr w14:val="tx1"/>
                  </w14:solidFill>
                </w14:textFill>
              </w:rPr>
              <w:t xml:space="preserve">  项目废气排放口基本情况表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000"/>
              <w:gridCol w:w="708"/>
              <w:gridCol w:w="792"/>
              <w:gridCol w:w="641"/>
              <w:gridCol w:w="1599"/>
              <w:gridCol w:w="1615"/>
              <w:gridCol w:w="426"/>
            </w:tblGrid>
            <w:tr w14:paraId="31C6F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vMerge w:val="restart"/>
                  <w:tcBorders>
                    <w:tl2br w:val="nil"/>
                    <w:tr2bl w:val="nil"/>
                  </w:tcBorders>
                  <w:noWrap w:val="0"/>
                  <w:vAlign w:val="center"/>
                </w:tcPr>
                <w:p w14:paraId="4C3C6E9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排放口</w:t>
                  </w:r>
                </w:p>
                <w:p w14:paraId="61D1DDC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名称</w:t>
                  </w:r>
                </w:p>
              </w:tc>
              <w:tc>
                <w:tcPr>
                  <w:tcW w:w="582" w:type="pct"/>
                  <w:vMerge w:val="restart"/>
                  <w:tcBorders>
                    <w:tl2br w:val="nil"/>
                    <w:tr2bl w:val="nil"/>
                  </w:tcBorders>
                  <w:noWrap w:val="0"/>
                  <w:vAlign w:val="center"/>
                </w:tcPr>
                <w:p w14:paraId="4401EF5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排放口</w:t>
                  </w:r>
                </w:p>
                <w:p w14:paraId="1698A35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编号</w:t>
                  </w:r>
                </w:p>
              </w:tc>
              <w:tc>
                <w:tcPr>
                  <w:tcW w:w="412" w:type="pct"/>
                  <w:vMerge w:val="restart"/>
                  <w:tcBorders>
                    <w:tl2br w:val="nil"/>
                    <w:tr2bl w:val="nil"/>
                  </w:tcBorders>
                  <w:noWrap w:val="0"/>
                  <w:vAlign w:val="center"/>
                </w:tcPr>
                <w:p w14:paraId="5B6C44C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排放</w:t>
                  </w:r>
                </w:p>
                <w:p w14:paraId="315F996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高度</w:t>
                  </w:r>
                </w:p>
                <w:p w14:paraId="26A77E7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pacing w:val="-20"/>
                      <w:szCs w:val="21"/>
                      <w14:textFill>
                        <w14:solidFill>
                          <w14:schemeClr w14:val="tx1"/>
                        </w14:solidFill>
                      </w14:textFill>
                    </w:rPr>
                    <w:t>m</w:t>
                  </w:r>
                </w:p>
              </w:tc>
              <w:tc>
                <w:tcPr>
                  <w:tcW w:w="461" w:type="pct"/>
                  <w:vMerge w:val="restart"/>
                  <w:tcBorders>
                    <w:tl2br w:val="nil"/>
                    <w:tr2bl w:val="nil"/>
                  </w:tcBorders>
                  <w:noWrap w:val="0"/>
                  <w:vAlign w:val="center"/>
                </w:tcPr>
                <w:p w14:paraId="48A6A02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pacing w:val="-20"/>
                      <w:szCs w:val="21"/>
                      <w14:textFill>
                        <w14:solidFill>
                          <w14:schemeClr w14:val="tx1"/>
                        </w14:solidFill>
                      </w14:textFill>
                    </w:rPr>
                    <w:t>排气筒</w:t>
                  </w:r>
                </w:p>
                <w:p w14:paraId="07DD195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内径</w:t>
                  </w:r>
                </w:p>
                <w:p w14:paraId="1C5B497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m</w:t>
                  </w:r>
                </w:p>
              </w:tc>
              <w:tc>
                <w:tcPr>
                  <w:tcW w:w="373" w:type="pct"/>
                  <w:vMerge w:val="restart"/>
                  <w:tcBorders>
                    <w:tl2br w:val="nil"/>
                    <w:tr2bl w:val="nil"/>
                  </w:tcBorders>
                  <w:noWrap w:val="0"/>
                  <w:vAlign w:val="center"/>
                </w:tcPr>
                <w:p w14:paraId="16EE025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排气</w:t>
                  </w:r>
                </w:p>
                <w:p w14:paraId="03A95F6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温度</w:t>
                  </w:r>
                </w:p>
                <w:p w14:paraId="748CECD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pacing w:val="-20"/>
                      <w:szCs w:val="21"/>
                      <w14:textFill>
                        <w14:solidFill>
                          <w14:schemeClr w14:val="tx1"/>
                        </w14:solidFill>
                      </w14:textFill>
                    </w:rPr>
                    <w:t>℃</w:t>
                  </w:r>
                </w:p>
              </w:tc>
              <w:tc>
                <w:tcPr>
                  <w:tcW w:w="1871" w:type="pct"/>
                  <w:gridSpan w:val="2"/>
                  <w:tcBorders>
                    <w:tl2br w:val="nil"/>
                    <w:tr2bl w:val="nil"/>
                  </w:tcBorders>
                  <w:noWrap w:val="0"/>
                  <w:vAlign w:val="center"/>
                </w:tcPr>
                <w:p w14:paraId="39D53757">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排放口地理坐标</w:t>
                  </w:r>
                </w:p>
              </w:tc>
              <w:tc>
                <w:tcPr>
                  <w:tcW w:w="248" w:type="pct"/>
                  <w:vMerge w:val="restart"/>
                  <w:tcBorders>
                    <w:tl2br w:val="nil"/>
                    <w:tr2bl w:val="nil"/>
                  </w:tcBorders>
                  <w:noWrap w:val="0"/>
                  <w:vAlign w:val="center"/>
                </w:tcPr>
                <w:p w14:paraId="493D331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排放口类型</w:t>
                  </w:r>
                </w:p>
              </w:tc>
            </w:tr>
            <w:tr w14:paraId="0C01AB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vMerge w:val="continue"/>
                  <w:tcBorders>
                    <w:tl2br w:val="nil"/>
                    <w:tr2bl w:val="nil"/>
                  </w:tcBorders>
                  <w:noWrap w:val="0"/>
                  <w:vAlign w:val="center"/>
                </w:tcPr>
                <w:p w14:paraId="0440946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82" w:type="pct"/>
                  <w:vMerge w:val="continue"/>
                  <w:tcBorders>
                    <w:tl2br w:val="nil"/>
                    <w:tr2bl w:val="nil"/>
                  </w:tcBorders>
                  <w:noWrap w:val="0"/>
                  <w:vAlign w:val="center"/>
                </w:tcPr>
                <w:p w14:paraId="0FA2419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12" w:type="pct"/>
                  <w:vMerge w:val="continue"/>
                  <w:tcBorders>
                    <w:tl2br w:val="nil"/>
                    <w:tr2bl w:val="nil"/>
                  </w:tcBorders>
                  <w:noWrap w:val="0"/>
                  <w:vAlign w:val="center"/>
                </w:tcPr>
                <w:p w14:paraId="12C8D77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61" w:type="pct"/>
                  <w:vMerge w:val="continue"/>
                  <w:tcBorders>
                    <w:tl2br w:val="nil"/>
                    <w:tr2bl w:val="nil"/>
                  </w:tcBorders>
                  <w:noWrap w:val="0"/>
                  <w:vAlign w:val="center"/>
                </w:tcPr>
                <w:p w14:paraId="5FFF100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73" w:type="pct"/>
                  <w:vMerge w:val="continue"/>
                  <w:tcBorders>
                    <w:tl2br w:val="nil"/>
                    <w:tr2bl w:val="nil"/>
                  </w:tcBorders>
                  <w:noWrap w:val="0"/>
                  <w:vAlign w:val="center"/>
                </w:tcPr>
                <w:p w14:paraId="7BC631C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931" w:type="pct"/>
                  <w:tcBorders>
                    <w:tl2br w:val="nil"/>
                    <w:tr2bl w:val="nil"/>
                  </w:tcBorders>
                  <w:noWrap w:val="0"/>
                  <w:vAlign w:val="center"/>
                </w:tcPr>
                <w:p w14:paraId="22D54D2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经度</w:t>
                  </w:r>
                </w:p>
              </w:tc>
              <w:tc>
                <w:tcPr>
                  <w:tcW w:w="939" w:type="pct"/>
                  <w:tcBorders>
                    <w:tl2br w:val="nil"/>
                    <w:tr2bl w:val="nil"/>
                  </w:tcBorders>
                  <w:noWrap w:val="0"/>
                  <w:vAlign w:val="center"/>
                </w:tcPr>
                <w:p w14:paraId="548A335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纬度</w:t>
                  </w:r>
                </w:p>
              </w:tc>
              <w:tc>
                <w:tcPr>
                  <w:tcW w:w="248" w:type="pct"/>
                  <w:vMerge w:val="continue"/>
                  <w:tcBorders>
                    <w:tl2br w:val="nil"/>
                    <w:tr2bl w:val="nil"/>
                  </w:tcBorders>
                  <w:noWrap w:val="0"/>
                  <w:vAlign w:val="center"/>
                </w:tcPr>
                <w:p w14:paraId="66AF88C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449DD8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tcBorders>
                    <w:tl2br w:val="nil"/>
                    <w:tr2bl w:val="nil"/>
                  </w:tcBorders>
                  <w:noWrap w:val="0"/>
                  <w:vAlign w:val="center"/>
                </w:tcPr>
                <w:p w14:paraId="66D8196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3#生产车间投料粉尘（DA00</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82" w:type="pct"/>
                  <w:tcBorders>
                    <w:tl2br w:val="nil"/>
                    <w:tr2bl w:val="nil"/>
                  </w:tcBorders>
                  <w:noWrap w:val="0"/>
                  <w:vAlign w:val="center"/>
                </w:tcPr>
                <w:p w14:paraId="533E197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DA00</w:t>
                  </w:r>
                  <w:r>
                    <w:rPr>
                      <w:rFonts w:hint="default" w:ascii="Times New Roman" w:hAnsi="Times New Roman" w:eastAsia="宋体" w:cs="Times New Roman"/>
                      <w:color w:val="000000" w:themeColor="text1"/>
                      <w:szCs w:val="21"/>
                      <w:lang w:val="en-US" w:eastAsia="zh-CN"/>
                      <w14:textFill>
                        <w14:solidFill>
                          <w14:schemeClr w14:val="tx1"/>
                        </w14:solidFill>
                      </w14:textFill>
                    </w:rPr>
                    <w:t>1</w:t>
                  </w:r>
                </w:p>
              </w:tc>
              <w:tc>
                <w:tcPr>
                  <w:tcW w:w="412" w:type="pct"/>
                  <w:tcBorders>
                    <w:tl2br w:val="nil"/>
                    <w:tr2bl w:val="nil"/>
                  </w:tcBorders>
                  <w:noWrap w:val="0"/>
                  <w:vAlign w:val="center"/>
                </w:tcPr>
                <w:p w14:paraId="686C59A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18</w:t>
                  </w:r>
                </w:p>
              </w:tc>
              <w:tc>
                <w:tcPr>
                  <w:tcW w:w="461" w:type="pct"/>
                  <w:tcBorders>
                    <w:tl2br w:val="nil"/>
                    <w:tr2bl w:val="nil"/>
                  </w:tcBorders>
                  <w:noWrap w:val="0"/>
                  <w:vAlign w:val="center"/>
                </w:tcPr>
                <w:p w14:paraId="596CDAC6">
                  <w:pPr>
                    <w:keepNext w:val="0"/>
                    <w:keepLines w:val="0"/>
                    <w:suppressLineNumbers w:val="0"/>
                    <w:adjustRightInd w:val="0"/>
                    <w:snapToGrid w:val="0"/>
                    <w:spacing w:before="0" w:beforeAutospacing="0" w:after="0" w:afterAutospacing="0" w:line="260" w:lineRule="exact"/>
                    <w:ind w:left="0" w:right="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w:t>
                  </w:r>
                  <w:r>
                    <w:rPr>
                      <w:rFonts w:hint="eastAsia" w:cs="Times New Roman"/>
                      <w:color w:val="000000" w:themeColor="text1"/>
                      <w:szCs w:val="21"/>
                      <w:highlight w:val="none"/>
                      <w:lang w:val="en-US" w:eastAsia="zh-CN"/>
                      <w14:textFill>
                        <w14:solidFill>
                          <w14:schemeClr w14:val="tx1"/>
                        </w14:solidFill>
                      </w14:textFill>
                    </w:rPr>
                    <w:t>4</w:t>
                  </w:r>
                </w:p>
              </w:tc>
              <w:tc>
                <w:tcPr>
                  <w:tcW w:w="373" w:type="pct"/>
                  <w:tcBorders>
                    <w:tl2br w:val="nil"/>
                    <w:tr2bl w:val="nil"/>
                  </w:tcBorders>
                  <w:noWrap w:val="0"/>
                  <w:vAlign w:val="center"/>
                </w:tcPr>
                <w:p w14:paraId="1175BCF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20</w:t>
                  </w:r>
                </w:p>
              </w:tc>
              <w:tc>
                <w:tcPr>
                  <w:tcW w:w="931" w:type="pct"/>
                  <w:tcBorders>
                    <w:tl2br w:val="nil"/>
                    <w:tr2bl w:val="nil"/>
                  </w:tcBorders>
                  <w:noWrap w:val="0"/>
                  <w:vAlign w:val="center"/>
                </w:tcPr>
                <w:p w14:paraId="50CFAF3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E</w:t>
                  </w:r>
                  <w:r>
                    <w:rPr>
                      <w:rFonts w:hint="default" w:ascii="Times New Roman" w:hAnsi="Times New Roman" w:eastAsia="宋体" w:cs="Times New Roman"/>
                      <w:color w:val="000000" w:themeColor="text1"/>
                      <w:spacing w:val="-17"/>
                      <w:sz w:val="21"/>
                      <w:szCs w:val="21"/>
                      <w14:textFill>
                        <w14:solidFill>
                          <w14:schemeClr w14:val="tx1"/>
                        </w14:solidFill>
                      </w14:textFill>
                    </w:rPr>
                    <w:t>114°59′58.89414″</w:t>
                  </w:r>
                </w:p>
              </w:tc>
              <w:tc>
                <w:tcPr>
                  <w:tcW w:w="939" w:type="pct"/>
                  <w:tcBorders>
                    <w:tl2br w:val="nil"/>
                    <w:tr2bl w:val="nil"/>
                  </w:tcBorders>
                  <w:noWrap w:val="0"/>
                  <w:vAlign w:val="center"/>
                </w:tcPr>
                <w:p w14:paraId="1AF2897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14:textFill>
                        <w14:solidFill>
                          <w14:schemeClr w14:val="tx1"/>
                        </w14:solidFill>
                      </w14:textFill>
                    </w:rPr>
                  </w:pPr>
                  <w:r>
                    <w:rPr>
                      <w:rFonts w:hint="default" w:ascii="Times New Roman" w:hAnsi="Times New Roman" w:eastAsia="宋体" w:cs="Times New Roman"/>
                      <w:color w:val="000000" w:themeColor="text1"/>
                      <w:spacing w:val="-17"/>
                      <w:sz w:val="21"/>
                      <w:szCs w:val="21"/>
                      <w14:textFill>
                        <w14:solidFill>
                          <w14:schemeClr w14:val="tx1"/>
                        </w14:solidFill>
                      </w14:textFill>
                    </w:rPr>
                    <w:t>N36°20′40.45596″</w:t>
                  </w:r>
                </w:p>
              </w:tc>
              <w:tc>
                <w:tcPr>
                  <w:tcW w:w="248" w:type="pct"/>
                  <w:vMerge w:val="restart"/>
                  <w:tcBorders>
                    <w:tl2br w:val="nil"/>
                    <w:tr2bl w:val="nil"/>
                  </w:tcBorders>
                  <w:noWrap w:val="0"/>
                  <w:vAlign w:val="center"/>
                </w:tcPr>
                <w:p w14:paraId="226F47AB">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一般排放口</w:t>
                  </w:r>
                </w:p>
              </w:tc>
            </w:tr>
            <w:tr w14:paraId="692C9C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tcBorders>
                    <w:tl2br w:val="nil"/>
                    <w:tr2bl w:val="nil"/>
                  </w:tcBorders>
                  <w:noWrap w:val="0"/>
                  <w:vAlign w:val="center"/>
                </w:tcPr>
                <w:p w14:paraId="17E6F399">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8#车间蒸煮/</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卤制过程产生的异味（DA002）</w:t>
                  </w:r>
                </w:p>
              </w:tc>
              <w:tc>
                <w:tcPr>
                  <w:tcW w:w="582" w:type="pct"/>
                  <w:tcBorders>
                    <w:tl2br w:val="nil"/>
                    <w:tr2bl w:val="nil"/>
                  </w:tcBorders>
                  <w:noWrap w:val="0"/>
                  <w:vAlign w:val="center"/>
                </w:tcPr>
                <w:p w14:paraId="362CEB5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DA00</w:t>
                  </w:r>
                  <w:r>
                    <w:rPr>
                      <w:rFonts w:hint="default" w:ascii="Times New Roman" w:hAnsi="Times New Roman" w:eastAsia="宋体" w:cs="Times New Roman"/>
                      <w:color w:val="000000" w:themeColor="text1"/>
                      <w:szCs w:val="21"/>
                      <w:lang w:val="en-US" w:eastAsia="zh-CN"/>
                      <w14:textFill>
                        <w14:solidFill>
                          <w14:schemeClr w14:val="tx1"/>
                        </w14:solidFill>
                      </w14:textFill>
                    </w:rPr>
                    <w:t>2</w:t>
                  </w:r>
                </w:p>
              </w:tc>
              <w:tc>
                <w:tcPr>
                  <w:tcW w:w="412" w:type="pct"/>
                  <w:tcBorders>
                    <w:tl2br w:val="nil"/>
                    <w:tr2bl w:val="nil"/>
                  </w:tcBorders>
                  <w:noWrap w:val="0"/>
                  <w:vAlign w:val="center"/>
                </w:tcPr>
                <w:p w14:paraId="1AF170F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w:t>
                  </w:r>
                  <w:r>
                    <w:rPr>
                      <w:rFonts w:hint="eastAsia" w:cs="Times New Roman"/>
                      <w:color w:val="000000" w:themeColor="text1"/>
                      <w:szCs w:val="21"/>
                      <w:lang w:val="en-US" w:eastAsia="zh-CN"/>
                      <w14:textFill>
                        <w14:solidFill>
                          <w14:schemeClr w14:val="tx1"/>
                        </w14:solidFill>
                      </w14:textFill>
                    </w:rPr>
                    <w:t>7</w:t>
                  </w:r>
                </w:p>
              </w:tc>
              <w:tc>
                <w:tcPr>
                  <w:tcW w:w="461" w:type="pct"/>
                  <w:tcBorders>
                    <w:tl2br w:val="nil"/>
                    <w:tr2bl w:val="nil"/>
                  </w:tcBorders>
                  <w:noWrap w:val="0"/>
                  <w:vAlign w:val="center"/>
                </w:tcPr>
                <w:p w14:paraId="1BB96547">
                  <w:pPr>
                    <w:keepNext w:val="0"/>
                    <w:keepLines w:val="0"/>
                    <w:suppressLineNumbers w:val="0"/>
                    <w:adjustRightInd w:val="0"/>
                    <w:snapToGrid w:val="0"/>
                    <w:spacing w:before="0" w:beforeAutospacing="0" w:after="0" w:afterAutospacing="0" w:line="260" w:lineRule="exact"/>
                    <w:ind w:left="0" w:right="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w:t>
                  </w:r>
                  <w:r>
                    <w:rPr>
                      <w:rFonts w:hint="eastAsia" w:cs="Times New Roman"/>
                      <w:color w:val="000000" w:themeColor="text1"/>
                      <w:szCs w:val="21"/>
                      <w:highlight w:val="none"/>
                      <w:lang w:val="en-US" w:eastAsia="zh-CN"/>
                      <w14:textFill>
                        <w14:solidFill>
                          <w14:schemeClr w14:val="tx1"/>
                        </w14:solidFill>
                      </w14:textFill>
                    </w:rPr>
                    <w:t>3</w:t>
                  </w:r>
                </w:p>
              </w:tc>
              <w:tc>
                <w:tcPr>
                  <w:tcW w:w="373" w:type="pct"/>
                  <w:tcBorders>
                    <w:tl2br w:val="nil"/>
                    <w:tr2bl w:val="nil"/>
                  </w:tcBorders>
                  <w:noWrap w:val="0"/>
                  <w:vAlign w:val="center"/>
                </w:tcPr>
                <w:p w14:paraId="122A08D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20</w:t>
                  </w:r>
                </w:p>
              </w:tc>
              <w:tc>
                <w:tcPr>
                  <w:tcW w:w="931" w:type="pct"/>
                  <w:tcBorders>
                    <w:tl2br w:val="nil"/>
                    <w:tr2bl w:val="nil"/>
                  </w:tcBorders>
                  <w:noWrap w:val="0"/>
                  <w:vAlign w:val="center"/>
                </w:tcPr>
                <w:p w14:paraId="414A4FA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E114°59′48.90989″</w:t>
                  </w:r>
                </w:p>
              </w:tc>
              <w:tc>
                <w:tcPr>
                  <w:tcW w:w="939" w:type="pct"/>
                  <w:tcBorders>
                    <w:tl2br w:val="nil"/>
                    <w:tr2bl w:val="nil"/>
                  </w:tcBorders>
                  <w:noWrap w:val="0"/>
                  <w:vAlign w:val="center"/>
                </w:tcPr>
                <w:p w14:paraId="160B4CD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14:textFill>
                        <w14:solidFill>
                          <w14:schemeClr w14:val="tx1"/>
                        </w14:solidFill>
                      </w14:textFill>
                    </w:rPr>
                  </w:pPr>
                  <w:r>
                    <w:rPr>
                      <w:rFonts w:hint="default" w:ascii="Times New Roman" w:hAnsi="Times New Roman" w:eastAsia="宋体" w:cs="Times New Roman"/>
                      <w:color w:val="000000" w:themeColor="text1"/>
                      <w:spacing w:val="-17"/>
                      <w:sz w:val="21"/>
                      <w:szCs w:val="21"/>
                      <w14:textFill>
                        <w14:solidFill>
                          <w14:schemeClr w14:val="tx1"/>
                        </w14:solidFill>
                      </w14:textFill>
                    </w:rPr>
                    <w:t>N</w:t>
                  </w: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36°20′40.55252″</w:t>
                  </w:r>
                </w:p>
              </w:tc>
              <w:tc>
                <w:tcPr>
                  <w:tcW w:w="248" w:type="pct"/>
                  <w:vMerge w:val="continue"/>
                  <w:tcBorders>
                    <w:tl2br w:val="nil"/>
                    <w:tr2bl w:val="nil"/>
                  </w:tcBorders>
                  <w:noWrap w:val="0"/>
                  <w:vAlign w:val="center"/>
                </w:tcPr>
                <w:p w14:paraId="064E8A6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7A9438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tcBorders>
                    <w:tl2br w:val="nil"/>
                    <w:tr2bl w:val="nil"/>
                  </w:tcBorders>
                  <w:noWrap w:val="0"/>
                  <w:vAlign w:val="center"/>
                </w:tcPr>
                <w:p w14:paraId="3B972E4F">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10#车间蒸煮/</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卤制过程产生的异味（DA00</w:t>
                  </w:r>
                  <w:r>
                    <w:rPr>
                      <w:rFonts w:hint="eastAsia" w:ascii="Times New Roman" w:hAnsi="Times New Roman" w:eastAsia="宋体" w:cs="Times New Roman"/>
                      <w:color w:val="000000" w:themeColor="text1"/>
                      <w:szCs w:val="21"/>
                      <w:lang w:val="en-US" w:eastAsia="zh-CN"/>
                      <w14:textFill>
                        <w14:solidFill>
                          <w14:schemeClr w14:val="tx1"/>
                        </w14:solidFill>
                      </w14:textFill>
                    </w:rPr>
                    <w:t>3</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82" w:type="pct"/>
                  <w:tcBorders>
                    <w:tl2br w:val="nil"/>
                    <w:tr2bl w:val="nil"/>
                  </w:tcBorders>
                  <w:noWrap w:val="0"/>
                  <w:vAlign w:val="center"/>
                </w:tcPr>
                <w:p w14:paraId="0E94AF6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DA00</w:t>
                  </w:r>
                  <w:r>
                    <w:rPr>
                      <w:rFonts w:hint="default" w:ascii="Times New Roman" w:hAnsi="Times New Roman" w:eastAsia="宋体" w:cs="Times New Roman"/>
                      <w:color w:val="000000" w:themeColor="text1"/>
                      <w:szCs w:val="21"/>
                      <w:lang w:val="en-US" w:eastAsia="zh-CN"/>
                      <w14:textFill>
                        <w14:solidFill>
                          <w14:schemeClr w14:val="tx1"/>
                        </w14:solidFill>
                      </w14:textFill>
                    </w:rPr>
                    <w:t>3</w:t>
                  </w:r>
                </w:p>
              </w:tc>
              <w:tc>
                <w:tcPr>
                  <w:tcW w:w="412" w:type="pct"/>
                  <w:tcBorders>
                    <w:tl2br w:val="nil"/>
                    <w:tr2bl w:val="nil"/>
                  </w:tcBorders>
                  <w:noWrap w:val="0"/>
                  <w:vAlign w:val="center"/>
                </w:tcPr>
                <w:p w14:paraId="10DBF76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w:t>
                  </w:r>
                  <w:r>
                    <w:rPr>
                      <w:rFonts w:hint="eastAsia" w:cs="Times New Roman"/>
                      <w:color w:val="000000" w:themeColor="text1"/>
                      <w:szCs w:val="21"/>
                      <w:lang w:val="en-US" w:eastAsia="zh-CN"/>
                      <w14:textFill>
                        <w14:solidFill>
                          <w14:schemeClr w14:val="tx1"/>
                        </w14:solidFill>
                      </w14:textFill>
                    </w:rPr>
                    <w:t>7</w:t>
                  </w:r>
                </w:p>
              </w:tc>
              <w:tc>
                <w:tcPr>
                  <w:tcW w:w="461" w:type="pct"/>
                  <w:tcBorders>
                    <w:tl2br w:val="nil"/>
                    <w:tr2bl w:val="nil"/>
                  </w:tcBorders>
                  <w:noWrap w:val="0"/>
                  <w:vAlign w:val="center"/>
                </w:tcPr>
                <w:p w14:paraId="3D197636">
                  <w:pPr>
                    <w:keepNext w:val="0"/>
                    <w:keepLines w:val="0"/>
                    <w:suppressLineNumbers w:val="0"/>
                    <w:adjustRightInd w:val="0"/>
                    <w:snapToGrid w:val="0"/>
                    <w:spacing w:before="0" w:beforeAutospacing="0" w:after="0" w:afterAutospacing="0" w:line="260" w:lineRule="exact"/>
                    <w:ind w:left="0" w:right="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w:t>
                  </w:r>
                  <w:r>
                    <w:rPr>
                      <w:rFonts w:hint="eastAsia" w:cs="Times New Roman"/>
                      <w:color w:val="000000" w:themeColor="text1"/>
                      <w:szCs w:val="21"/>
                      <w:highlight w:val="none"/>
                      <w:lang w:val="en-US" w:eastAsia="zh-CN"/>
                      <w14:textFill>
                        <w14:solidFill>
                          <w14:schemeClr w14:val="tx1"/>
                        </w14:solidFill>
                      </w14:textFill>
                    </w:rPr>
                    <w:t>3</w:t>
                  </w:r>
                </w:p>
              </w:tc>
              <w:tc>
                <w:tcPr>
                  <w:tcW w:w="373" w:type="pct"/>
                  <w:tcBorders>
                    <w:tl2br w:val="nil"/>
                    <w:tr2bl w:val="nil"/>
                  </w:tcBorders>
                  <w:noWrap w:val="0"/>
                  <w:vAlign w:val="center"/>
                </w:tcPr>
                <w:p w14:paraId="68F34EF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20</w:t>
                  </w:r>
                </w:p>
              </w:tc>
              <w:tc>
                <w:tcPr>
                  <w:tcW w:w="931" w:type="pct"/>
                  <w:tcBorders>
                    <w:tl2br w:val="nil"/>
                    <w:tr2bl w:val="nil"/>
                  </w:tcBorders>
                  <w:noWrap w:val="0"/>
                  <w:vAlign w:val="center"/>
                </w:tcPr>
                <w:p w14:paraId="0A20F00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E</w:t>
                  </w:r>
                  <w:r>
                    <w:rPr>
                      <w:rFonts w:hint="default" w:ascii="Times New Roman" w:hAnsi="Times New Roman" w:eastAsia="宋体" w:cs="Times New Roman"/>
                      <w:color w:val="000000" w:themeColor="text1"/>
                      <w:spacing w:val="-17"/>
                      <w:sz w:val="21"/>
                      <w:szCs w:val="21"/>
                      <w14:textFill>
                        <w14:solidFill>
                          <w14:schemeClr w14:val="tx1"/>
                        </w14:solidFill>
                      </w14:textFill>
                    </w:rPr>
                    <w:t>114°59′48.81333″</w:t>
                  </w:r>
                </w:p>
              </w:tc>
              <w:tc>
                <w:tcPr>
                  <w:tcW w:w="939" w:type="pct"/>
                  <w:tcBorders>
                    <w:tl2br w:val="nil"/>
                    <w:tr2bl w:val="nil"/>
                  </w:tcBorders>
                  <w:noWrap w:val="0"/>
                  <w:vAlign w:val="center"/>
                </w:tcPr>
                <w:p w14:paraId="00A0857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14:textFill>
                        <w14:solidFill>
                          <w14:schemeClr w14:val="tx1"/>
                        </w14:solidFill>
                      </w14:textFill>
                    </w:rPr>
                  </w:pPr>
                  <w:r>
                    <w:rPr>
                      <w:rFonts w:hint="default" w:ascii="Times New Roman" w:hAnsi="Times New Roman" w:eastAsia="宋体" w:cs="Times New Roman"/>
                      <w:color w:val="000000" w:themeColor="text1"/>
                      <w:spacing w:val="-17"/>
                      <w:sz w:val="21"/>
                      <w:szCs w:val="21"/>
                      <w14:textFill>
                        <w14:solidFill>
                          <w14:schemeClr w14:val="tx1"/>
                        </w14:solidFill>
                      </w14:textFill>
                    </w:rPr>
                    <w:t>N36°20′38.83376″</w:t>
                  </w:r>
                </w:p>
              </w:tc>
              <w:tc>
                <w:tcPr>
                  <w:tcW w:w="248" w:type="pct"/>
                  <w:vMerge w:val="continue"/>
                  <w:tcBorders>
                    <w:tl2br w:val="nil"/>
                    <w:tr2bl w:val="nil"/>
                  </w:tcBorders>
                  <w:noWrap w:val="0"/>
                  <w:vAlign w:val="center"/>
                </w:tcPr>
                <w:p w14:paraId="597B282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3380B9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tcBorders>
                    <w:tl2br w:val="nil"/>
                    <w:tr2bl w:val="nil"/>
                  </w:tcBorders>
                  <w:noWrap w:val="0"/>
                  <w:vAlign w:val="center"/>
                </w:tcPr>
                <w:p w14:paraId="5CB14E7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3#烤箱烘干天然气</w:t>
                  </w:r>
                  <w:r>
                    <w:rPr>
                      <w:rFonts w:hint="default" w:ascii="Times New Roman" w:hAnsi="Times New Roman" w:eastAsia="宋体" w:cs="Times New Roman"/>
                      <w:color w:val="000000" w:themeColor="text1"/>
                      <w:szCs w:val="21"/>
                      <w:lang w:val="en-US" w:eastAsia="zh-CN"/>
                      <w14:textFill>
                        <w14:solidFill>
                          <w14:schemeClr w14:val="tx1"/>
                        </w14:solidFill>
                      </w14:textFill>
                    </w:rPr>
                    <w:t>燃烧废气（DA00</w:t>
                  </w:r>
                  <w:r>
                    <w:rPr>
                      <w:rFonts w:hint="eastAsia" w:ascii="Times New Roman" w:hAnsi="Times New Roman" w:eastAsia="宋体" w:cs="Times New Roman"/>
                      <w:color w:val="000000" w:themeColor="text1"/>
                      <w:szCs w:val="21"/>
                      <w:lang w:val="en-US" w:eastAsia="zh-CN"/>
                      <w14:textFill>
                        <w14:solidFill>
                          <w14:schemeClr w14:val="tx1"/>
                        </w14:solidFill>
                      </w14:textFill>
                    </w:rPr>
                    <w:t>4</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82" w:type="pct"/>
                  <w:tcBorders>
                    <w:tl2br w:val="nil"/>
                    <w:tr2bl w:val="nil"/>
                  </w:tcBorders>
                  <w:noWrap w:val="0"/>
                  <w:vAlign w:val="center"/>
                </w:tcPr>
                <w:p w14:paraId="1A864C7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DA00</w:t>
                  </w:r>
                  <w:r>
                    <w:rPr>
                      <w:rFonts w:hint="default" w:ascii="Times New Roman" w:hAnsi="Times New Roman" w:eastAsia="宋体" w:cs="Times New Roman"/>
                      <w:color w:val="000000" w:themeColor="text1"/>
                      <w:szCs w:val="21"/>
                      <w:lang w:val="en-US" w:eastAsia="zh-CN"/>
                      <w14:textFill>
                        <w14:solidFill>
                          <w14:schemeClr w14:val="tx1"/>
                        </w14:solidFill>
                      </w14:textFill>
                    </w:rPr>
                    <w:t>4</w:t>
                  </w:r>
                </w:p>
              </w:tc>
              <w:tc>
                <w:tcPr>
                  <w:tcW w:w="412" w:type="pct"/>
                  <w:tcBorders>
                    <w:tl2br w:val="nil"/>
                    <w:tr2bl w:val="nil"/>
                  </w:tcBorders>
                  <w:noWrap w:val="0"/>
                  <w:vAlign w:val="center"/>
                </w:tcPr>
                <w:p w14:paraId="192DFC8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27</w:t>
                  </w:r>
                </w:p>
              </w:tc>
              <w:tc>
                <w:tcPr>
                  <w:tcW w:w="461" w:type="pct"/>
                  <w:tcBorders>
                    <w:tl2br w:val="nil"/>
                    <w:tr2bl w:val="nil"/>
                  </w:tcBorders>
                  <w:noWrap w:val="0"/>
                  <w:vAlign w:val="center"/>
                </w:tcPr>
                <w:p w14:paraId="421E37B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r>
                    <w:rPr>
                      <w:rFonts w:hint="eastAsia" w:cs="Times New Roman"/>
                      <w:color w:val="000000" w:themeColor="text1"/>
                      <w:szCs w:val="21"/>
                      <w:highlight w:val="none"/>
                      <w:lang w:val="en-US" w:eastAsia="zh-CN"/>
                      <w14:textFill>
                        <w14:solidFill>
                          <w14:schemeClr w14:val="tx1"/>
                        </w14:solidFill>
                      </w14:textFill>
                    </w:rPr>
                    <w:t>5</w:t>
                  </w:r>
                </w:p>
              </w:tc>
              <w:tc>
                <w:tcPr>
                  <w:tcW w:w="373" w:type="pct"/>
                  <w:tcBorders>
                    <w:tl2br w:val="nil"/>
                    <w:tr2bl w:val="nil"/>
                  </w:tcBorders>
                  <w:noWrap w:val="0"/>
                  <w:vAlign w:val="center"/>
                </w:tcPr>
                <w:p w14:paraId="0F7849F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80</w:t>
                  </w:r>
                </w:p>
              </w:tc>
              <w:tc>
                <w:tcPr>
                  <w:tcW w:w="931" w:type="pct"/>
                  <w:tcBorders>
                    <w:tl2br w:val="nil"/>
                    <w:tr2bl w:val="nil"/>
                  </w:tcBorders>
                  <w:noWrap w:val="0"/>
                  <w:vAlign w:val="center"/>
                </w:tcPr>
                <w:p w14:paraId="4A92330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pacing w:val="-17"/>
                      <w:sz w:val="21"/>
                      <w:szCs w:val="21"/>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E</w:t>
                  </w:r>
                  <w:r>
                    <w:rPr>
                      <w:rFonts w:hint="default" w:ascii="Times New Roman" w:hAnsi="Times New Roman" w:eastAsia="宋体" w:cs="Times New Roman"/>
                      <w:color w:val="000000" w:themeColor="text1"/>
                      <w:spacing w:val="-17"/>
                      <w:sz w:val="21"/>
                      <w:szCs w:val="21"/>
                      <w14:textFill>
                        <w14:solidFill>
                          <w14:schemeClr w14:val="tx1"/>
                        </w14:solidFill>
                      </w14:textFill>
                    </w:rPr>
                    <w:t>114°59′58.35341″</w:t>
                  </w:r>
                </w:p>
              </w:tc>
              <w:tc>
                <w:tcPr>
                  <w:tcW w:w="939" w:type="pct"/>
                  <w:tcBorders>
                    <w:tl2br w:val="nil"/>
                    <w:tr2bl w:val="nil"/>
                  </w:tcBorders>
                  <w:noWrap w:val="0"/>
                  <w:vAlign w:val="center"/>
                </w:tcPr>
                <w:p w14:paraId="483E363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pacing w:val="-17"/>
                      <w:sz w:val="21"/>
                      <w:szCs w:val="21"/>
                      <w14:textFill>
                        <w14:solidFill>
                          <w14:schemeClr w14:val="tx1"/>
                        </w14:solidFill>
                      </w14:textFill>
                    </w:rPr>
                  </w:pPr>
                  <w:r>
                    <w:rPr>
                      <w:rFonts w:hint="default" w:ascii="Times New Roman" w:hAnsi="Times New Roman" w:eastAsia="宋体" w:cs="Times New Roman"/>
                      <w:color w:val="000000" w:themeColor="text1"/>
                      <w:spacing w:val="-17"/>
                      <w:sz w:val="21"/>
                      <w:szCs w:val="21"/>
                      <w14:textFill>
                        <w14:solidFill>
                          <w14:schemeClr w14:val="tx1"/>
                        </w14:solidFill>
                      </w14:textFill>
                    </w:rPr>
                    <w:t>N36°20′40.34009″</w:t>
                  </w:r>
                </w:p>
              </w:tc>
              <w:tc>
                <w:tcPr>
                  <w:tcW w:w="248" w:type="pct"/>
                  <w:vMerge w:val="continue"/>
                  <w:tcBorders>
                    <w:tl2br w:val="nil"/>
                    <w:tr2bl w:val="nil"/>
                  </w:tcBorders>
                  <w:noWrap w:val="0"/>
                  <w:vAlign w:val="center"/>
                </w:tcPr>
                <w:p w14:paraId="18A26F4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62389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tcBorders>
                    <w:tl2br w:val="nil"/>
                    <w:tr2bl w:val="nil"/>
                  </w:tcBorders>
                  <w:noWrap w:val="0"/>
                  <w:vAlign w:val="center"/>
                </w:tcPr>
                <w:p w14:paraId="5FD4C072">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82" w:type="pct"/>
                  <w:tcBorders>
                    <w:tl2br w:val="nil"/>
                    <w:tr2bl w:val="nil"/>
                  </w:tcBorders>
                  <w:noWrap w:val="0"/>
                  <w:vAlign w:val="center"/>
                </w:tcPr>
                <w:p w14:paraId="7C8C3C9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DA00</w:t>
                  </w:r>
                  <w:r>
                    <w:rPr>
                      <w:rFonts w:hint="default" w:ascii="Times New Roman" w:hAnsi="Times New Roman" w:eastAsia="宋体" w:cs="Times New Roman"/>
                      <w:color w:val="000000" w:themeColor="text1"/>
                      <w:szCs w:val="21"/>
                      <w:lang w:val="en-US" w:eastAsia="zh-CN"/>
                      <w14:textFill>
                        <w14:solidFill>
                          <w14:schemeClr w14:val="tx1"/>
                        </w14:solidFill>
                      </w14:textFill>
                    </w:rPr>
                    <w:t>5</w:t>
                  </w:r>
                </w:p>
              </w:tc>
              <w:tc>
                <w:tcPr>
                  <w:tcW w:w="412" w:type="pct"/>
                  <w:tcBorders>
                    <w:tl2br w:val="nil"/>
                    <w:tr2bl w:val="nil"/>
                  </w:tcBorders>
                  <w:noWrap w:val="0"/>
                  <w:vAlign w:val="center"/>
                </w:tcPr>
                <w:p w14:paraId="27152826">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27</w:t>
                  </w:r>
                </w:p>
              </w:tc>
              <w:tc>
                <w:tcPr>
                  <w:tcW w:w="461" w:type="pct"/>
                  <w:tcBorders>
                    <w:tl2br w:val="nil"/>
                    <w:tr2bl w:val="nil"/>
                  </w:tcBorders>
                  <w:noWrap w:val="0"/>
                  <w:vAlign w:val="center"/>
                </w:tcPr>
                <w:p w14:paraId="051D036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r>
                    <w:rPr>
                      <w:rFonts w:hint="eastAsia" w:cs="Times New Roman"/>
                      <w:color w:val="000000" w:themeColor="text1"/>
                      <w:szCs w:val="21"/>
                      <w:highlight w:val="none"/>
                      <w:lang w:val="en-US" w:eastAsia="zh-CN"/>
                      <w14:textFill>
                        <w14:solidFill>
                          <w14:schemeClr w14:val="tx1"/>
                        </w14:solidFill>
                      </w14:textFill>
                    </w:rPr>
                    <w:t>5</w:t>
                  </w:r>
                </w:p>
              </w:tc>
              <w:tc>
                <w:tcPr>
                  <w:tcW w:w="373" w:type="pct"/>
                  <w:tcBorders>
                    <w:tl2br w:val="nil"/>
                    <w:tr2bl w:val="nil"/>
                  </w:tcBorders>
                  <w:noWrap w:val="0"/>
                  <w:vAlign w:val="center"/>
                </w:tcPr>
                <w:p w14:paraId="72E450C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80</w:t>
                  </w:r>
                </w:p>
              </w:tc>
              <w:tc>
                <w:tcPr>
                  <w:tcW w:w="931" w:type="pct"/>
                  <w:tcBorders>
                    <w:tl2br w:val="nil"/>
                    <w:tr2bl w:val="nil"/>
                  </w:tcBorders>
                  <w:noWrap w:val="0"/>
                  <w:vAlign w:val="center"/>
                </w:tcPr>
                <w:p w14:paraId="46A66FF9">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E114°59′57.42644″</w:t>
                  </w:r>
                </w:p>
              </w:tc>
              <w:tc>
                <w:tcPr>
                  <w:tcW w:w="939" w:type="pct"/>
                  <w:tcBorders>
                    <w:tl2br w:val="nil"/>
                    <w:tr2bl w:val="nil"/>
                  </w:tcBorders>
                  <w:noWrap w:val="0"/>
                  <w:vAlign w:val="center"/>
                </w:tcPr>
                <w:p w14:paraId="7198975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N36°20′39.41312″</w:t>
                  </w:r>
                </w:p>
              </w:tc>
              <w:tc>
                <w:tcPr>
                  <w:tcW w:w="248" w:type="pct"/>
                  <w:vMerge w:val="continue"/>
                  <w:tcBorders>
                    <w:tl2br w:val="nil"/>
                    <w:tr2bl w:val="nil"/>
                  </w:tcBorders>
                  <w:noWrap w:val="0"/>
                  <w:vAlign w:val="center"/>
                </w:tcPr>
                <w:p w14:paraId="51E1681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121D86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tcBorders>
                    <w:tl2br w:val="nil"/>
                    <w:tr2bl w:val="nil"/>
                  </w:tcBorders>
                  <w:noWrap w:val="0"/>
                  <w:vAlign w:val="center"/>
                </w:tcPr>
                <w:p w14:paraId="7C2B993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6</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82" w:type="pct"/>
                  <w:tcBorders>
                    <w:tl2br w:val="nil"/>
                    <w:tr2bl w:val="nil"/>
                  </w:tcBorders>
                  <w:noWrap w:val="0"/>
                  <w:vAlign w:val="center"/>
                </w:tcPr>
                <w:p w14:paraId="026761C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DA00</w:t>
                  </w:r>
                  <w:r>
                    <w:rPr>
                      <w:rFonts w:hint="default" w:ascii="Times New Roman" w:hAnsi="Times New Roman" w:eastAsia="宋体" w:cs="Times New Roman"/>
                      <w:color w:val="000000" w:themeColor="text1"/>
                      <w:szCs w:val="21"/>
                      <w:lang w:val="en-US" w:eastAsia="zh-CN"/>
                      <w14:textFill>
                        <w14:solidFill>
                          <w14:schemeClr w14:val="tx1"/>
                        </w14:solidFill>
                      </w14:textFill>
                    </w:rPr>
                    <w:t>6</w:t>
                  </w:r>
                </w:p>
              </w:tc>
              <w:tc>
                <w:tcPr>
                  <w:tcW w:w="412" w:type="pct"/>
                  <w:tcBorders>
                    <w:tl2br w:val="nil"/>
                    <w:tr2bl w:val="nil"/>
                  </w:tcBorders>
                  <w:noWrap w:val="0"/>
                  <w:vAlign w:val="center"/>
                </w:tcPr>
                <w:p w14:paraId="52185AD4">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27</w:t>
                  </w:r>
                </w:p>
              </w:tc>
              <w:tc>
                <w:tcPr>
                  <w:tcW w:w="461" w:type="pct"/>
                  <w:tcBorders>
                    <w:tl2br w:val="nil"/>
                    <w:tr2bl w:val="nil"/>
                  </w:tcBorders>
                  <w:noWrap w:val="0"/>
                  <w:vAlign w:val="center"/>
                </w:tcPr>
                <w:p w14:paraId="7C86B30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r>
                    <w:rPr>
                      <w:rFonts w:hint="eastAsia" w:cs="Times New Roman"/>
                      <w:color w:val="000000" w:themeColor="text1"/>
                      <w:szCs w:val="21"/>
                      <w:highlight w:val="none"/>
                      <w:lang w:val="en-US" w:eastAsia="zh-CN"/>
                      <w14:textFill>
                        <w14:solidFill>
                          <w14:schemeClr w14:val="tx1"/>
                        </w14:solidFill>
                      </w14:textFill>
                    </w:rPr>
                    <w:t>5</w:t>
                  </w:r>
                </w:p>
              </w:tc>
              <w:tc>
                <w:tcPr>
                  <w:tcW w:w="373" w:type="pct"/>
                  <w:tcBorders>
                    <w:tl2br w:val="nil"/>
                    <w:tr2bl w:val="nil"/>
                  </w:tcBorders>
                  <w:noWrap w:val="0"/>
                  <w:vAlign w:val="center"/>
                </w:tcPr>
                <w:p w14:paraId="34682AE1">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80</w:t>
                  </w:r>
                </w:p>
              </w:tc>
              <w:tc>
                <w:tcPr>
                  <w:tcW w:w="931" w:type="pct"/>
                  <w:tcBorders>
                    <w:tl2br w:val="nil"/>
                    <w:tr2bl w:val="nil"/>
                  </w:tcBorders>
                  <w:noWrap w:val="0"/>
                  <w:vAlign w:val="center"/>
                </w:tcPr>
                <w:p w14:paraId="6EE1C2D5">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E114°59′47.90567″</w:t>
                  </w:r>
                </w:p>
              </w:tc>
              <w:tc>
                <w:tcPr>
                  <w:tcW w:w="939" w:type="pct"/>
                  <w:tcBorders>
                    <w:tl2br w:val="nil"/>
                    <w:tr2bl w:val="nil"/>
                  </w:tcBorders>
                  <w:noWrap w:val="0"/>
                  <w:vAlign w:val="center"/>
                </w:tcPr>
                <w:p w14:paraId="66B7D49E">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N36°20′40.72633″</w:t>
                  </w:r>
                </w:p>
              </w:tc>
              <w:tc>
                <w:tcPr>
                  <w:tcW w:w="248" w:type="pct"/>
                  <w:vMerge w:val="continue"/>
                  <w:tcBorders>
                    <w:tl2br w:val="nil"/>
                    <w:tr2bl w:val="nil"/>
                  </w:tcBorders>
                  <w:noWrap w:val="0"/>
                  <w:vAlign w:val="center"/>
                </w:tcPr>
                <w:p w14:paraId="244E4F1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31ED3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tcBorders>
                    <w:tl2br w:val="nil"/>
                    <w:tr2bl w:val="nil"/>
                  </w:tcBorders>
                  <w:noWrap w:val="0"/>
                  <w:vAlign w:val="center"/>
                </w:tcPr>
                <w:p w14:paraId="118D7E15">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7</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82" w:type="pct"/>
                  <w:tcBorders>
                    <w:tl2br w:val="nil"/>
                    <w:tr2bl w:val="nil"/>
                  </w:tcBorders>
                  <w:noWrap w:val="0"/>
                  <w:vAlign w:val="center"/>
                </w:tcPr>
                <w:p w14:paraId="1121569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DA00</w:t>
                  </w:r>
                  <w:r>
                    <w:rPr>
                      <w:rFonts w:hint="default" w:ascii="Times New Roman" w:hAnsi="Times New Roman" w:eastAsia="宋体" w:cs="Times New Roman"/>
                      <w:color w:val="000000" w:themeColor="text1"/>
                      <w:szCs w:val="21"/>
                      <w:lang w:val="en-US" w:eastAsia="zh-CN"/>
                      <w14:textFill>
                        <w14:solidFill>
                          <w14:schemeClr w14:val="tx1"/>
                        </w14:solidFill>
                      </w14:textFill>
                    </w:rPr>
                    <w:t>7</w:t>
                  </w:r>
                </w:p>
              </w:tc>
              <w:tc>
                <w:tcPr>
                  <w:tcW w:w="412" w:type="pct"/>
                  <w:tcBorders>
                    <w:tl2br w:val="nil"/>
                    <w:tr2bl w:val="nil"/>
                  </w:tcBorders>
                  <w:noWrap w:val="0"/>
                  <w:vAlign w:val="center"/>
                </w:tcPr>
                <w:p w14:paraId="5E07CAA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27</w:t>
                  </w:r>
                </w:p>
              </w:tc>
              <w:tc>
                <w:tcPr>
                  <w:tcW w:w="461" w:type="pct"/>
                  <w:tcBorders>
                    <w:tl2br w:val="nil"/>
                    <w:tr2bl w:val="nil"/>
                  </w:tcBorders>
                  <w:noWrap w:val="0"/>
                  <w:vAlign w:val="center"/>
                </w:tcPr>
                <w:p w14:paraId="184D4F7C">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0.5</w:t>
                  </w:r>
                </w:p>
              </w:tc>
              <w:tc>
                <w:tcPr>
                  <w:tcW w:w="373" w:type="pct"/>
                  <w:tcBorders>
                    <w:tl2br w:val="nil"/>
                    <w:tr2bl w:val="nil"/>
                  </w:tcBorders>
                  <w:noWrap w:val="0"/>
                  <w:vAlign w:val="center"/>
                </w:tcPr>
                <w:p w14:paraId="0B39E7B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80</w:t>
                  </w:r>
                </w:p>
              </w:tc>
              <w:tc>
                <w:tcPr>
                  <w:tcW w:w="931" w:type="pct"/>
                  <w:tcBorders>
                    <w:tl2br w:val="nil"/>
                    <w:tr2bl w:val="nil"/>
                  </w:tcBorders>
                  <w:noWrap w:val="0"/>
                  <w:vAlign w:val="center"/>
                </w:tcPr>
                <w:p w14:paraId="412965B3">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E114°59′47.69324″</w:t>
                  </w:r>
                </w:p>
              </w:tc>
              <w:tc>
                <w:tcPr>
                  <w:tcW w:w="939" w:type="pct"/>
                  <w:tcBorders>
                    <w:tl2br w:val="nil"/>
                    <w:tr2bl w:val="nil"/>
                  </w:tcBorders>
                  <w:noWrap w:val="0"/>
                  <w:vAlign w:val="center"/>
                </w:tcPr>
                <w:p w14:paraId="3A93B028">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N36°20′38.37028″</w:t>
                  </w:r>
                </w:p>
              </w:tc>
              <w:tc>
                <w:tcPr>
                  <w:tcW w:w="248" w:type="pct"/>
                  <w:vMerge w:val="continue"/>
                  <w:tcBorders>
                    <w:tl2br w:val="nil"/>
                    <w:tr2bl w:val="nil"/>
                  </w:tcBorders>
                  <w:noWrap w:val="0"/>
                  <w:vAlign w:val="center"/>
                </w:tcPr>
                <w:p w14:paraId="74E3450A">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577D9B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0" w:type="pct"/>
                  <w:tcBorders>
                    <w:tl2br w:val="nil"/>
                    <w:tr2bl w:val="nil"/>
                  </w:tcBorders>
                  <w:noWrap w:val="0"/>
                  <w:vAlign w:val="center"/>
                </w:tcPr>
                <w:p w14:paraId="60A25158">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污水处理恶臭</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8</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82" w:type="pct"/>
                  <w:tcBorders>
                    <w:tl2br w:val="nil"/>
                    <w:tr2bl w:val="nil"/>
                  </w:tcBorders>
                  <w:noWrap w:val="0"/>
                  <w:vAlign w:val="center"/>
                </w:tcPr>
                <w:p w14:paraId="597AAAD2">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8</w:t>
                  </w:r>
                </w:p>
              </w:tc>
              <w:tc>
                <w:tcPr>
                  <w:tcW w:w="412" w:type="pct"/>
                  <w:tcBorders>
                    <w:tl2br w:val="nil"/>
                    <w:tr2bl w:val="nil"/>
                  </w:tcBorders>
                  <w:noWrap w:val="0"/>
                  <w:vAlign w:val="center"/>
                </w:tcPr>
                <w:p w14:paraId="52D5706C">
                  <w:pPr>
                    <w:keepNext w:val="0"/>
                    <w:keepLines w:val="0"/>
                    <w:suppressLineNumbers w:val="0"/>
                    <w:adjustRightInd w:val="0"/>
                    <w:snapToGrid w:val="0"/>
                    <w:spacing w:before="0" w:beforeAutospacing="0" w:after="0" w:afterAutospacing="0" w:line="260" w:lineRule="exact"/>
                    <w:ind w:left="0" w:right="0"/>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17</w:t>
                  </w:r>
                </w:p>
              </w:tc>
              <w:tc>
                <w:tcPr>
                  <w:tcW w:w="461" w:type="pct"/>
                  <w:tcBorders>
                    <w:tl2br w:val="nil"/>
                    <w:tr2bl w:val="nil"/>
                  </w:tcBorders>
                  <w:noWrap w:val="0"/>
                  <w:vAlign w:val="center"/>
                </w:tcPr>
                <w:p w14:paraId="06AE6630">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0.4</w:t>
                  </w:r>
                </w:p>
              </w:tc>
              <w:tc>
                <w:tcPr>
                  <w:tcW w:w="373" w:type="pct"/>
                  <w:tcBorders>
                    <w:tl2br w:val="nil"/>
                    <w:tr2bl w:val="nil"/>
                  </w:tcBorders>
                  <w:noWrap w:val="0"/>
                  <w:vAlign w:val="center"/>
                </w:tcPr>
                <w:p w14:paraId="1D72184D">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20</w:t>
                  </w:r>
                </w:p>
              </w:tc>
              <w:tc>
                <w:tcPr>
                  <w:tcW w:w="931" w:type="pct"/>
                  <w:tcBorders>
                    <w:tl2br w:val="nil"/>
                    <w:tr2bl w:val="nil"/>
                  </w:tcBorders>
                  <w:shd w:val="clear" w:color="auto" w:fill="auto"/>
                  <w:noWrap w:val="0"/>
                  <w:vAlign w:val="center"/>
                </w:tcPr>
                <w:p w14:paraId="3D769A8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pacing w:val="-17"/>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E114°59′51.57493″</w:t>
                  </w:r>
                </w:p>
              </w:tc>
              <w:tc>
                <w:tcPr>
                  <w:tcW w:w="939" w:type="pct"/>
                  <w:tcBorders>
                    <w:tl2br w:val="nil"/>
                    <w:tr2bl w:val="nil"/>
                  </w:tcBorders>
                  <w:shd w:val="clear" w:color="auto" w:fill="auto"/>
                  <w:noWrap w:val="0"/>
                  <w:vAlign w:val="center"/>
                </w:tcPr>
                <w:p w14:paraId="05DC45CE">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pacing w:val="-17"/>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17"/>
                      <w:sz w:val="21"/>
                      <w:szCs w:val="21"/>
                      <w:lang w:val="en-US" w:eastAsia="zh-CN"/>
                      <w14:textFill>
                        <w14:solidFill>
                          <w14:schemeClr w14:val="tx1"/>
                        </w14:solidFill>
                      </w14:textFill>
                    </w:rPr>
                    <w:t>N36°20′38.08060″</w:t>
                  </w:r>
                </w:p>
              </w:tc>
              <w:tc>
                <w:tcPr>
                  <w:tcW w:w="248" w:type="pct"/>
                  <w:tcBorders>
                    <w:tl2br w:val="nil"/>
                    <w:tr2bl w:val="nil"/>
                  </w:tcBorders>
                  <w:noWrap w:val="0"/>
                  <w:vAlign w:val="center"/>
                </w:tcPr>
                <w:p w14:paraId="29A7DC5F">
                  <w:pPr>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bl>
          <w:p w14:paraId="0A739D17">
            <w:pPr>
              <w:keepNext w:val="0"/>
              <w:keepLines w:val="0"/>
              <w:suppressLineNumbers w:val="0"/>
              <w:autoSpaceDE w:val="0"/>
              <w:spacing w:before="0" w:beforeAutospacing="0" w:after="0" w:afterAutospacing="0" w:line="480" w:lineRule="exact"/>
              <w:ind w:left="0" w:right="0" w:firstLine="472" w:firstLineChars="200"/>
              <w:rPr>
                <w:rFonts w:hint="default" w:ascii="Times New Roman" w:hAnsi="Times New Roman" w:eastAsia="宋体" w:cs="Times New Roman"/>
                <w:color w:val="000000" w:themeColor="text1"/>
                <w:spacing w:val="-2"/>
                <w:sz w:val="24"/>
                <w:lang w:val="en-GB" w:bidi="ar"/>
                <w14:textFill>
                  <w14:solidFill>
                    <w14:schemeClr w14:val="tx1"/>
                  </w14:solidFill>
                </w14:textFill>
              </w:rPr>
            </w:pPr>
            <w:r>
              <w:rPr>
                <w:rFonts w:hint="default" w:ascii="Times New Roman" w:hAnsi="Times New Roman" w:eastAsia="宋体" w:cs="Times New Roman"/>
                <w:color w:val="000000" w:themeColor="text1"/>
                <w:spacing w:val="-2"/>
                <w:sz w:val="24"/>
                <w:lang w:bidi="ar"/>
                <w14:textFill>
                  <w14:solidFill>
                    <w14:schemeClr w14:val="tx1"/>
                  </w14:solidFill>
                </w14:textFill>
              </w:rPr>
              <w:t>（6）</w:t>
            </w:r>
            <w:r>
              <w:rPr>
                <w:rFonts w:hint="default" w:ascii="Times New Roman" w:hAnsi="Times New Roman" w:eastAsia="宋体" w:cs="Times New Roman"/>
                <w:color w:val="000000" w:themeColor="text1"/>
                <w:spacing w:val="-2"/>
                <w:sz w:val="24"/>
                <w:lang w:val="en-GB" w:bidi="ar"/>
                <w14:textFill>
                  <w14:solidFill>
                    <w14:schemeClr w14:val="tx1"/>
                  </w14:solidFill>
                </w14:textFill>
              </w:rPr>
              <w:t>非正常排放量核算</w:t>
            </w:r>
          </w:p>
          <w:p w14:paraId="195996B2">
            <w:pPr>
              <w:keepNext w:val="0"/>
              <w:keepLines w:val="0"/>
              <w:suppressLineNumbers w:val="0"/>
              <w:autoSpaceDE w:val="0"/>
              <w:spacing w:before="0" w:beforeAutospacing="0" w:after="0" w:afterAutospacing="0" w:line="480" w:lineRule="exact"/>
              <w:ind w:left="0" w:right="0" w:firstLine="472" w:firstLineChars="200"/>
              <w:rPr>
                <w:rFonts w:hint="default" w:ascii="Times New Roman" w:hAnsi="Times New Roman" w:eastAsia="宋体" w:cs="Times New Roman"/>
                <w:color w:val="000000" w:themeColor="text1"/>
                <w:spacing w:val="-2"/>
                <w:sz w:val="24"/>
                <w:lang w:val="en-GB" w:bidi="ar"/>
                <w14:textFill>
                  <w14:solidFill>
                    <w14:schemeClr w14:val="tx1"/>
                  </w14:solidFill>
                </w14:textFill>
              </w:rPr>
            </w:pPr>
            <w:r>
              <w:rPr>
                <w:rFonts w:hint="default" w:ascii="Times New Roman" w:hAnsi="Times New Roman" w:eastAsia="宋体" w:cs="Times New Roman"/>
                <w:color w:val="000000" w:themeColor="text1"/>
                <w:spacing w:val="-2"/>
                <w:sz w:val="24"/>
                <w:lang w:val="en-GB" w:bidi="ar"/>
                <w14:textFill>
                  <w14:solidFill>
                    <w14:schemeClr w14:val="tx1"/>
                  </w14:solidFill>
                </w14:textFill>
              </w:rPr>
              <w:t>非正常生产与事故状况是指机械设备故障、设备管道不正常泄漏及设备检修时的物料流失等因素所排放的废气对环境造成的影响。建设项目涉及的非正常生产状况为废气处理装置系统故障，导致污染物超标排放。该情况下的污染物排放源强情况见表</w:t>
            </w:r>
            <w:r>
              <w:rPr>
                <w:rFonts w:hint="eastAsia" w:cs="Times New Roman"/>
                <w:color w:val="000000" w:themeColor="text1"/>
                <w:spacing w:val="-2"/>
                <w:sz w:val="24"/>
                <w:lang w:val="en-US" w:eastAsia="zh-CN" w:bidi="ar"/>
                <w14:textFill>
                  <w14:solidFill>
                    <w14:schemeClr w14:val="tx1"/>
                  </w14:solidFill>
                </w14:textFill>
              </w:rPr>
              <w:t>4-5</w:t>
            </w:r>
            <w:r>
              <w:rPr>
                <w:rFonts w:hint="default" w:ascii="Times New Roman" w:hAnsi="Times New Roman" w:eastAsia="宋体" w:cs="Times New Roman"/>
                <w:color w:val="000000" w:themeColor="text1"/>
                <w:spacing w:val="-2"/>
                <w:sz w:val="24"/>
                <w:lang w:val="en-GB" w:bidi="ar"/>
                <w14:textFill>
                  <w14:solidFill>
                    <w14:schemeClr w14:val="tx1"/>
                  </w14:solidFill>
                </w14:textFill>
              </w:rPr>
              <w:t>。</w:t>
            </w:r>
          </w:p>
          <w:p w14:paraId="6520E54C">
            <w:pPr>
              <w:pStyle w:val="31"/>
              <w:keepNext w:val="0"/>
              <w:keepLines w:val="0"/>
              <w:suppressLineNumbers w:val="0"/>
              <w:spacing w:before="0" w:beforeAutospacing="0" w:after="0" w:afterAutospacing="0" w:line="500" w:lineRule="exact"/>
              <w:ind w:left="0" w:firstLine="0" w:firstLineChars="0"/>
              <w:jc w:val="center"/>
              <w:rPr>
                <w:rFonts w:hint="default"/>
                <w:b/>
                <w:bCs/>
                <w:lang w:val="en-GB"/>
              </w:rPr>
            </w:pPr>
            <w:r>
              <w:rPr>
                <w:rFonts w:hint="default" w:ascii="Times New Roman" w:hAnsi="Times New Roman" w:eastAsia="宋体" w:cs="Times New Roman"/>
                <w:b/>
                <w:color w:val="000000" w:themeColor="text1"/>
                <w:sz w:val="24"/>
                <w:lang w:val="en-GB"/>
                <w14:textFill>
                  <w14:solidFill>
                    <w14:schemeClr w14:val="tx1"/>
                  </w14:solidFill>
                </w14:textFill>
              </w:rPr>
              <w:t>表</w:t>
            </w:r>
            <w:r>
              <w:rPr>
                <w:rFonts w:hint="default" w:ascii="Times New Roman" w:hAnsi="Times New Roman" w:eastAsia="宋体" w:cs="Times New Roman"/>
                <w:b/>
                <w:color w:val="000000" w:themeColor="text1"/>
                <w:sz w:val="24"/>
                <w:lang w:val="en-US" w:eastAsia="zh-CN"/>
                <w14:textFill>
                  <w14:solidFill>
                    <w14:schemeClr w14:val="tx1"/>
                  </w14:solidFill>
                </w14:textFill>
              </w:rPr>
              <w:t>4-</w:t>
            </w:r>
            <w:r>
              <w:rPr>
                <w:rFonts w:hint="eastAsia" w:cs="Times New Roman"/>
                <w:b/>
                <w:color w:val="000000" w:themeColor="text1"/>
                <w:sz w:val="24"/>
                <w:lang w:val="en-US" w:eastAsia="zh-CN"/>
                <w14:textFill>
                  <w14:solidFill>
                    <w14:schemeClr w14:val="tx1"/>
                  </w14:solidFill>
                </w14:textFill>
              </w:rPr>
              <w:t>5</w:t>
            </w:r>
            <w:r>
              <w:rPr>
                <w:rFonts w:hint="default" w:ascii="Times New Roman" w:hAnsi="Times New Roman" w:eastAsia="宋体" w:cs="Times New Roman"/>
                <w:b/>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14:textFill>
                  <w14:solidFill>
                    <w14:schemeClr w14:val="tx1"/>
                  </w14:solidFill>
                </w14:textFill>
              </w:rPr>
              <w:t xml:space="preserve"> </w:t>
            </w:r>
            <w:r>
              <w:rPr>
                <w:rFonts w:hint="default" w:ascii="Times New Roman" w:hAnsi="Times New Roman" w:eastAsia="宋体" w:cs="Times New Roman"/>
                <w:b/>
                <w:color w:val="000000" w:themeColor="text1"/>
                <w:sz w:val="24"/>
                <w:lang w:val="en-GB"/>
                <w14:textFill>
                  <w14:solidFill>
                    <w14:schemeClr w14:val="tx1"/>
                  </w14:solidFill>
                </w14:textFill>
              </w:rPr>
              <w:t>污染源非正常排放量核算表</w:t>
            </w:r>
          </w:p>
          <w:tbl>
            <w:tblPr>
              <w:tblStyle w:val="33"/>
              <w:tblW w:w="86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0" w:type="dxa"/>
                <w:bottom w:w="0" w:type="dxa"/>
                <w:right w:w="0" w:type="dxa"/>
              </w:tblCellMar>
            </w:tblPr>
            <w:tblGrid>
              <w:gridCol w:w="1128"/>
              <w:gridCol w:w="867"/>
              <w:gridCol w:w="22"/>
              <w:gridCol w:w="1031"/>
              <w:gridCol w:w="1012"/>
              <w:gridCol w:w="1101"/>
              <w:gridCol w:w="22"/>
              <w:gridCol w:w="1035"/>
              <w:gridCol w:w="28"/>
              <w:gridCol w:w="790"/>
              <w:gridCol w:w="850"/>
              <w:gridCol w:w="751"/>
            </w:tblGrid>
            <w:tr w14:paraId="112B5C9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restart"/>
                  <w:tcBorders>
                    <w:tl2br w:val="nil"/>
                    <w:tr2bl w:val="nil"/>
                  </w:tcBorders>
                  <w:noWrap w:val="0"/>
                  <w:vAlign w:val="center"/>
                </w:tcPr>
                <w:p w14:paraId="0469182E">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污染源</w:t>
                  </w:r>
                </w:p>
              </w:tc>
              <w:tc>
                <w:tcPr>
                  <w:tcW w:w="515" w:type="pct"/>
                  <w:gridSpan w:val="2"/>
                  <w:vMerge w:val="restart"/>
                  <w:tcBorders>
                    <w:tl2br w:val="nil"/>
                    <w:tr2bl w:val="nil"/>
                  </w:tcBorders>
                  <w:noWrap w:val="0"/>
                  <w:vAlign w:val="center"/>
                </w:tcPr>
                <w:p w14:paraId="1E0F2A74">
                  <w:pPr>
                    <w:pStyle w:val="55"/>
                    <w:keepNext w:val="0"/>
                    <w:keepLines w:val="0"/>
                    <w:suppressLineNumbers w:val="0"/>
                    <w:adjustRightInd/>
                    <w:spacing w:beforeLines="0" w:beforeAutospacing="0" w:afterLines="0" w:afterAutospacing="0" w:line="280" w:lineRule="exact"/>
                    <w:ind w:left="0"/>
                    <w:textAlignment w:val="baseline"/>
                    <w:rPr>
                      <w:rFonts w:hint="default" w:ascii="Times New Roman" w:hAnsi="Times New Roman" w:eastAsia="宋体" w:cs="Times New Roman"/>
                      <w:b/>
                      <w:bCs/>
                      <w:color w:val="000000" w:themeColor="text1"/>
                      <w:szCs w:val="24"/>
                      <w14:textFill>
                        <w14:solidFill>
                          <w14:schemeClr w14:val="tx1"/>
                        </w14:solidFill>
                      </w14:textFill>
                    </w:rPr>
                  </w:pPr>
                  <w:r>
                    <w:rPr>
                      <w:rFonts w:hint="default" w:ascii="Times New Roman" w:hAnsi="Times New Roman" w:eastAsia="宋体" w:cs="Times New Roman"/>
                      <w:b/>
                      <w:bCs/>
                      <w:color w:val="000000" w:themeColor="text1"/>
                      <w:kern w:val="2"/>
                      <w:szCs w:val="24"/>
                      <w14:textFill>
                        <w14:solidFill>
                          <w14:schemeClr w14:val="tx1"/>
                        </w14:solidFill>
                      </w14:textFill>
                    </w:rPr>
                    <w:t>污染物</w:t>
                  </w:r>
                </w:p>
              </w:tc>
              <w:tc>
                <w:tcPr>
                  <w:tcW w:w="597" w:type="pct"/>
                  <w:vMerge w:val="restart"/>
                  <w:tcBorders>
                    <w:tl2br w:val="nil"/>
                    <w:tr2bl w:val="nil"/>
                  </w:tcBorders>
                  <w:noWrap w:val="0"/>
                  <w:vAlign w:val="center"/>
                </w:tcPr>
                <w:p w14:paraId="0B238762">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非正常排放原因</w:t>
                  </w:r>
                </w:p>
              </w:tc>
              <w:tc>
                <w:tcPr>
                  <w:tcW w:w="1850" w:type="pct"/>
                  <w:gridSpan w:val="5"/>
                  <w:tcBorders>
                    <w:tl2br w:val="nil"/>
                    <w:tr2bl w:val="nil"/>
                  </w:tcBorders>
                  <w:noWrap w:val="0"/>
                  <w:vAlign w:val="center"/>
                </w:tcPr>
                <w:p w14:paraId="672591A2">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非正常排放状况</w:t>
                  </w:r>
                </w:p>
              </w:tc>
              <w:tc>
                <w:tcPr>
                  <w:tcW w:w="457" w:type="pct"/>
                  <w:vMerge w:val="restart"/>
                  <w:tcBorders>
                    <w:tl2br w:val="nil"/>
                    <w:tr2bl w:val="nil"/>
                  </w:tcBorders>
                  <w:noWrap w:val="0"/>
                  <w:vAlign w:val="center"/>
                </w:tcPr>
                <w:p w14:paraId="5704EF6A">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持续</w:t>
                  </w:r>
                </w:p>
                <w:p w14:paraId="02EFA5E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时长min</w:t>
                  </w:r>
                </w:p>
              </w:tc>
              <w:tc>
                <w:tcPr>
                  <w:tcW w:w="492" w:type="pct"/>
                  <w:vMerge w:val="restart"/>
                  <w:tcBorders>
                    <w:tl2br w:val="nil"/>
                    <w:tr2bl w:val="nil"/>
                  </w:tcBorders>
                  <w:noWrap w:val="0"/>
                  <w:vAlign w:val="center"/>
                </w:tcPr>
                <w:p w14:paraId="487EB16C">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发生</w:t>
                  </w:r>
                </w:p>
                <w:p w14:paraId="0734DF84">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频次</w:t>
                  </w:r>
                </w:p>
                <w:p w14:paraId="38EF79DB">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（次/a）</w:t>
                  </w:r>
                </w:p>
              </w:tc>
              <w:tc>
                <w:tcPr>
                  <w:tcW w:w="434" w:type="pct"/>
                  <w:vMerge w:val="restart"/>
                  <w:tcBorders>
                    <w:tl2br w:val="nil"/>
                    <w:tr2bl w:val="nil"/>
                  </w:tcBorders>
                  <w:noWrap w:val="0"/>
                  <w:vAlign w:val="center"/>
                </w:tcPr>
                <w:p w14:paraId="14802216">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应对</w:t>
                  </w:r>
                </w:p>
                <w:p w14:paraId="19DDD465">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措施</w:t>
                  </w:r>
                </w:p>
              </w:tc>
            </w:tr>
            <w:tr w14:paraId="3DEF9AF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3225AAFF">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515" w:type="pct"/>
                  <w:gridSpan w:val="2"/>
                  <w:vMerge w:val="continue"/>
                  <w:tcBorders>
                    <w:tl2br w:val="nil"/>
                    <w:tr2bl w:val="nil"/>
                  </w:tcBorders>
                  <w:noWrap w:val="0"/>
                  <w:vAlign w:val="center"/>
                </w:tcPr>
                <w:p w14:paraId="41BF3C6B">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597" w:type="pct"/>
                  <w:vMerge w:val="continue"/>
                  <w:tcBorders>
                    <w:tl2br w:val="nil"/>
                    <w:tr2bl w:val="nil"/>
                  </w:tcBorders>
                  <w:noWrap w:val="0"/>
                  <w:vAlign w:val="center"/>
                </w:tcPr>
                <w:p w14:paraId="5F4CCC7C">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6331725E">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排放量</w:t>
                  </w:r>
                  <w:r>
                    <w:rPr>
                      <w:rFonts w:hint="eastAsia" w:cs="Times New Roman"/>
                      <w:b/>
                      <w:bCs/>
                      <w:color w:val="000000" w:themeColor="text1"/>
                      <w:lang w:val="en-US" w:eastAsia="zh-CN"/>
                      <w14:textFill>
                        <w14:solidFill>
                          <w14:schemeClr w14:val="tx1"/>
                        </w14:solidFill>
                      </w14:textFill>
                    </w:rPr>
                    <w:t>kg</w:t>
                  </w:r>
                  <w:r>
                    <w:rPr>
                      <w:rFonts w:hint="default" w:ascii="Times New Roman" w:hAnsi="Times New Roman" w:eastAsia="宋体" w:cs="Times New Roman"/>
                      <w:b/>
                      <w:bCs/>
                      <w:color w:val="000000" w:themeColor="text1"/>
                      <w14:textFill>
                        <w14:solidFill>
                          <w14:schemeClr w14:val="tx1"/>
                        </w14:solidFill>
                      </w14:textFill>
                    </w:rPr>
                    <w:t>/a</w:t>
                  </w:r>
                </w:p>
              </w:tc>
              <w:tc>
                <w:tcPr>
                  <w:tcW w:w="650" w:type="pct"/>
                  <w:gridSpan w:val="2"/>
                  <w:tcBorders>
                    <w:tl2br w:val="nil"/>
                    <w:tr2bl w:val="nil"/>
                  </w:tcBorders>
                  <w:noWrap w:val="0"/>
                  <w:vAlign w:val="center"/>
                </w:tcPr>
                <w:p w14:paraId="29553109">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排放速率</w:t>
                  </w:r>
                  <w:r>
                    <w:rPr>
                      <w:rFonts w:hint="eastAsia" w:cs="Times New Roman"/>
                      <w:b/>
                      <w:bCs/>
                      <w:color w:val="000000" w:themeColor="text1"/>
                      <w:lang w:eastAsia="zh-CN"/>
                      <w14:textFill>
                        <w14:solidFill>
                          <w14:schemeClr w14:val="tx1"/>
                        </w14:solidFill>
                      </w14:textFill>
                    </w:rPr>
                    <w:t>kg</w:t>
                  </w:r>
                  <w:r>
                    <w:rPr>
                      <w:rFonts w:hint="default" w:ascii="Times New Roman" w:hAnsi="Times New Roman" w:eastAsia="宋体" w:cs="Times New Roman"/>
                      <w:b/>
                      <w:bCs/>
                      <w:color w:val="000000" w:themeColor="text1"/>
                      <w14:textFill>
                        <w14:solidFill>
                          <w14:schemeClr w14:val="tx1"/>
                        </w14:solidFill>
                      </w14:textFill>
                    </w:rPr>
                    <w:t>/h</w:t>
                  </w:r>
                </w:p>
              </w:tc>
              <w:tc>
                <w:tcPr>
                  <w:tcW w:w="614" w:type="pct"/>
                  <w:gridSpan w:val="2"/>
                  <w:tcBorders>
                    <w:tl2br w:val="nil"/>
                    <w:tr2bl w:val="nil"/>
                  </w:tcBorders>
                  <w:noWrap w:val="0"/>
                  <w:vAlign w:val="center"/>
                </w:tcPr>
                <w:p w14:paraId="0D72BFB1">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排放浓度mg/m</w:t>
                  </w:r>
                  <w:r>
                    <w:rPr>
                      <w:rFonts w:hint="default" w:ascii="Times New Roman" w:hAnsi="Times New Roman" w:eastAsia="宋体" w:cs="Times New Roman"/>
                      <w:b/>
                      <w:bCs/>
                      <w:color w:val="000000" w:themeColor="text1"/>
                      <w:vertAlign w:val="superscript"/>
                      <w14:textFill>
                        <w14:solidFill>
                          <w14:schemeClr w14:val="tx1"/>
                        </w14:solidFill>
                      </w14:textFill>
                    </w:rPr>
                    <w:t>3</w:t>
                  </w:r>
                </w:p>
              </w:tc>
              <w:tc>
                <w:tcPr>
                  <w:tcW w:w="457" w:type="pct"/>
                  <w:vMerge w:val="continue"/>
                  <w:tcBorders>
                    <w:tl2br w:val="nil"/>
                    <w:tr2bl w:val="nil"/>
                  </w:tcBorders>
                  <w:noWrap w:val="0"/>
                  <w:vAlign w:val="center"/>
                </w:tcPr>
                <w:p w14:paraId="4E617561">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492" w:type="pct"/>
                  <w:vMerge w:val="continue"/>
                  <w:tcBorders>
                    <w:tl2br w:val="nil"/>
                    <w:tr2bl w:val="nil"/>
                  </w:tcBorders>
                  <w:noWrap w:val="0"/>
                  <w:vAlign w:val="center"/>
                </w:tcPr>
                <w:p w14:paraId="7BC8A1C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434" w:type="pct"/>
                  <w:vMerge w:val="continue"/>
                  <w:tcBorders>
                    <w:tl2br w:val="nil"/>
                    <w:tr2bl w:val="nil"/>
                  </w:tcBorders>
                  <w:noWrap w:val="0"/>
                  <w:vAlign w:val="center"/>
                </w:tcPr>
                <w:p w14:paraId="1C25F57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14:textFill>
                        <w14:solidFill>
                          <w14:schemeClr w14:val="tx1"/>
                        </w14:solidFill>
                      </w14:textFill>
                    </w:rPr>
                  </w:pPr>
                </w:p>
              </w:tc>
            </w:tr>
            <w:tr w14:paraId="1EECB55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tcBorders>
                    <w:tl2br w:val="nil"/>
                    <w:tr2bl w:val="nil"/>
                  </w:tcBorders>
                  <w:noWrap w:val="0"/>
                  <w:vAlign w:val="center"/>
                </w:tcPr>
                <w:p w14:paraId="4D32DAE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 w:val="20"/>
                      <w:szCs w:val="22"/>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3#生产车间投料粉尘（DA00</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15" w:type="pct"/>
                  <w:gridSpan w:val="2"/>
                  <w:tcBorders>
                    <w:tl2br w:val="nil"/>
                    <w:tr2bl w:val="nil"/>
                  </w:tcBorders>
                  <w:noWrap w:val="0"/>
                  <w:vAlign w:val="center"/>
                </w:tcPr>
                <w:p w14:paraId="6092611F">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597" w:type="pct"/>
                  <w:vMerge w:val="restart"/>
                  <w:tcBorders>
                    <w:tl2br w:val="nil"/>
                    <w:tr2bl w:val="nil"/>
                  </w:tcBorders>
                  <w:noWrap w:val="0"/>
                  <w:vAlign w:val="center"/>
                </w:tcPr>
                <w:p w14:paraId="138D7E94">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设备故</w:t>
                  </w:r>
                </w:p>
                <w:p w14:paraId="1D1296D3">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障，处理</w:t>
                  </w:r>
                </w:p>
                <w:p w14:paraId="0700B92B">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效率为0</w:t>
                  </w:r>
                </w:p>
              </w:tc>
              <w:tc>
                <w:tcPr>
                  <w:tcW w:w="586" w:type="pct"/>
                  <w:tcBorders>
                    <w:tl2br w:val="nil"/>
                    <w:tr2bl w:val="nil"/>
                  </w:tcBorders>
                  <w:noWrap w:val="0"/>
                  <w:vAlign w:val="center"/>
                </w:tcPr>
                <w:p w14:paraId="1E4E4055">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0.6967 </w:t>
                  </w:r>
                </w:p>
              </w:tc>
              <w:tc>
                <w:tcPr>
                  <w:tcW w:w="650" w:type="pct"/>
                  <w:gridSpan w:val="2"/>
                  <w:tcBorders>
                    <w:tl2br w:val="nil"/>
                    <w:tr2bl w:val="nil"/>
                  </w:tcBorders>
                  <w:noWrap w:val="0"/>
                  <w:vAlign w:val="center"/>
                </w:tcPr>
                <w:p w14:paraId="61E2B269">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2.09</w:t>
                  </w:r>
                </w:p>
              </w:tc>
              <w:tc>
                <w:tcPr>
                  <w:tcW w:w="614" w:type="pct"/>
                  <w:gridSpan w:val="2"/>
                  <w:tcBorders>
                    <w:tl2br w:val="nil"/>
                    <w:tr2bl w:val="nil"/>
                  </w:tcBorders>
                  <w:noWrap w:val="0"/>
                  <w:vAlign w:val="center"/>
                </w:tcPr>
                <w:p w14:paraId="00190CE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2503.3</w:t>
                  </w:r>
                </w:p>
              </w:tc>
              <w:tc>
                <w:tcPr>
                  <w:tcW w:w="457" w:type="pct"/>
                  <w:tcBorders>
                    <w:tl2br w:val="nil"/>
                    <w:tr2bl w:val="nil"/>
                  </w:tcBorders>
                  <w:noWrap w:val="0"/>
                  <w:vAlign w:val="center"/>
                </w:tcPr>
                <w:p w14:paraId="7CC7FF94">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752ABADB">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restart"/>
                  <w:tcBorders>
                    <w:tl2br w:val="nil"/>
                    <w:tr2bl w:val="nil"/>
                  </w:tcBorders>
                  <w:noWrap w:val="0"/>
                  <w:vAlign w:val="center"/>
                </w:tcPr>
                <w:p w14:paraId="59A3B165">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立即停止生产作业，及时疏散人群和检修设备</w:t>
                  </w:r>
                </w:p>
              </w:tc>
            </w:tr>
            <w:tr w14:paraId="549FD3C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tcBorders>
                    <w:tl2br w:val="nil"/>
                    <w:tr2bl w:val="nil"/>
                  </w:tcBorders>
                  <w:noWrap w:val="0"/>
                  <w:vAlign w:val="center"/>
                </w:tcPr>
                <w:p w14:paraId="4A383C5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8#车间蒸煮/</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卤制过程产生的异味（DA002）</w:t>
                  </w:r>
                </w:p>
              </w:tc>
              <w:tc>
                <w:tcPr>
                  <w:tcW w:w="515" w:type="pct"/>
                  <w:gridSpan w:val="2"/>
                  <w:tcBorders>
                    <w:tl2br w:val="nil"/>
                    <w:tr2bl w:val="nil"/>
                  </w:tcBorders>
                  <w:noWrap w:val="0"/>
                  <w:vAlign w:val="center"/>
                </w:tcPr>
                <w:p w14:paraId="2249ED4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臭气浓度</w:t>
                  </w:r>
                </w:p>
              </w:tc>
              <w:tc>
                <w:tcPr>
                  <w:tcW w:w="597" w:type="pct"/>
                  <w:vMerge w:val="continue"/>
                  <w:tcBorders>
                    <w:tl2br w:val="nil"/>
                    <w:tr2bl w:val="nil"/>
                  </w:tcBorders>
                  <w:noWrap w:val="0"/>
                  <w:vAlign w:val="center"/>
                </w:tcPr>
                <w:p w14:paraId="70017D88">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64B65261">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650" w:type="pct"/>
                  <w:gridSpan w:val="2"/>
                  <w:tcBorders>
                    <w:tl2br w:val="nil"/>
                    <w:tr2bl w:val="nil"/>
                  </w:tcBorders>
                  <w:noWrap w:val="0"/>
                  <w:vAlign w:val="center"/>
                </w:tcPr>
                <w:p w14:paraId="7BF290B0">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614" w:type="pct"/>
                  <w:gridSpan w:val="2"/>
                  <w:tcBorders>
                    <w:tl2br w:val="nil"/>
                    <w:tr2bl w:val="nil"/>
                  </w:tcBorders>
                  <w:noWrap w:val="0"/>
                  <w:vAlign w:val="center"/>
                </w:tcPr>
                <w:p w14:paraId="561C734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57" w:type="pct"/>
                  <w:tcBorders>
                    <w:tl2br w:val="nil"/>
                    <w:tr2bl w:val="nil"/>
                  </w:tcBorders>
                  <w:noWrap w:val="0"/>
                  <w:vAlign w:val="center"/>
                </w:tcPr>
                <w:p w14:paraId="27158855">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w:t>
                  </w:r>
                </w:p>
              </w:tc>
              <w:tc>
                <w:tcPr>
                  <w:tcW w:w="492" w:type="pct"/>
                  <w:tcBorders>
                    <w:tl2br w:val="nil"/>
                    <w:tr2bl w:val="nil"/>
                  </w:tcBorders>
                  <w:noWrap w:val="0"/>
                  <w:vAlign w:val="center"/>
                </w:tcPr>
                <w:p w14:paraId="42B4098B">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434" w:type="pct"/>
                  <w:vMerge w:val="continue"/>
                  <w:tcBorders>
                    <w:tl2br w:val="nil"/>
                    <w:tr2bl w:val="nil"/>
                  </w:tcBorders>
                  <w:noWrap w:val="0"/>
                  <w:vAlign w:val="center"/>
                </w:tcPr>
                <w:p w14:paraId="58359991">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24D4CB3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tcBorders>
                    <w:tl2br w:val="nil"/>
                    <w:tr2bl w:val="nil"/>
                  </w:tcBorders>
                  <w:noWrap w:val="0"/>
                  <w:vAlign w:val="center"/>
                </w:tcPr>
                <w:p w14:paraId="415CCC90">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10#车间蒸煮/</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卤制过程产生的异味（DA00</w:t>
                  </w:r>
                  <w:r>
                    <w:rPr>
                      <w:rFonts w:hint="eastAsia" w:ascii="Times New Roman" w:hAnsi="Times New Roman" w:eastAsia="宋体" w:cs="Times New Roman"/>
                      <w:color w:val="000000" w:themeColor="text1"/>
                      <w:szCs w:val="21"/>
                      <w:lang w:val="en-US" w:eastAsia="zh-CN"/>
                      <w14:textFill>
                        <w14:solidFill>
                          <w14:schemeClr w14:val="tx1"/>
                        </w14:solidFill>
                      </w14:textFill>
                    </w:rPr>
                    <w:t>3</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15" w:type="pct"/>
                  <w:gridSpan w:val="2"/>
                  <w:tcBorders>
                    <w:tl2br w:val="nil"/>
                    <w:tr2bl w:val="nil"/>
                  </w:tcBorders>
                  <w:noWrap w:val="0"/>
                  <w:vAlign w:val="center"/>
                </w:tcPr>
                <w:p w14:paraId="65663EC1">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臭气浓度</w:t>
                  </w:r>
                </w:p>
              </w:tc>
              <w:tc>
                <w:tcPr>
                  <w:tcW w:w="597" w:type="pct"/>
                  <w:vMerge w:val="continue"/>
                  <w:tcBorders>
                    <w:tl2br w:val="nil"/>
                    <w:tr2bl w:val="nil"/>
                  </w:tcBorders>
                  <w:noWrap w:val="0"/>
                  <w:vAlign w:val="center"/>
                </w:tcPr>
                <w:p w14:paraId="07C50712">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78E9384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650" w:type="pct"/>
                  <w:gridSpan w:val="2"/>
                  <w:tcBorders>
                    <w:tl2br w:val="nil"/>
                    <w:tr2bl w:val="nil"/>
                  </w:tcBorders>
                  <w:noWrap w:val="0"/>
                  <w:vAlign w:val="center"/>
                </w:tcPr>
                <w:p w14:paraId="6FF4625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614" w:type="pct"/>
                  <w:gridSpan w:val="2"/>
                  <w:tcBorders>
                    <w:tl2br w:val="nil"/>
                    <w:tr2bl w:val="nil"/>
                  </w:tcBorders>
                  <w:noWrap w:val="0"/>
                  <w:vAlign w:val="center"/>
                </w:tcPr>
                <w:p w14:paraId="1929FB9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457" w:type="pct"/>
                  <w:tcBorders>
                    <w:tl2br w:val="nil"/>
                    <w:tr2bl w:val="nil"/>
                  </w:tcBorders>
                  <w:noWrap w:val="0"/>
                  <w:vAlign w:val="center"/>
                </w:tcPr>
                <w:p w14:paraId="6016CB2F">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w:t>
                  </w:r>
                </w:p>
              </w:tc>
              <w:tc>
                <w:tcPr>
                  <w:tcW w:w="492" w:type="pct"/>
                  <w:tcBorders>
                    <w:tl2br w:val="nil"/>
                    <w:tr2bl w:val="nil"/>
                  </w:tcBorders>
                  <w:noWrap w:val="0"/>
                  <w:vAlign w:val="center"/>
                </w:tcPr>
                <w:p w14:paraId="70D93CAC">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434" w:type="pct"/>
                  <w:vMerge w:val="continue"/>
                  <w:tcBorders>
                    <w:tl2br w:val="nil"/>
                    <w:tr2bl w:val="nil"/>
                  </w:tcBorders>
                  <w:noWrap w:val="0"/>
                  <w:vAlign w:val="center"/>
                </w:tcPr>
                <w:p w14:paraId="486D41E1">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0A3DE47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restart"/>
                  <w:tcBorders>
                    <w:tl2br w:val="nil"/>
                    <w:tr2bl w:val="nil"/>
                  </w:tcBorders>
                  <w:noWrap w:val="0"/>
                  <w:vAlign w:val="center"/>
                </w:tcPr>
                <w:p w14:paraId="0189CB3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3#烤箱烘干天然气</w:t>
                  </w:r>
                  <w:r>
                    <w:rPr>
                      <w:rFonts w:hint="default" w:ascii="Times New Roman" w:hAnsi="Times New Roman" w:eastAsia="宋体" w:cs="Times New Roman"/>
                      <w:color w:val="000000" w:themeColor="text1"/>
                      <w:szCs w:val="21"/>
                      <w:lang w:val="en-US" w:eastAsia="zh-CN"/>
                      <w14:textFill>
                        <w14:solidFill>
                          <w14:schemeClr w14:val="tx1"/>
                        </w14:solidFill>
                      </w14:textFill>
                    </w:rPr>
                    <w:t>燃烧废气（DA00</w:t>
                  </w:r>
                  <w:r>
                    <w:rPr>
                      <w:rFonts w:hint="eastAsia" w:ascii="Times New Roman" w:hAnsi="Times New Roman" w:eastAsia="宋体" w:cs="Times New Roman"/>
                      <w:color w:val="000000" w:themeColor="text1"/>
                      <w:szCs w:val="21"/>
                      <w:lang w:val="en-US" w:eastAsia="zh-CN"/>
                      <w14:textFill>
                        <w14:solidFill>
                          <w14:schemeClr w14:val="tx1"/>
                        </w14:solidFill>
                      </w14:textFill>
                    </w:rPr>
                    <w:t>4</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15" w:type="pct"/>
                  <w:gridSpan w:val="2"/>
                  <w:tcBorders>
                    <w:tl2br w:val="nil"/>
                    <w:tr2bl w:val="nil"/>
                  </w:tcBorders>
                  <w:noWrap w:val="0"/>
                  <w:vAlign w:val="center"/>
                </w:tcPr>
                <w:p w14:paraId="0855033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597" w:type="pct"/>
                  <w:vMerge w:val="continue"/>
                  <w:tcBorders>
                    <w:tl2br w:val="nil"/>
                    <w:tr2bl w:val="nil"/>
                  </w:tcBorders>
                  <w:noWrap w:val="0"/>
                  <w:vAlign w:val="center"/>
                </w:tcPr>
                <w:p w14:paraId="1096B33A">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49F4C92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0.0040 </w:t>
                  </w:r>
                </w:p>
              </w:tc>
              <w:tc>
                <w:tcPr>
                  <w:tcW w:w="650" w:type="pct"/>
                  <w:gridSpan w:val="2"/>
                  <w:tcBorders>
                    <w:tl2br w:val="nil"/>
                    <w:tr2bl w:val="nil"/>
                  </w:tcBorders>
                  <w:noWrap w:val="0"/>
                  <w:vAlign w:val="center"/>
                </w:tcPr>
                <w:p w14:paraId="74BB3B42">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0.012</w:t>
                  </w:r>
                </w:p>
              </w:tc>
              <w:tc>
                <w:tcPr>
                  <w:tcW w:w="614" w:type="pct"/>
                  <w:gridSpan w:val="2"/>
                  <w:tcBorders>
                    <w:tl2br w:val="nil"/>
                    <w:tr2bl w:val="nil"/>
                  </w:tcBorders>
                  <w:noWrap w:val="0"/>
                  <w:vAlign w:val="center"/>
                </w:tcPr>
                <w:p w14:paraId="654DDF11">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21.03</w:t>
                  </w:r>
                </w:p>
              </w:tc>
              <w:tc>
                <w:tcPr>
                  <w:tcW w:w="457" w:type="pct"/>
                  <w:tcBorders>
                    <w:tl2br w:val="nil"/>
                    <w:tr2bl w:val="nil"/>
                  </w:tcBorders>
                  <w:noWrap w:val="0"/>
                  <w:vAlign w:val="center"/>
                </w:tcPr>
                <w:p w14:paraId="7354127F">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w:t>
                  </w:r>
                </w:p>
              </w:tc>
              <w:tc>
                <w:tcPr>
                  <w:tcW w:w="492" w:type="pct"/>
                  <w:tcBorders>
                    <w:tl2br w:val="nil"/>
                    <w:tr2bl w:val="nil"/>
                  </w:tcBorders>
                  <w:noWrap w:val="0"/>
                  <w:vAlign w:val="center"/>
                </w:tcPr>
                <w:p w14:paraId="7AA62186">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434" w:type="pct"/>
                  <w:vMerge w:val="continue"/>
                  <w:tcBorders>
                    <w:tl2br w:val="nil"/>
                    <w:tr2bl w:val="nil"/>
                  </w:tcBorders>
                  <w:noWrap w:val="0"/>
                  <w:vAlign w:val="center"/>
                </w:tcPr>
                <w:p w14:paraId="52FEE11E">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76FFD28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2B83EA94">
                  <w:pPr>
                    <w:pStyle w:val="5"/>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lang w:eastAsia="zh-CN"/>
                      <w14:textFill>
                        <w14:solidFill>
                          <w14:schemeClr w14:val="tx1"/>
                        </w14:solidFill>
                      </w14:textFill>
                    </w:rPr>
                  </w:pPr>
                </w:p>
              </w:tc>
              <w:tc>
                <w:tcPr>
                  <w:tcW w:w="515" w:type="pct"/>
                  <w:gridSpan w:val="2"/>
                  <w:tcBorders>
                    <w:tl2br w:val="nil"/>
                    <w:tr2bl w:val="nil"/>
                  </w:tcBorders>
                  <w:noWrap w:val="0"/>
                  <w:vAlign w:val="center"/>
                </w:tcPr>
                <w:p w14:paraId="16A64BE5">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二氧化硫</w:t>
                  </w:r>
                </w:p>
              </w:tc>
              <w:tc>
                <w:tcPr>
                  <w:tcW w:w="597" w:type="pct"/>
                  <w:vMerge w:val="continue"/>
                  <w:tcBorders>
                    <w:tl2br w:val="nil"/>
                    <w:tr2bl w:val="nil"/>
                  </w:tcBorders>
                  <w:noWrap w:val="0"/>
                  <w:vAlign w:val="center"/>
                </w:tcPr>
                <w:p w14:paraId="040F2926">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586" w:type="pct"/>
                  <w:tcBorders>
                    <w:tl2br w:val="nil"/>
                    <w:tr2bl w:val="nil"/>
                  </w:tcBorders>
                  <w:noWrap w:val="0"/>
                  <w:vAlign w:val="center"/>
                </w:tcPr>
                <w:p w14:paraId="1B28706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0.0006 </w:t>
                  </w:r>
                </w:p>
              </w:tc>
              <w:tc>
                <w:tcPr>
                  <w:tcW w:w="650" w:type="pct"/>
                  <w:gridSpan w:val="2"/>
                  <w:tcBorders>
                    <w:tl2br w:val="nil"/>
                    <w:tr2bl w:val="nil"/>
                  </w:tcBorders>
                  <w:noWrap w:val="0"/>
                  <w:vAlign w:val="center"/>
                </w:tcPr>
                <w:p w14:paraId="6BDDCF0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0.0017</w:t>
                  </w:r>
                </w:p>
              </w:tc>
              <w:tc>
                <w:tcPr>
                  <w:tcW w:w="614" w:type="pct"/>
                  <w:gridSpan w:val="2"/>
                  <w:tcBorders>
                    <w:tl2br w:val="nil"/>
                    <w:tr2bl w:val="nil"/>
                  </w:tcBorders>
                  <w:noWrap w:val="0"/>
                  <w:vAlign w:val="center"/>
                </w:tcPr>
                <w:p w14:paraId="4AD37F97">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2.94</w:t>
                  </w:r>
                </w:p>
              </w:tc>
              <w:tc>
                <w:tcPr>
                  <w:tcW w:w="457" w:type="pct"/>
                  <w:tcBorders>
                    <w:tl2br w:val="nil"/>
                    <w:tr2bl w:val="nil"/>
                  </w:tcBorders>
                  <w:noWrap w:val="0"/>
                  <w:vAlign w:val="center"/>
                </w:tcPr>
                <w:p w14:paraId="51FF0C2B">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w:t>
                  </w:r>
                </w:p>
              </w:tc>
              <w:tc>
                <w:tcPr>
                  <w:tcW w:w="492" w:type="pct"/>
                  <w:tcBorders>
                    <w:tl2br w:val="nil"/>
                    <w:tr2bl w:val="nil"/>
                  </w:tcBorders>
                  <w:noWrap w:val="0"/>
                  <w:vAlign w:val="center"/>
                </w:tcPr>
                <w:p w14:paraId="65E08E87">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434" w:type="pct"/>
                  <w:vMerge w:val="continue"/>
                  <w:tcBorders>
                    <w:tl2br w:val="nil"/>
                    <w:tr2bl w:val="nil"/>
                  </w:tcBorders>
                  <w:noWrap w:val="0"/>
                  <w:vAlign w:val="center"/>
                </w:tcPr>
                <w:p w14:paraId="4BC63F5A">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20B783A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0397F26D">
                  <w:pPr>
                    <w:pStyle w:val="5"/>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lang w:eastAsia="zh-CN"/>
                      <w14:textFill>
                        <w14:solidFill>
                          <w14:schemeClr w14:val="tx1"/>
                        </w14:solidFill>
                      </w14:textFill>
                    </w:rPr>
                  </w:pPr>
                </w:p>
              </w:tc>
              <w:tc>
                <w:tcPr>
                  <w:tcW w:w="515" w:type="pct"/>
                  <w:gridSpan w:val="2"/>
                  <w:tcBorders>
                    <w:tl2br w:val="nil"/>
                    <w:tr2bl w:val="nil"/>
                  </w:tcBorders>
                  <w:noWrap w:val="0"/>
                  <w:vAlign w:val="center"/>
                </w:tcPr>
                <w:p w14:paraId="560F48E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氮氧化物</w:t>
                  </w:r>
                </w:p>
              </w:tc>
              <w:tc>
                <w:tcPr>
                  <w:tcW w:w="597" w:type="pct"/>
                  <w:vMerge w:val="continue"/>
                  <w:tcBorders>
                    <w:tl2br w:val="nil"/>
                    <w:tr2bl w:val="nil"/>
                  </w:tcBorders>
                  <w:noWrap w:val="0"/>
                  <w:vAlign w:val="center"/>
                </w:tcPr>
                <w:p w14:paraId="2FBA1868">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586" w:type="pct"/>
                  <w:tcBorders>
                    <w:tl2br w:val="nil"/>
                    <w:tr2bl w:val="nil"/>
                  </w:tcBorders>
                  <w:noWrap w:val="0"/>
                  <w:vAlign w:val="center"/>
                </w:tcPr>
                <w:p w14:paraId="77249D6E">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0.0260 </w:t>
                  </w:r>
                </w:p>
              </w:tc>
              <w:tc>
                <w:tcPr>
                  <w:tcW w:w="650" w:type="pct"/>
                  <w:gridSpan w:val="2"/>
                  <w:tcBorders>
                    <w:tl2br w:val="nil"/>
                    <w:tr2bl w:val="nil"/>
                  </w:tcBorders>
                  <w:noWrap w:val="0"/>
                  <w:vAlign w:val="center"/>
                </w:tcPr>
                <w:p w14:paraId="5F414EF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0.078</w:t>
                  </w:r>
                </w:p>
              </w:tc>
              <w:tc>
                <w:tcPr>
                  <w:tcW w:w="614" w:type="pct"/>
                  <w:gridSpan w:val="2"/>
                  <w:tcBorders>
                    <w:tl2br w:val="nil"/>
                    <w:tr2bl w:val="nil"/>
                  </w:tcBorders>
                  <w:noWrap w:val="0"/>
                  <w:vAlign w:val="center"/>
                </w:tcPr>
                <w:p w14:paraId="3BFEB8A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137.5</w:t>
                  </w:r>
                </w:p>
              </w:tc>
              <w:tc>
                <w:tcPr>
                  <w:tcW w:w="457" w:type="pct"/>
                  <w:tcBorders>
                    <w:tl2br w:val="nil"/>
                    <w:tr2bl w:val="nil"/>
                  </w:tcBorders>
                  <w:noWrap w:val="0"/>
                  <w:vAlign w:val="center"/>
                </w:tcPr>
                <w:p w14:paraId="11A81C19">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w:t>
                  </w:r>
                </w:p>
              </w:tc>
              <w:tc>
                <w:tcPr>
                  <w:tcW w:w="492" w:type="pct"/>
                  <w:tcBorders>
                    <w:tl2br w:val="nil"/>
                    <w:tr2bl w:val="nil"/>
                  </w:tcBorders>
                  <w:noWrap w:val="0"/>
                  <w:vAlign w:val="center"/>
                </w:tcPr>
                <w:p w14:paraId="12B77E02">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434" w:type="pct"/>
                  <w:vMerge w:val="continue"/>
                  <w:tcBorders>
                    <w:tl2br w:val="nil"/>
                    <w:tr2bl w:val="nil"/>
                  </w:tcBorders>
                  <w:noWrap w:val="0"/>
                  <w:vAlign w:val="center"/>
                </w:tcPr>
                <w:p w14:paraId="752B5A71">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701D8E0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restart"/>
                  <w:tcBorders>
                    <w:tl2br w:val="nil"/>
                    <w:tr2bl w:val="nil"/>
                  </w:tcBorders>
                  <w:noWrap w:val="0"/>
                  <w:vAlign w:val="center"/>
                </w:tcPr>
                <w:p w14:paraId="5341BC8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15" w:type="pct"/>
                  <w:gridSpan w:val="2"/>
                  <w:tcBorders>
                    <w:tl2br w:val="nil"/>
                    <w:tr2bl w:val="nil"/>
                  </w:tcBorders>
                  <w:noWrap w:val="0"/>
                  <w:vAlign w:val="center"/>
                </w:tcPr>
                <w:p w14:paraId="3974DFB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597" w:type="pct"/>
                  <w:vMerge w:val="continue"/>
                  <w:tcBorders>
                    <w:tl2br w:val="nil"/>
                    <w:tr2bl w:val="nil"/>
                  </w:tcBorders>
                  <w:noWrap w:val="0"/>
                  <w:vAlign w:val="center"/>
                </w:tcPr>
                <w:p w14:paraId="4755B0E1">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545868FF">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0.0053 </w:t>
                  </w:r>
                </w:p>
              </w:tc>
              <w:tc>
                <w:tcPr>
                  <w:tcW w:w="650" w:type="pct"/>
                  <w:gridSpan w:val="2"/>
                  <w:tcBorders>
                    <w:tl2br w:val="nil"/>
                    <w:tr2bl w:val="nil"/>
                  </w:tcBorders>
                  <w:noWrap w:val="0"/>
                  <w:vAlign w:val="center"/>
                </w:tcPr>
                <w:p w14:paraId="2526AE07">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0.016</w:t>
                  </w:r>
                </w:p>
              </w:tc>
              <w:tc>
                <w:tcPr>
                  <w:tcW w:w="614" w:type="pct"/>
                  <w:gridSpan w:val="2"/>
                  <w:tcBorders>
                    <w:tl2br w:val="nil"/>
                    <w:tr2bl w:val="nil"/>
                  </w:tcBorders>
                  <w:noWrap w:val="0"/>
                  <w:vAlign w:val="center"/>
                </w:tcPr>
                <w:p w14:paraId="63538E55">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4.18</w:t>
                  </w:r>
                </w:p>
              </w:tc>
              <w:tc>
                <w:tcPr>
                  <w:tcW w:w="457" w:type="pct"/>
                  <w:tcBorders>
                    <w:tl2br w:val="nil"/>
                    <w:tr2bl w:val="nil"/>
                  </w:tcBorders>
                  <w:noWrap w:val="0"/>
                  <w:vAlign w:val="center"/>
                </w:tcPr>
                <w:p w14:paraId="464B310F">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41D46928">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72B941D2">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17CA773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3C837F60">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515" w:type="pct"/>
                  <w:gridSpan w:val="2"/>
                  <w:tcBorders>
                    <w:tl2br w:val="nil"/>
                    <w:tr2bl w:val="nil"/>
                  </w:tcBorders>
                  <w:noWrap w:val="0"/>
                  <w:vAlign w:val="center"/>
                </w:tcPr>
                <w:p w14:paraId="4976F6B9">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二氧化硫</w:t>
                  </w:r>
                </w:p>
              </w:tc>
              <w:tc>
                <w:tcPr>
                  <w:tcW w:w="597" w:type="pct"/>
                  <w:vMerge w:val="continue"/>
                  <w:tcBorders>
                    <w:tl2br w:val="nil"/>
                    <w:tr2bl w:val="nil"/>
                  </w:tcBorders>
                  <w:noWrap w:val="0"/>
                  <w:vAlign w:val="center"/>
                </w:tcPr>
                <w:p w14:paraId="1D10CC89">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6A180FB0">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0.0005 </w:t>
                  </w:r>
                </w:p>
              </w:tc>
              <w:tc>
                <w:tcPr>
                  <w:tcW w:w="650" w:type="pct"/>
                  <w:gridSpan w:val="2"/>
                  <w:tcBorders>
                    <w:tl2br w:val="nil"/>
                    <w:tr2bl w:val="nil"/>
                  </w:tcBorders>
                  <w:noWrap w:val="0"/>
                  <w:vAlign w:val="center"/>
                </w:tcPr>
                <w:p w14:paraId="08A4A21B">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c>
                <w:tcPr>
                  <w:tcW w:w="614" w:type="pct"/>
                  <w:gridSpan w:val="2"/>
                  <w:tcBorders>
                    <w:tl2br w:val="nil"/>
                    <w:tr2bl w:val="nil"/>
                  </w:tcBorders>
                  <w:noWrap w:val="0"/>
                  <w:vAlign w:val="center"/>
                </w:tcPr>
                <w:p w14:paraId="341E163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3.71</w:t>
                  </w:r>
                </w:p>
              </w:tc>
              <w:tc>
                <w:tcPr>
                  <w:tcW w:w="457" w:type="pct"/>
                  <w:tcBorders>
                    <w:tl2br w:val="nil"/>
                    <w:tr2bl w:val="nil"/>
                  </w:tcBorders>
                  <w:noWrap w:val="0"/>
                  <w:vAlign w:val="center"/>
                </w:tcPr>
                <w:p w14:paraId="2EA22FBB">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73917A50">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4B1F6091">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5F0F0D4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58B5A580">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515" w:type="pct"/>
                  <w:gridSpan w:val="2"/>
                  <w:tcBorders>
                    <w:tl2br w:val="nil"/>
                    <w:tr2bl w:val="nil"/>
                  </w:tcBorders>
                  <w:noWrap w:val="0"/>
                  <w:vAlign w:val="center"/>
                </w:tcPr>
                <w:p w14:paraId="68B47D9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氮氧化物</w:t>
                  </w:r>
                </w:p>
              </w:tc>
              <w:tc>
                <w:tcPr>
                  <w:tcW w:w="597" w:type="pct"/>
                  <w:vMerge w:val="continue"/>
                  <w:tcBorders>
                    <w:tl2br w:val="nil"/>
                    <w:tr2bl w:val="nil"/>
                  </w:tcBorders>
                  <w:noWrap w:val="0"/>
                  <w:vAlign w:val="center"/>
                </w:tcPr>
                <w:p w14:paraId="5F71EB95">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0378872E">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0.0037 </w:t>
                  </w:r>
                </w:p>
              </w:tc>
              <w:tc>
                <w:tcPr>
                  <w:tcW w:w="650" w:type="pct"/>
                  <w:gridSpan w:val="2"/>
                  <w:tcBorders>
                    <w:tl2br w:val="nil"/>
                    <w:tr2bl w:val="nil"/>
                  </w:tcBorders>
                  <w:noWrap w:val="0"/>
                  <w:vAlign w:val="center"/>
                </w:tcPr>
                <w:p w14:paraId="7127DA28">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0.011</w:t>
                  </w:r>
                </w:p>
              </w:tc>
              <w:tc>
                <w:tcPr>
                  <w:tcW w:w="614" w:type="pct"/>
                  <w:gridSpan w:val="2"/>
                  <w:tcBorders>
                    <w:tl2br w:val="nil"/>
                    <w:tr2bl w:val="nil"/>
                  </w:tcBorders>
                  <w:noWrap w:val="0"/>
                  <w:vAlign w:val="center"/>
                </w:tcPr>
                <w:p w14:paraId="50EDE09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27.62</w:t>
                  </w:r>
                </w:p>
              </w:tc>
              <w:tc>
                <w:tcPr>
                  <w:tcW w:w="457" w:type="pct"/>
                  <w:tcBorders>
                    <w:tl2br w:val="nil"/>
                    <w:tr2bl w:val="nil"/>
                  </w:tcBorders>
                  <w:noWrap w:val="0"/>
                  <w:vAlign w:val="center"/>
                </w:tcPr>
                <w:p w14:paraId="43A6E21C">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25329F8B">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338F5414">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75C2DCE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restart"/>
                  <w:tcBorders>
                    <w:tl2br w:val="nil"/>
                    <w:tr2bl w:val="nil"/>
                  </w:tcBorders>
                  <w:noWrap w:val="0"/>
                  <w:vAlign w:val="center"/>
                </w:tcPr>
                <w:p w14:paraId="377F55F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6</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15" w:type="pct"/>
                  <w:gridSpan w:val="2"/>
                  <w:tcBorders>
                    <w:tl2br w:val="nil"/>
                    <w:tr2bl w:val="nil"/>
                  </w:tcBorders>
                  <w:noWrap w:val="0"/>
                  <w:vAlign w:val="center"/>
                </w:tcPr>
                <w:p w14:paraId="75FC2F52">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597" w:type="pct"/>
                  <w:vMerge w:val="continue"/>
                  <w:tcBorders>
                    <w:tl2br w:val="nil"/>
                    <w:tr2bl w:val="nil"/>
                  </w:tcBorders>
                  <w:noWrap w:val="0"/>
                  <w:vAlign w:val="center"/>
                </w:tcPr>
                <w:p w14:paraId="7C02E244">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4AE16629">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0.0005 </w:t>
                  </w:r>
                </w:p>
              </w:tc>
              <w:tc>
                <w:tcPr>
                  <w:tcW w:w="650" w:type="pct"/>
                  <w:gridSpan w:val="2"/>
                  <w:tcBorders>
                    <w:tl2br w:val="nil"/>
                    <w:tr2bl w:val="nil"/>
                  </w:tcBorders>
                  <w:noWrap w:val="0"/>
                  <w:vAlign w:val="center"/>
                </w:tcPr>
                <w:p w14:paraId="0873C8B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0.0016</w:t>
                  </w:r>
                </w:p>
              </w:tc>
              <w:tc>
                <w:tcPr>
                  <w:tcW w:w="614" w:type="pct"/>
                  <w:gridSpan w:val="2"/>
                  <w:tcBorders>
                    <w:tl2br w:val="nil"/>
                    <w:tr2bl w:val="nil"/>
                  </w:tcBorders>
                  <w:noWrap w:val="0"/>
                  <w:vAlign w:val="center"/>
                </w:tcPr>
                <w:p w14:paraId="41FD7C12">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4.24</w:t>
                  </w:r>
                </w:p>
              </w:tc>
              <w:tc>
                <w:tcPr>
                  <w:tcW w:w="457" w:type="pct"/>
                  <w:tcBorders>
                    <w:tl2br w:val="nil"/>
                    <w:tr2bl w:val="nil"/>
                  </w:tcBorders>
                  <w:noWrap w:val="0"/>
                  <w:vAlign w:val="center"/>
                </w:tcPr>
                <w:p w14:paraId="57F46C99">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59756553">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w:t>
                  </w:r>
                </w:p>
              </w:tc>
              <w:tc>
                <w:tcPr>
                  <w:tcW w:w="434" w:type="pct"/>
                  <w:vMerge w:val="continue"/>
                  <w:tcBorders>
                    <w:tl2br w:val="nil"/>
                    <w:tr2bl w:val="nil"/>
                  </w:tcBorders>
                  <w:noWrap w:val="0"/>
                  <w:vAlign w:val="center"/>
                </w:tcPr>
                <w:p w14:paraId="57BDAA63">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730A944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12106FA0">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p>
              </w:tc>
              <w:tc>
                <w:tcPr>
                  <w:tcW w:w="515" w:type="pct"/>
                  <w:gridSpan w:val="2"/>
                  <w:tcBorders>
                    <w:tl2br w:val="nil"/>
                    <w:tr2bl w:val="nil"/>
                  </w:tcBorders>
                  <w:noWrap w:val="0"/>
                  <w:vAlign w:val="center"/>
                </w:tcPr>
                <w:p w14:paraId="3E86B12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二氧化硫</w:t>
                  </w:r>
                </w:p>
              </w:tc>
              <w:tc>
                <w:tcPr>
                  <w:tcW w:w="597" w:type="pct"/>
                  <w:vMerge w:val="continue"/>
                  <w:tcBorders>
                    <w:tl2br w:val="nil"/>
                    <w:tr2bl w:val="nil"/>
                  </w:tcBorders>
                  <w:noWrap w:val="0"/>
                  <w:vAlign w:val="center"/>
                </w:tcPr>
                <w:p w14:paraId="3CEC570B">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0C86E90E">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0.0005 </w:t>
                  </w:r>
                </w:p>
              </w:tc>
              <w:tc>
                <w:tcPr>
                  <w:tcW w:w="650" w:type="pct"/>
                  <w:gridSpan w:val="2"/>
                  <w:tcBorders>
                    <w:tl2br w:val="nil"/>
                    <w:tr2bl w:val="nil"/>
                  </w:tcBorders>
                  <w:noWrap w:val="0"/>
                  <w:vAlign w:val="center"/>
                </w:tcPr>
                <w:p w14:paraId="73BA315E">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c>
                <w:tcPr>
                  <w:tcW w:w="614" w:type="pct"/>
                  <w:gridSpan w:val="2"/>
                  <w:tcBorders>
                    <w:tl2br w:val="nil"/>
                    <w:tr2bl w:val="nil"/>
                  </w:tcBorders>
                  <w:noWrap w:val="0"/>
                  <w:vAlign w:val="center"/>
                </w:tcPr>
                <w:p w14:paraId="36888B1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3.72</w:t>
                  </w:r>
                </w:p>
              </w:tc>
              <w:tc>
                <w:tcPr>
                  <w:tcW w:w="457" w:type="pct"/>
                  <w:tcBorders>
                    <w:tl2br w:val="nil"/>
                    <w:tr2bl w:val="nil"/>
                  </w:tcBorders>
                  <w:noWrap w:val="0"/>
                  <w:vAlign w:val="center"/>
                </w:tcPr>
                <w:p w14:paraId="174364A6">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150F25DC">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6D3D222F">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370142BB">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19772CDE">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p>
              </w:tc>
              <w:tc>
                <w:tcPr>
                  <w:tcW w:w="515" w:type="pct"/>
                  <w:gridSpan w:val="2"/>
                  <w:tcBorders>
                    <w:tl2br w:val="nil"/>
                    <w:tr2bl w:val="nil"/>
                  </w:tcBorders>
                  <w:noWrap w:val="0"/>
                  <w:vAlign w:val="center"/>
                </w:tcPr>
                <w:p w14:paraId="0043796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氮氧化物</w:t>
                  </w:r>
                </w:p>
              </w:tc>
              <w:tc>
                <w:tcPr>
                  <w:tcW w:w="597" w:type="pct"/>
                  <w:vMerge w:val="continue"/>
                  <w:tcBorders>
                    <w:tl2br w:val="nil"/>
                    <w:tr2bl w:val="nil"/>
                  </w:tcBorders>
                  <w:noWrap w:val="0"/>
                  <w:vAlign w:val="center"/>
                </w:tcPr>
                <w:p w14:paraId="1A851F4B">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779F68E8">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0.0033 </w:t>
                  </w:r>
                </w:p>
              </w:tc>
              <w:tc>
                <w:tcPr>
                  <w:tcW w:w="650" w:type="pct"/>
                  <w:gridSpan w:val="2"/>
                  <w:tcBorders>
                    <w:tl2br w:val="nil"/>
                    <w:tr2bl w:val="nil"/>
                  </w:tcBorders>
                  <w:noWrap w:val="0"/>
                  <w:vAlign w:val="center"/>
                </w:tcPr>
                <w:p w14:paraId="4E65AF6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c>
                <w:tcPr>
                  <w:tcW w:w="614" w:type="pct"/>
                  <w:gridSpan w:val="2"/>
                  <w:tcBorders>
                    <w:tl2br w:val="nil"/>
                    <w:tr2bl w:val="nil"/>
                  </w:tcBorders>
                  <w:noWrap w:val="0"/>
                  <w:vAlign w:val="center"/>
                </w:tcPr>
                <w:p w14:paraId="6BC751BD">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26.52</w:t>
                  </w:r>
                </w:p>
              </w:tc>
              <w:tc>
                <w:tcPr>
                  <w:tcW w:w="457" w:type="pct"/>
                  <w:tcBorders>
                    <w:tl2br w:val="nil"/>
                    <w:tr2bl w:val="nil"/>
                  </w:tcBorders>
                  <w:noWrap w:val="0"/>
                  <w:vAlign w:val="center"/>
                </w:tcPr>
                <w:p w14:paraId="43463620">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3FDF9CFF">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1717AECB">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0FE5301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restart"/>
                  <w:tcBorders>
                    <w:tl2br w:val="nil"/>
                    <w:tr2bl w:val="nil"/>
                  </w:tcBorders>
                  <w:noWrap w:val="0"/>
                  <w:vAlign w:val="center"/>
                </w:tcPr>
                <w:p w14:paraId="2DAB7B6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 w:val="20"/>
                      <w:szCs w:val="22"/>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7</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15" w:type="pct"/>
                  <w:gridSpan w:val="2"/>
                  <w:tcBorders>
                    <w:tl2br w:val="nil"/>
                    <w:tr2bl w:val="nil"/>
                  </w:tcBorders>
                  <w:noWrap w:val="0"/>
                  <w:vAlign w:val="center"/>
                </w:tcPr>
                <w:p w14:paraId="2638C31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颗粒物</w:t>
                  </w:r>
                </w:p>
              </w:tc>
              <w:tc>
                <w:tcPr>
                  <w:tcW w:w="597" w:type="pct"/>
                  <w:vMerge w:val="continue"/>
                  <w:tcBorders>
                    <w:tl2br w:val="nil"/>
                    <w:tr2bl w:val="nil"/>
                  </w:tcBorders>
                  <w:noWrap w:val="0"/>
                  <w:vAlign w:val="center"/>
                </w:tcPr>
                <w:p w14:paraId="3364B5FD">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1D980BC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0.0005 </w:t>
                  </w:r>
                </w:p>
              </w:tc>
              <w:tc>
                <w:tcPr>
                  <w:tcW w:w="650" w:type="pct"/>
                  <w:gridSpan w:val="2"/>
                  <w:tcBorders>
                    <w:tl2br w:val="nil"/>
                    <w:tr2bl w:val="nil"/>
                  </w:tcBorders>
                  <w:noWrap w:val="0"/>
                  <w:vAlign w:val="center"/>
                </w:tcPr>
                <w:p w14:paraId="5B14440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0.0016</w:t>
                  </w:r>
                </w:p>
              </w:tc>
              <w:tc>
                <w:tcPr>
                  <w:tcW w:w="614" w:type="pct"/>
                  <w:gridSpan w:val="2"/>
                  <w:tcBorders>
                    <w:tl2br w:val="nil"/>
                    <w:tr2bl w:val="nil"/>
                  </w:tcBorders>
                  <w:noWrap w:val="0"/>
                  <w:vAlign w:val="center"/>
                </w:tcPr>
                <w:p w14:paraId="569B8EF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4.24</w:t>
                  </w:r>
                </w:p>
              </w:tc>
              <w:tc>
                <w:tcPr>
                  <w:tcW w:w="457" w:type="pct"/>
                  <w:tcBorders>
                    <w:tl2br w:val="nil"/>
                    <w:tr2bl w:val="nil"/>
                  </w:tcBorders>
                  <w:noWrap w:val="0"/>
                  <w:vAlign w:val="center"/>
                </w:tcPr>
                <w:p w14:paraId="6A3E5FAA">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39836634">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3487DD61">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7E9913A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64575166">
                  <w:pPr>
                    <w:pStyle w:val="5"/>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lang w:eastAsia="zh-CN"/>
                      <w14:textFill>
                        <w14:solidFill>
                          <w14:schemeClr w14:val="tx1"/>
                        </w14:solidFill>
                      </w14:textFill>
                    </w:rPr>
                  </w:pPr>
                </w:p>
              </w:tc>
              <w:tc>
                <w:tcPr>
                  <w:tcW w:w="515" w:type="pct"/>
                  <w:gridSpan w:val="2"/>
                  <w:tcBorders>
                    <w:tl2br w:val="nil"/>
                    <w:tr2bl w:val="nil"/>
                  </w:tcBorders>
                  <w:noWrap w:val="0"/>
                  <w:vAlign w:val="center"/>
                </w:tcPr>
                <w:p w14:paraId="3FD30FAF">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二氧化硫</w:t>
                  </w:r>
                </w:p>
              </w:tc>
              <w:tc>
                <w:tcPr>
                  <w:tcW w:w="597" w:type="pct"/>
                  <w:vMerge w:val="continue"/>
                  <w:tcBorders>
                    <w:tl2br w:val="nil"/>
                    <w:tr2bl w:val="nil"/>
                  </w:tcBorders>
                  <w:noWrap w:val="0"/>
                  <w:vAlign w:val="center"/>
                </w:tcPr>
                <w:p w14:paraId="4ECD1ED1">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5A3A993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0.0005 </w:t>
                  </w:r>
                </w:p>
              </w:tc>
              <w:tc>
                <w:tcPr>
                  <w:tcW w:w="650" w:type="pct"/>
                  <w:gridSpan w:val="2"/>
                  <w:tcBorders>
                    <w:tl2br w:val="nil"/>
                    <w:tr2bl w:val="nil"/>
                  </w:tcBorders>
                  <w:noWrap w:val="0"/>
                  <w:vAlign w:val="center"/>
                </w:tcPr>
                <w:p w14:paraId="5A96101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0.0014</w:t>
                  </w:r>
                </w:p>
              </w:tc>
              <w:tc>
                <w:tcPr>
                  <w:tcW w:w="614" w:type="pct"/>
                  <w:gridSpan w:val="2"/>
                  <w:tcBorders>
                    <w:tl2br w:val="nil"/>
                    <w:tr2bl w:val="nil"/>
                  </w:tcBorders>
                  <w:noWrap w:val="0"/>
                  <w:vAlign w:val="center"/>
                </w:tcPr>
                <w:p w14:paraId="0670390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3.72</w:t>
                  </w:r>
                </w:p>
              </w:tc>
              <w:tc>
                <w:tcPr>
                  <w:tcW w:w="457" w:type="pct"/>
                  <w:tcBorders>
                    <w:tl2br w:val="nil"/>
                    <w:tr2bl w:val="nil"/>
                  </w:tcBorders>
                  <w:noWrap w:val="0"/>
                  <w:vAlign w:val="center"/>
                </w:tcPr>
                <w:p w14:paraId="06F28FF8">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252ED193">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017D6158">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3E90B99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71573222">
                  <w:pPr>
                    <w:pStyle w:val="5"/>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lang w:eastAsia="zh-CN"/>
                      <w14:textFill>
                        <w14:solidFill>
                          <w14:schemeClr w14:val="tx1"/>
                        </w14:solidFill>
                      </w14:textFill>
                    </w:rPr>
                  </w:pPr>
                </w:p>
              </w:tc>
              <w:tc>
                <w:tcPr>
                  <w:tcW w:w="515" w:type="pct"/>
                  <w:gridSpan w:val="2"/>
                  <w:tcBorders>
                    <w:tl2br w:val="nil"/>
                    <w:tr2bl w:val="nil"/>
                  </w:tcBorders>
                  <w:noWrap w:val="0"/>
                  <w:vAlign w:val="center"/>
                </w:tcPr>
                <w:p w14:paraId="05A7A0BE">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氮氧化物</w:t>
                  </w:r>
                </w:p>
              </w:tc>
              <w:tc>
                <w:tcPr>
                  <w:tcW w:w="597" w:type="pct"/>
                  <w:vMerge w:val="continue"/>
                  <w:tcBorders>
                    <w:tl2br w:val="nil"/>
                    <w:tr2bl w:val="nil"/>
                  </w:tcBorders>
                  <w:noWrap w:val="0"/>
                  <w:vAlign w:val="center"/>
                </w:tcPr>
                <w:p w14:paraId="05805371">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0F172D13">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0.0033 </w:t>
                  </w:r>
                </w:p>
              </w:tc>
              <w:tc>
                <w:tcPr>
                  <w:tcW w:w="650" w:type="pct"/>
                  <w:gridSpan w:val="2"/>
                  <w:tcBorders>
                    <w:tl2br w:val="nil"/>
                    <w:tr2bl w:val="nil"/>
                  </w:tcBorders>
                  <w:noWrap w:val="0"/>
                  <w:vAlign w:val="center"/>
                </w:tcPr>
                <w:p w14:paraId="2A16390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w:t>
                  </w:r>
                </w:p>
              </w:tc>
              <w:tc>
                <w:tcPr>
                  <w:tcW w:w="614" w:type="pct"/>
                  <w:gridSpan w:val="2"/>
                  <w:tcBorders>
                    <w:tl2br w:val="nil"/>
                    <w:tr2bl w:val="nil"/>
                  </w:tcBorders>
                  <w:noWrap w:val="0"/>
                  <w:vAlign w:val="center"/>
                </w:tcPr>
                <w:p w14:paraId="64350F30">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26.52</w:t>
                  </w:r>
                </w:p>
              </w:tc>
              <w:tc>
                <w:tcPr>
                  <w:tcW w:w="457" w:type="pct"/>
                  <w:tcBorders>
                    <w:tl2br w:val="nil"/>
                    <w:tr2bl w:val="nil"/>
                  </w:tcBorders>
                  <w:noWrap w:val="0"/>
                  <w:vAlign w:val="center"/>
                </w:tcPr>
                <w:p w14:paraId="3F928C39">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589AC156">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476CA789">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6C90046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restart"/>
                  <w:tcBorders>
                    <w:tl2br w:val="nil"/>
                    <w:tr2bl w:val="nil"/>
                  </w:tcBorders>
                  <w:noWrap w:val="0"/>
                  <w:vAlign w:val="center"/>
                </w:tcPr>
                <w:p w14:paraId="2CCDFFF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污水处理恶臭</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8</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502" w:type="pct"/>
                  <w:tcBorders>
                    <w:tl2br w:val="nil"/>
                    <w:tr2bl w:val="nil"/>
                  </w:tcBorders>
                  <w:noWrap w:val="0"/>
                  <w:vAlign w:val="center"/>
                </w:tcPr>
                <w:p w14:paraId="558AB95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氨</w:t>
                  </w:r>
                </w:p>
              </w:tc>
              <w:tc>
                <w:tcPr>
                  <w:tcW w:w="12" w:type="pct"/>
                  <w:tcBorders>
                    <w:tl2br w:val="nil"/>
                    <w:tr2bl w:val="nil"/>
                  </w:tcBorders>
                  <w:noWrap w:val="0"/>
                  <w:vAlign w:val="center"/>
                </w:tcPr>
                <w:p w14:paraId="61823E6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rPr>
                  </w:pPr>
                </w:p>
              </w:tc>
              <w:tc>
                <w:tcPr>
                  <w:tcW w:w="597" w:type="pct"/>
                  <w:vMerge w:val="continue"/>
                  <w:tcBorders>
                    <w:tl2br w:val="nil"/>
                    <w:tr2bl w:val="nil"/>
                  </w:tcBorders>
                  <w:noWrap w:val="0"/>
                  <w:vAlign w:val="center"/>
                </w:tcPr>
                <w:p w14:paraId="7F5827BF">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01C99FC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0.0040 </w:t>
                  </w:r>
                </w:p>
              </w:tc>
              <w:tc>
                <w:tcPr>
                  <w:tcW w:w="637" w:type="pct"/>
                  <w:tcBorders>
                    <w:tl2br w:val="nil"/>
                    <w:tr2bl w:val="nil"/>
                  </w:tcBorders>
                  <w:noWrap w:val="0"/>
                  <w:vAlign w:val="center"/>
                </w:tcPr>
                <w:p w14:paraId="18A9F7E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0.012</w:t>
                  </w:r>
                </w:p>
              </w:tc>
              <w:tc>
                <w:tcPr>
                  <w:tcW w:w="12" w:type="pct"/>
                  <w:tcBorders>
                    <w:tl2br w:val="nil"/>
                    <w:tr2bl w:val="nil"/>
                  </w:tcBorders>
                  <w:noWrap w:val="0"/>
                  <w:vAlign w:val="center"/>
                </w:tcPr>
                <w:p w14:paraId="0BFA46F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rPr>
                  </w:pPr>
                </w:p>
              </w:tc>
              <w:tc>
                <w:tcPr>
                  <w:tcW w:w="599" w:type="pct"/>
                  <w:tcBorders>
                    <w:tl2br w:val="nil"/>
                    <w:tr2bl w:val="nil"/>
                  </w:tcBorders>
                  <w:noWrap w:val="0"/>
                  <w:vAlign w:val="center"/>
                </w:tcPr>
                <w:p w14:paraId="6A5EB793">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4.0</w:t>
                  </w:r>
                </w:p>
              </w:tc>
              <w:tc>
                <w:tcPr>
                  <w:tcW w:w="15" w:type="pct"/>
                  <w:tcBorders>
                    <w:tl2br w:val="nil"/>
                    <w:tr2bl w:val="nil"/>
                  </w:tcBorders>
                  <w:noWrap w:val="0"/>
                  <w:vAlign w:val="center"/>
                </w:tcPr>
                <w:p w14:paraId="4C9D9387">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rPr>
                  </w:pPr>
                </w:p>
              </w:tc>
              <w:tc>
                <w:tcPr>
                  <w:tcW w:w="457" w:type="pct"/>
                  <w:tcBorders>
                    <w:tl2br w:val="nil"/>
                    <w:tr2bl w:val="nil"/>
                  </w:tcBorders>
                  <w:noWrap w:val="0"/>
                  <w:vAlign w:val="center"/>
                </w:tcPr>
                <w:p w14:paraId="6C9DF53F">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6F414F97">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65F46B89">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3243006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0C035A77">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eastAsia="zh-CN"/>
                      <w14:textFill>
                        <w14:solidFill>
                          <w14:schemeClr w14:val="tx1"/>
                        </w14:solidFill>
                      </w14:textFill>
                    </w:rPr>
                  </w:pPr>
                </w:p>
              </w:tc>
              <w:tc>
                <w:tcPr>
                  <w:tcW w:w="502" w:type="pct"/>
                  <w:tcBorders>
                    <w:tl2br w:val="nil"/>
                    <w:tr2bl w:val="nil"/>
                  </w:tcBorders>
                  <w:noWrap w:val="0"/>
                  <w:vAlign w:val="center"/>
                </w:tcPr>
                <w:p w14:paraId="09D784B7">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硫化氢</w:t>
                  </w:r>
                </w:p>
              </w:tc>
              <w:tc>
                <w:tcPr>
                  <w:tcW w:w="12" w:type="pct"/>
                  <w:tcBorders>
                    <w:tl2br w:val="nil"/>
                    <w:tr2bl w:val="nil"/>
                  </w:tcBorders>
                  <w:noWrap w:val="0"/>
                  <w:vAlign w:val="center"/>
                </w:tcPr>
                <w:p w14:paraId="6ABFD135">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rPr>
                  </w:pPr>
                </w:p>
              </w:tc>
              <w:tc>
                <w:tcPr>
                  <w:tcW w:w="597" w:type="pct"/>
                  <w:vMerge w:val="continue"/>
                  <w:tcBorders>
                    <w:tl2br w:val="nil"/>
                    <w:tr2bl w:val="nil"/>
                  </w:tcBorders>
                  <w:noWrap w:val="0"/>
                  <w:vAlign w:val="center"/>
                </w:tcPr>
                <w:p w14:paraId="73DC482A">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6A2780E7">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0.0002 </w:t>
                  </w:r>
                </w:p>
              </w:tc>
              <w:tc>
                <w:tcPr>
                  <w:tcW w:w="637" w:type="pct"/>
                  <w:tcBorders>
                    <w:tl2br w:val="nil"/>
                    <w:tr2bl w:val="nil"/>
                  </w:tcBorders>
                  <w:noWrap w:val="0"/>
                  <w:vAlign w:val="center"/>
                </w:tcPr>
                <w:p w14:paraId="10789893">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0.00045</w:t>
                  </w:r>
                </w:p>
              </w:tc>
              <w:tc>
                <w:tcPr>
                  <w:tcW w:w="12" w:type="pct"/>
                  <w:tcBorders>
                    <w:tl2br w:val="nil"/>
                    <w:tr2bl w:val="nil"/>
                  </w:tcBorders>
                  <w:noWrap w:val="0"/>
                  <w:vAlign w:val="center"/>
                </w:tcPr>
                <w:p w14:paraId="6F20C651">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rPr>
                  </w:pPr>
                </w:p>
              </w:tc>
              <w:tc>
                <w:tcPr>
                  <w:tcW w:w="599" w:type="pct"/>
                  <w:tcBorders>
                    <w:tl2br w:val="nil"/>
                    <w:tr2bl w:val="nil"/>
                  </w:tcBorders>
                  <w:noWrap w:val="0"/>
                  <w:vAlign w:val="center"/>
                </w:tcPr>
                <w:p w14:paraId="21265C2C">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0.15</w:t>
                  </w:r>
                </w:p>
              </w:tc>
              <w:tc>
                <w:tcPr>
                  <w:tcW w:w="15" w:type="pct"/>
                  <w:tcBorders>
                    <w:tl2br w:val="nil"/>
                    <w:tr2bl w:val="nil"/>
                  </w:tcBorders>
                  <w:noWrap w:val="0"/>
                  <w:vAlign w:val="center"/>
                </w:tcPr>
                <w:p w14:paraId="0061D37B">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rPr>
                  </w:pPr>
                </w:p>
              </w:tc>
              <w:tc>
                <w:tcPr>
                  <w:tcW w:w="457" w:type="pct"/>
                  <w:tcBorders>
                    <w:tl2br w:val="nil"/>
                    <w:tr2bl w:val="nil"/>
                  </w:tcBorders>
                  <w:noWrap w:val="0"/>
                  <w:vAlign w:val="center"/>
                </w:tcPr>
                <w:p w14:paraId="15D9D118">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7C3BA8B5">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1EE9BD73">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r w14:paraId="48066DE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0" w:hRule="atLeast"/>
                <w:jc w:val="center"/>
              </w:trPr>
              <w:tc>
                <w:tcPr>
                  <w:tcW w:w="653" w:type="pct"/>
                  <w:vMerge w:val="continue"/>
                  <w:tcBorders>
                    <w:tl2br w:val="nil"/>
                    <w:tr2bl w:val="nil"/>
                  </w:tcBorders>
                  <w:noWrap w:val="0"/>
                  <w:vAlign w:val="center"/>
                </w:tcPr>
                <w:p w14:paraId="30907229">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eastAsia="zh-CN"/>
                      <w14:textFill>
                        <w14:solidFill>
                          <w14:schemeClr w14:val="tx1"/>
                        </w14:solidFill>
                      </w14:textFill>
                    </w:rPr>
                  </w:pPr>
                </w:p>
              </w:tc>
              <w:tc>
                <w:tcPr>
                  <w:tcW w:w="502" w:type="pct"/>
                  <w:tcBorders>
                    <w:tl2br w:val="nil"/>
                    <w:tr2bl w:val="nil"/>
                  </w:tcBorders>
                  <w:noWrap w:val="0"/>
                  <w:vAlign w:val="center"/>
                </w:tcPr>
                <w:p w14:paraId="186776DA">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臭气浓度</w:t>
                  </w:r>
                </w:p>
              </w:tc>
              <w:tc>
                <w:tcPr>
                  <w:tcW w:w="12" w:type="pct"/>
                  <w:tcBorders>
                    <w:tl2br w:val="nil"/>
                    <w:tr2bl w:val="nil"/>
                  </w:tcBorders>
                  <w:noWrap w:val="0"/>
                  <w:vAlign w:val="center"/>
                </w:tcPr>
                <w:p w14:paraId="27423F2C">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rPr>
                  </w:pPr>
                </w:p>
              </w:tc>
              <w:tc>
                <w:tcPr>
                  <w:tcW w:w="597" w:type="pct"/>
                  <w:vMerge w:val="continue"/>
                  <w:tcBorders>
                    <w:tl2br w:val="nil"/>
                    <w:tr2bl w:val="nil"/>
                  </w:tcBorders>
                  <w:noWrap w:val="0"/>
                  <w:vAlign w:val="center"/>
                </w:tcPr>
                <w:p w14:paraId="2C2251B3">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c>
                <w:tcPr>
                  <w:tcW w:w="586" w:type="pct"/>
                  <w:tcBorders>
                    <w:tl2br w:val="nil"/>
                    <w:tr2bl w:val="nil"/>
                  </w:tcBorders>
                  <w:noWrap w:val="0"/>
                  <w:vAlign w:val="center"/>
                </w:tcPr>
                <w:p w14:paraId="1D90441B">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637" w:type="pct"/>
                  <w:tcBorders>
                    <w:tl2br w:val="nil"/>
                    <w:tr2bl w:val="nil"/>
                  </w:tcBorders>
                  <w:noWrap w:val="0"/>
                  <w:vAlign w:val="center"/>
                </w:tcPr>
                <w:p w14:paraId="588F0476">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2" w:type="pct"/>
                  <w:tcBorders>
                    <w:tl2br w:val="nil"/>
                    <w:tr2bl w:val="nil"/>
                  </w:tcBorders>
                  <w:noWrap w:val="0"/>
                  <w:vAlign w:val="center"/>
                </w:tcPr>
                <w:p w14:paraId="02E08C55">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rPr>
                  </w:pPr>
                </w:p>
              </w:tc>
              <w:tc>
                <w:tcPr>
                  <w:tcW w:w="599" w:type="pct"/>
                  <w:tcBorders>
                    <w:tl2br w:val="nil"/>
                    <w:tr2bl w:val="nil"/>
                  </w:tcBorders>
                  <w:noWrap w:val="0"/>
                  <w:vAlign w:val="center"/>
                </w:tcPr>
                <w:p w14:paraId="04530F90">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5" w:type="pct"/>
                  <w:tcBorders>
                    <w:tl2br w:val="nil"/>
                    <w:tr2bl w:val="nil"/>
                  </w:tcBorders>
                  <w:noWrap w:val="0"/>
                  <w:vAlign w:val="center"/>
                </w:tcPr>
                <w:p w14:paraId="6944BC88">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rPr>
                  </w:pPr>
                </w:p>
              </w:tc>
              <w:tc>
                <w:tcPr>
                  <w:tcW w:w="457" w:type="pct"/>
                  <w:tcBorders>
                    <w:tl2br w:val="nil"/>
                    <w:tr2bl w:val="nil"/>
                  </w:tcBorders>
                  <w:noWrap w:val="0"/>
                  <w:vAlign w:val="center"/>
                </w:tcPr>
                <w:p w14:paraId="4370A89C">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92" w:type="pct"/>
                  <w:tcBorders>
                    <w:tl2br w:val="nil"/>
                    <w:tr2bl w:val="nil"/>
                  </w:tcBorders>
                  <w:noWrap w:val="0"/>
                  <w:vAlign w:val="center"/>
                </w:tcPr>
                <w:p w14:paraId="79E26848">
                  <w:pPr>
                    <w:keepNext w:val="0"/>
                    <w:keepLines w:val="0"/>
                    <w:widowControl/>
                    <w:suppressLineNumbers w:val="0"/>
                    <w:spacing w:before="0" w:beforeAutospacing="0" w:after="0" w:afterAutospacing="0" w:line="280" w:lineRule="exact"/>
                    <w:ind w:left="0" w:leftChars="0" w:right="0" w:rightChars="0"/>
                    <w:jc w:val="center"/>
                    <w:textAlignment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434" w:type="pct"/>
                  <w:vMerge w:val="continue"/>
                  <w:tcBorders>
                    <w:tl2br w:val="nil"/>
                    <w:tr2bl w:val="nil"/>
                  </w:tcBorders>
                  <w:noWrap w:val="0"/>
                  <w:vAlign w:val="center"/>
                </w:tcPr>
                <w:p w14:paraId="2F60522E">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宋体" w:cs="Times New Roman"/>
                      <w:color w:val="000000" w:themeColor="text1"/>
                      <w14:textFill>
                        <w14:solidFill>
                          <w14:schemeClr w14:val="tx1"/>
                        </w14:solidFill>
                      </w14:textFill>
                    </w:rPr>
                  </w:pPr>
                </w:p>
              </w:tc>
            </w:tr>
          </w:tbl>
          <w:p w14:paraId="0162E509">
            <w:pPr>
              <w:pStyle w:val="18"/>
              <w:keepNext w:val="0"/>
              <w:keepLines w:val="0"/>
              <w:suppressLineNumbers w:val="0"/>
              <w:spacing w:before="0" w:beforeAutospacing="0" w:after="0" w:afterAutospacing="0" w:line="500" w:lineRule="exact"/>
              <w:ind w:left="0" w:firstLine="480" w:firstLineChars="200"/>
              <w:jc w:val="both"/>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非正常工况下，污染物的环境影响增大，因此，生产中应加强管理，严格操作规程，及时清理和维护治理设施，防止非正常工况发生。</w:t>
            </w:r>
          </w:p>
          <w:p w14:paraId="6CB90AA6">
            <w:pPr>
              <w:pStyle w:val="18"/>
              <w:keepNext w:val="0"/>
              <w:keepLines w:val="0"/>
              <w:suppressLineNumbers w:val="0"/>
              <w:spacing w:before="0" w:beforeAutospacing="0" w:after="0" w:afterAutospacing="0" w:line="500" w:lineRule="exact"/>
              <w:ind w:left="0" w:firstLine="480" w:firstLineChars="200"/>
              <w:jc w:val="both"/>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lang w:eastAsia="zh-CN"/>
                <w14:textFill>
                  <w14:solidFill>
                    <w14:schemeClr w14:val="tx1"/>
                  </w14:solidFill>
                </w14:textFill>
              </w:rPr>
              <w:t>）废气污染设施可行性、废气污染物环境影响分析</w:t>
            </w:r>
          </w:p>
          <w:p w14:paraId="39B2FBC5">
            <w:pPr>
              <w:pStyle w:val="18"/>
              <w:keepNext w:val="0"/>
              <w:keepLines w:val="0"/>
              <w:suppressLineNumbers w:val="0"/>
              <w:spacing w:before="0" w:beforeAutospacing="0" w:after="0" w:afterAutospacing="0" w:line="500" w:lineRule="exact"/>
              <w:ind w:left="0" w:firstLine="480" w:firstLineChars="200"/>
              <w:jc w:val="both"/>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根据邯郸市生态环境局2025年7月29日发布的《2024年河北省邯郸市生态环境状况公报》相关数据</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建设项目所在区域为不达标区。根据特征污染物监测数据可知，监测期间项目周边大气环境状况总体较好，特征污染因子现状满足《环境空气质量标准》（GB3095-2012）二级标准及修改单要求。</w:t>
            </w:r>
          </w:p>
          <w:p w14:paraId="29DCD87C">
            <w:pPr>
              <w:pStyle w:val="18"/>
              <w:keepNext w:val="0"/>
              <w:keepLines w:val="0"/>
              <w:suppressLineNumbers w:val="0"/>
              <w:spacing w:before="0" w:beforeAutospacing="0" w:after="0" w:afterAutospacing="0" w:line="500" w:lineRule="exact"/>
              <w:ind w:left="0" w:firstLine="480" w:firstLineChars="200"/>
              <w:jc w:val="both"/>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项目运营期各污染源采取的环保设施均为《排污许可证申请与核发技术规范》中可行技术，在严格落实环评采取的环保措施的情况下，</w:t>
            </w:r>
            <w:r>
              <w:rPr>
                <w:rFonts w:hint="default" w:ascii="Times New Roman" w:hAnsi="Times New Roman" w:eastAsia="宋体" w:cs="Times New Roman"/>
                <w:b w:val="0"/>
                <w:bCs w:val="0"/>
                <w:color w:val="000000" w:themeColor="text1"/>
                <w:sz w:val="24"/>
                <w:szCs w:val="24"/>
                <w14:textFill>
                  <w14:solidFill>
                    <w14:schemeClr w14:val="tx1"/>
                  </w14:solidFill>
                </w14:textFill>
              </w:rPr>
              <w:t>项目废气排放的环境影响是可接受的</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项目实施后对周围环境空气的影响较小。</w:t>
            </w:r>
          </w:p>
          <w:p w14:paraId="6F897F38">
            <w:pPr>
              <w:pStyle w:val="18"/>
              <w:keepNext w:val="0"/>
              <w:keepLines w:val="0"/>
              <w:suppressLineNumbers w:val="0"/>
              <w:spacing w:before="0" w:beforeAutospacing="0" w:after="0" w:afterAutospacing="0" w:line="500" w:lineRule="exact"/>
              <w:ind w:left="0" w:firstLine="480" w:firstLineChars="200"/>
              <w:jc w:val="both"/>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（7）监测计划</w:t>
            </w:r>
          </w:p>
          <w:p w14:paraId="56F27757">
            <w:pPr>
              <w:pStyle w:val="18"/>
              <w:keepNext w:val="0"/>
              <w:keepLines w:val="0"/>
              <w:suppressLineNumbers w:val="0"/>
              <w:spacing w:before="0" w:beforeAutospacing="0" w:after="0" w:afterAutospacing="0" w:line="500" w:lineRule="exact"/>
              <w:ind w:left="0" w:right="0" w:firstLine="480" w:firstLineChars="200"/>
              <w:jc w:val="both"/>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环境监测是环境管理的依据和基础，为环境统计和环境定量评价提供科学依据，并据此制定污染防治对策和规划。</w:t>
            </w:r>
            <w:r>
              <w:rPr>
                <w:rFonts w:hint="eastAsia" w:ascii="Times New Roman" w:hAnsi="Times New Roman" w:cs="Times New Roman"/>
                <w:color w:val="000000" w:themeColor="text1"/>
                <w:sz w:val="24"/>
                <w:szCs w:val="24"/>
                <w:lang w:eastAsia="zh-CN"/>
                <w14:textFill>
                  <w14:solidFill>
                    <w14:schemeClr w14:val="tx1"/>
                  </w14:solidFill>
                </w14:textFill>
              </w:rPr>
              <w:t>根据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《排污单位自行监测技术指南 农副食品加工业》（HJ986—2018）及《排污单位自行监测技术指南—火力发电及锅炉》（HJ820-2017）相关要求</w:t>
            </w:r>
            <w:r>
              <w:rPr>
                <w:rFonts w:hint="default" w:ascii="Times New Roman" w:hAnsi="Times New Roman" w:eastAsia="宋体" w:cs="Times New Roman"/>
                <w:color w:val="000000" w:themeColor="text1"/>
                <w:sz w:val="24"/>
                <w:szCs w:val="24"/>
                <w14:textFill>
                  <w14:solidFill>
                    <w14:schemeClr w14:val="tx1"/>
                  </w14:solidFill>
                </w14:textFill>
              </w:rPr>
              <w:t>，本项目污染源监测计划</w:t>
            </w:r>
            <w:r>
              <w:rPr>
                <w:rFonts w:hint="eastAsia" w:ascii="Times New Roman" w:hAnsi="Times New Roman" w:cs="Times New Roman"/>
                <w:color w:val="000000" w:themeColor="text1"/>
                <w:sz w:val="24"/>
                <w:szCs w:val="24"/>
                <w:lang w:eastAsia="zh-CN"/>
                <w14:textFill>
                  <w14:solidFill>
                    <w14:schemeClr w14:val="tx1"/>
                  </w14:solidFill>
                </w14:textFill>
              </w:rPr>
              <w:t>见表</w:t>
            </w:r>
            <w:r>
              <w:rPr>
                <w:rFonts w:hint="eastAsia" w:ascii="Times New Roman" w:hAnsi="Times New Roman" w:cs="Times New Roman"/>
                <w:color w:val="000000" w:themeColor="text1"/>
                <w:sz w:val="24"/>
                <w:szCs w:val="24"/>
                <w:lang w:val="en-US" w:eastAsia="zh-CN"/>
                <w14:textFill>
                  <w14:solidFill>
                    <w14:schemeClr w14:val="tx1"/>
                  </w14:solidFill>
                </w14:textFill>
              </w:rPr>
              <w:t>4-6</w:t>
            </w:r>
          </w:p>
          <w:p w14:paraId="2D6AC9D8">
            <w:pPr>
              <w:pStyle w:val="18"/>
              <w:keepNext w:val="0"/>
              <w:keepLines w:val="0"/>
              <w:suppressLineNumbers w:val="0"/>
              <w:spacing w:before="0" w:beforeAutospacing="0" w:after="0" w:afterAutospacing="0" w:line="500" w:lineRule="exact"/>
              <w:ind w:left="0" w:firstLine="0"/>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4</w:t>
            </w:r>
            <w:r>
              <w:rPr>
                <w:rFonts w:hint="eastAsia" w:ascii="Times New Roman" w:hAnsi="Times New Roman" w:cs="Times New Roman"/>
                <w:b/>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color w:val="000000" w:themeColor="text1"/>
                <w:sz w:val="24"/>
                <w:szCs w:val="24"/>
                <w14:textFill>
                  <w14:solidFill>
                    <w14:schemeClr w14:val="tx1"/>
                  </w14:solidFill>
                </w14:textFill>
              </w:rPr>
              <w:t xml:space="preserve">  大气污染源监测计划</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20"/>
              <w:gridCol w:w="3326"/>
              <w:gridCol w:w="3075"/>
              <w:gridCol w:w="1564"/>
            </w:tblGrid>
            <w:tr w14:paraId="4117F9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tcBorders>
                    <w:tl2br w:val="nil"/>
                    <w:tr2bl w:val="nil"/>
                  </w:tcBorders>
                  <w:noWrap w:val="0"/>
                  <w:vAlign w:val="center"/>
                </w:tcPr>
                <w:p w14:paraId="2DC63B49">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1936" w:type="pct"/>
                  <w:tcBorders>
                    <w:tl2br w:val="nil"/>
                    <w:tr2bl w:val="nil"/>
                  </w:tcBorders>
                  <w:noWrap w:val="0"/>
                  <w:vAlign w:val="center"/>
                </w:tcPr>
                <w:p w14:paraId="122DACE9">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监测位置</w:t>
                  </w:r>
                </w:p>
              </w:tc>
              <w:tc>
                <w:tcPr>
                  <w:tcW w:w="1790" w:type="pct"/>
                  <w:tcBorders>
                    <w:tl2br w:val="nil"/>
                    <w:tr2bl w:val="nil"/>
                  </w:tcBorders>
                  <w:noWrap w:val="0"/>
                  <w:vAlign w:val="center"/>
                </w:tcPr>
                <w:p w14:paraId="23644CE7">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监测因子</w:t>
                  </w:r>
                </w:p>
              </w:tc>
              <w:tc>
                <w:tcPr>
                  <w:tcW w:w="910" w:type="pct"/>
                  <w:tcBorders>
                    <w:tl2br w:val="nil"/>
                    <w:tr2bl w:val="nil"/>
                  </w:tcBorders>
                  <w:noWrap w:val="0"/>
                  <w:vAlign w:val="center"/>
                </w:tcPr>
                <w:p w14:paraId="221F8AF1">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监测频率</w:t>
                  </w:r>
                </w:p>
              </w:tc>
            </w:tr>
            <w:tr w14:paraId="45F74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tcBorders>
                    <w:tl2br w:val="nil"/>
                    <w:tr2bl w:val="nil"/>
                  </w:tcBorders>
                  <w:noWrap w:val="0"/>
                  <w:vAlign w:val="center"/>
                </w:tcPr>
                <w:p w14:paraId="04C86E66">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936" w:type="pct"/>
                  <w:tcBorders>
                    <w:tl2br w:val="nil"/>
                    <w:tr2bl w:val="nil"/>
                  </w:tcBorders>
                  <w:noWrap w:val="0"/>
                  <w:vAlign w:val="center"/>
                </w:tcPr>
                <w:p w14:paraId="7A2966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3#生产车间投料粉尘（DA00</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790" w:type="pct"/>
                  <w:tcBorders>
                    <w:tl2br w:val="nil"/>
                    <w:tr2bl w:val="nil"/>
                  </w:tcBorders>
                  <w:noWrap w:val="0"/>
                  <w:vAlign w:val="center"/>
                </w:tcPr>
                <w:p w14:paraId="3353C1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pacing w:val="-2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910" w:type="pct"/>
                  <w:tcBorders>
                    <w:tl2br w:val="nil"/>
                    <w:tr2bl w:val="nil"/>
                  </w:tcBorders>
                  <w:noWrap w:val="0"/>
                  <w:vAlign w:val="center"/>
                </w:tcPr>
                <w:p w14:paraId="45E89FA5">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r w14:paraId="6F8F9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tcBorders>
                    <w:tl2br w:val="nil"/>
                    <w:tr2bl w:val="nil"/>
                  </w:tcBorders>
                  <w:noWrap w:val="0"/>
                  <w:vAlign w:val="center"/>
                </w:tcPr>
                <w:p w14:paraId="0803D4FA">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936" w:type="pct"/>
                  <w:tcBorders>
                    <w:tl2br w:val="nil"/>
                    <w:tr2bl w:val="nil"/>
                  </w:tcBorders>
                  <w:noWrap w:val="0"/>
                  <w:vAlign w:val="center"/>
                </w:tcPr>
                <w:p w14:paraId="778A1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8#车间蒸煮/</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卤制过程产生的异味（DA002）</w:t>
                  </w:r>
                </w:p>
              </w:tc>
              <w:tc>
                <w:tcPr>
                  <w:tcW w:w="1790" w:type="pct"/>
                  <w:tcBorders>
                    <w:tl2br w:val="nil"/>
                    <w:tr2bl w:val="nil"/>
                  </w:tcBorders>
                  <w:noWrap w:val="0"/>
                  <w:vAlign w:val="center"/>
                </w:tcPr>
                <w:p w14:paraId="54A001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Times New Roman" w:hAnsi="Times New Roman" w:eastAsia="宋体" w:cs="Times New Roman"/>
                      <w:color w:val="000000" w:themeColor="text1"/>
                      <w:spacing w:val="-20"/>
                      <w:sz w:val="21"/>
                      <w:szCs w:val="21"/>
                      <w:lang w:val="en-US"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臭气浓度</w:t>
                  </w:r>
                </w:p>
              </w:tc>
              <w:tc>
                <w:tcPr>
                  <w:tcW w:w="910" w:type="pct"/>
                  <w:tcBorders>
                    <w:tl2br w:val="nil"/>
                    <w:tr2bl w:val="nil"/>
                  </w:tcBorders>
                  <w:noWrap w:val="0"/>
                  <w:vAlign w:val="center"/>
                </w:tcPr>
                <w:p w14:paraId="3F10DD2F">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r w14:paraId="5892A8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87" w:hRule="atLeast"/>
                <w:jc w:val="center"/>
              </w:trPr>
              <w:tc>
                <w:tcPr>
                  <w:tcW w:w="361" w:type="pct"/>
                  <w:tcBorders>
                    <w:tl2br w:val="nil"/>
                    <w:tr2bl w:val="nil"/>
                  </w:tcBorders>
                  <w:noWrap w:val="0"/>
                  <w:vAlign w:val="center"/>
                </w:tcPr>
                <w:p w14:paraId="24AECFD9">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936" w:type="pct"/>
                  <w:tcBorders>
                    <w:tl2br w:val="nil"/>
                    <w:tr2bl w:val="nil"/>
                  </w:tcBorders>
                  <w:noWrap w:val="0"/>
                  <w:vAlign w:val="center"/>
                </w:tcPr>
                <w:p w14:paraId="20822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10#车间蒸煮/</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卤制过程产生的异味（DA00</w:t>
                  </w:r>
                  <w:r>
                    <w:rPr>
                      <w:rFonts w:hint="eastAsia" w:ascii="Times New Roman" w:hAnsi="Times New Roman" w:eastAsia="宋体" w:cs="Times New Roman"/>
                      <w:color w:val="000000" w:themeColor="text1"/>
                      <w:szCs w:val="21"/>
                      <w:lang w:val="en-US" w:eastAsia="zh-CN"/>
                      <w14:textFill>
                        <w14:solidFill>
                          <w14:schemeClr w14:val="tx1"/>
                        </w14:solidFill>
                      </w14:textFill>
                    </w:rPr>
                    <w:t>3</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790" w:type="pct"/>
                  <w:tcBorders>
                    <w:tl2br w:val="nil"/>
                    <w:tr2bl w:val="nil"/>
                  </w:tcBorders>
                  <w:noWrap w:val="0"/>
                  <w:vAlign w:val="center"/>
                </w:tcPr>
                <w:p w14:paraId="3C6C87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臭气浓度</w:t>
                  </w:r>
                </w:p>
              </w:tc>
              <w:tc>
                <w:tcPr>
                  <w:tcW w:w="910" w:type="pct"/>
                  <w:tcBorders>
                    <w:tl2br w:val="nil"/>
                    <w:tr2bl w:val="nil"/>
                  </w:tcBorders>
                  <w:noWrap w:val="0"/>
                  <w:vAlign w:val="center"/>
                </w:tcPr>
                <w:p w14:paraId="6851C6D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r w14:paraId="352D1E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tcBorders>
                    <w:tl2br w:val="nil"/>
                    <w:tr2bl w:val="nil"/>
                  </w:tcBorders>
                  <w:noWrap w:val="0"/>
                  <w:vAlign w:val="center"/>
                </w:tcPr>
                <w:p w14:paraId="7EED5659">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936" w:type="pct"/>
                  <w:tcBorders>
                    <w:tl2br w:val="nil"/>
                    <w:tr2bl w:val="nil"/>
                  </w:tcBorders>
                  <w:noWrap w:val="0"/>
                  <w:vAlign w:val="center"/>
                </w:tcPr>
                <w:p w14:paraId="179DD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3#烤箱烘干天然气</w:t>
                  </w:r>
                  <w:r>
                    <w:rPr>
                      <w:rFonts w:hint="default" w:ascii="Times New Roman" w:hAnsi="Times New Roman" w:eastAsia="宋体" w:cs="Times New Roman"/>
                      <w:color w:val="000000" w:themeColor="text1"/>
                      <w:szCs w:val="21"/>
                      <w:lang w:val="en-US" w:eastAsia="zh-CN"/>
                      <w14:textFill>
                        <w14:solidFill>
                          <w14:schemeClr w14:val="tx1"/>
                        </w14:solidFill>
                      </w14:textFill>
                    </w:rPr>
                    <w:t>燃烧废气（DA00</w:t>
                  </w:r>
                  <w:r>
                    <w:rPr>
                      <w:rFonts w:hint="eastAsia" w:ascii="Times New Roman" w:hAnsi="Times New Roman" w:eastAsia="宋体" w:cs="Times New Roman"/>
                      <w:color w:val="000000" w:themeColor="text1"/>
                      <w:szCs w:val="21"/>
                      <w:lang w:val="en-US" w:eastAsia="zh-CN"/>
                      <w14:textFill>
                        <w14:solidFill>
                          <w14:schemeClr w14:val="tx1"/>
                        </w14:solidFill>
                      </w14:textFill>
                    </w:rPr>
                    <w:t>4</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790" w:type="pct"/>
                  <w:tcBorders>
                    <w:tl2br w:val="nil"/>
                    <w:tr2bl w:val="nil"/>
                  </w:tcBorders>
                  <w:noWrap w:val="0"/>
                  <w:vAlign w:val="center"/>
                </w:tcPr>
                <w:p w14:paraId="7AC44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二氧化硫</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氮氧化物</w:t>
                  </w:r>
                </w:p>
              </w:tc>
              <w:tc>
                <w:tcPr>
                  <w:tcW w:w="910" w:type="pct"/>
                  <w:tcBorders>
                    <w:tl2br w:val="nil"/>
                    <w:tr2bl w:val="nil"/>
                  </w:tcBorders>
                  <w:noWrap w:val="0"/>
                  <w:vAlign w:val="center"/>
                </w:tcPr>
                <w:p w14:paraId="073D571D">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r w14:paraId="6F20EF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vMerge w:val="restart"/>
                  <w:tcBorders>
                    <w:tl2br w:val="nil"/>
                    <w:tr2bl w:val="nil"/>
                  </w:tcBorders>
                  <w:noWrap w:val="0"/>
                  <w:vAlign w:val="center"/>
                </w:tcPr>
                <w:p w14:paraId="53858527">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936" w:type="pct"/>
                  <w:vMerge w:val="restart"/>
                  <w:tcBorders>
                    <w:tl2br w:val="nil"/>
                    <w:tr2bl w:val="nil"/>
                  </w:tcBorders>
                  <w:noWrap w:val="0"/>
                  <w:vAlign w:val="center"/>
                </w:tcPr>
                <w:p w14:paraId="6D3727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790" w:type="pct"/>
                  <w:tcBorders>
                    <w:tl2br w:val="nil"/>
                    <w:tr2bl w:val="nil"/>
                  </w:tcBorders>
                  <w:noWrap w:val="0"/>
                  <w:vAlign w:val="center"/>
                </w:tcPr>
                <w:p w14:paraId="4ED7B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二氧化硫</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烟气黑度</w:t>
                  </w:r>
                </w:p>
              </w:tc>
              <w:tc>
                <w:tcPr>
                  <w:tcW w:w="910" w:type="pct"/>
                  <w:tcBorders>
                    <w:tl2br w:val="nil"/>
                    <w:tr2bl w:val="nil"/>
                  </w:tcBorders>
                  <w:noWrap w:val="0"/>
                  <w:vAlign w:val="center"/>
                </w:tcPr>
                <w:p w14:paraId="648850FD">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年</w:t>
                  </w:r>
                </w:p>
              </w:tc>
            </w:tr>
            <w:tr w14:paraId="6675F5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vMerge w:val="continue"/>
                  <w:tcBorders>
                    <w:tl2br w:val="nil"/>
                    <w:tr2bl w:val="nil"/>
                  </w:tcBorders>
                  <w:noWrap w:val="0"/>
                  <w:vAlign w:val="center"/>
                </w:tcPr>
                <w:p w14:paraId="328EA467">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936" w:type="pct"/>
                  <w:vMerge w:val="continue"/>
                  <w:tcBorders>
                    <w:tl2br w:val="nil"/>
                    <w:tr2bl w:val="nil"/>
                  </w:tcBorders>
                  <w:noWrap w:val="0"/>
                  <w:vAlign w:val="center"/>
                </w:tcPr>
                <w:p w14:paraId="49B97B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1790" w:type="pct"/>
                  <w:tcBorders>
                    <w:tl2br w:val="nil"/>
                    <w:tr2bl w:val="nil"/>
                  </w:tcBorders>
                  <w:noWrap w:val="0"/>
                  <w:vAlign w:val="center"/>
                </w:tcPr>
                <w:p w14:paraId="11DC0F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氮氧化物</w:t>
                  </w:r>
                </w:p>
              </w:tc>
              <w:tc>
                <w:tcPr>
                  <w:tcW w:w="910" w:type="pct"/>
                  <w:tcBorders>
                    <w:tl2br w:val="nil"/>
                    <w:tr2bl w:val="nil"/>
                  </w:tcBorders>
                  <w:noWrap w:val="0"/>
                  <w:vAlign w:val="center"/>
                </w:tcPr>
                <w:p w14:paraId="3E4E6753">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pPr>
                  <w:r>
                    <w:rPr>
                      <w:rFonts w:hint="eastAsia" w:cs="Times New Roman"/>
                      <w:color w:val="000000" w:themeColor="text1"/>
                      <w:spacing w:val="4"/>
                      <w:sz w:val="21"/>
                      <w:szCs w:val="21"/>
                      <w:lang w:val="en-US" w:eastAsia="zh-CN"/>
                      <w14:textFill>
                        <w14:solidFill>
                          <w14:schemeClr w14:val="tx1"/>
                        </w14:solidFill>
                      </w14:textFill>
                    </w:rPr>
                    <w:t>1次/月</w:t>
                  </w:r>
                </w:p>
              </w:tc>
            </w:tr>
            <w:tr w14:paraId="39899D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vMerge w:val="restart"/>
                  <w:tcBorders>
                    <w:tl2br w:val="nil"/>
                    <w:tr2bl w:val="nil"/>
                  </w:tcBorders>
                  <w:noWrap w:val="0"/>
                  <w:vAlign w:val="center"/>
                </w:tcPr>
                <w:p w14:paraId="0078EB63">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936" w:type="pct"/>
                  <w:vMerge w:val="restart"/>
                  <w:tcBorders>
                    <w:tl2br w:val="nil"/>
                    <w:tr2bl w:val="nil"/>
                  </w:tcBorders>
                  <w:noWrap w:val="0"/>
                  <w:vAlign w:val="center"/>
                </w:tcPr>
                <w:p w14:paraId="405112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6</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790" w:type="pct"/>
                  <w:tcBorders>
                    <w:tl2br w:val="nil"/>
                    <w:tr2bl w:val="nil"/>
                  </w:tcBorders>
                  <w:noWrap w:val="0"/>
                  <w:vAlign w:val="center"/>
                </w:tcPr>
                <w:p w14:paraId="20FD84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二氧化硫</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烟气黑度</w:t>
                  </w:r>
                </w:p>
              </w:tc>
              <w:tc>
                <w:tcPr>
                  <w:tcW w:w="910" w:type="pct"/>
                  <w:tcBorders>
                    <w:tl2br w:val="nil"/>
                    <w:tr2bl w:val="nil"/>
                  </w:tcBorders>
                  <w:noWrap w:val="0"/>
                  <w:vAlign w:val="center"/>
                </w:tcPr>
                <w:p w14:paraId="60DC2F78">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年</w:t>
                  </w:r>
                </w:p>
              </w:tc>
            </w:tr>
            <w:tr w14:paraId="3CC6E7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vMerge w:val="continue"/>
                  <w:tcBorders>
                    <w:tl2br w:val="nil"/>
                    <w:tr2bl w:val="nil"/>
                  </w:tcBorders>
                  <w:noWrap w:val="0"/>
                  <w:vAlign w:val="center"/>
                </w:tcPr>
                <w:p w14:paraId="3E0F20D4">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936" w:type="pct"/>
                  <w:vMerge w:val="continue"/>
                  <w:tcBorders>
                    <w:tl2br w:val="nil"/>
                    <w:tr2bl w:val="nil"/>
                  </w:tcBorders>
                  <w:noWrap w:val="0"/>
                  <w:vAlign w:val="center"/>
                </w:tcPr>
                <w:p w14:paraId="49C15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p>
              </w:tc>
              <w:tc>
                <w:tcPr>
                  <w:tcW w:w="1790" w:type="pct"/>
                  <w:tcBorders>
                    <w:tl2br w:val="nil"/>
                    <w:tr2bl w:val="nil"/>
                  </w:tcBorders>
                  <w:noWrap w:val="0"/>
                  <w:vAlign w:val="center"/>
                </w:tcPr>
                <w:p w14:paraId="2A505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氮氧化物</w:t>
                  </w:r>
                </w:p>
              </w:tc>
              <w:tc>
                <w:tcPr>
                  <w:tcW w:w="910" w:type="pct"/>
                  <w:tcBorders>
                    <w:tl2br w:val="nil"/>
                    <w:tr2bl w:val="nil"/>
                  </w:tcBorders>
                  <w:noWrap w:val="0"/>
                  <w:vAlign w:val="center"/>
                </w:tcPr>
                <w:p w14:paraId="2273948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pacing w:val="4"/>
                      <w:sz w:val="21"/>
                      <w:szCs w:val="21"/>
                      <w14:textFill>
                        <w14:solidFill>
                          <w14:schemeClr w14:val="tx1"/>
                        </w14:solidFill>
                      </w14:textFill>
                    </w:rPr>
                  </w:pPr>
                  <w:r>
                    <w:rPr>
                      <w:rFonts w:hint="eastAsia" w:cs="Times New Roman"/>
                      <w:color w:val="000000" w:themeColor="text1"/>
                      <w:spacing w:val="4"/>
                      <w:sz w:val="21"/>
                      <w:szCs w:val="21"/>
                      <w:lang w:val="en-US" w:eastAsia="zh-CN"/>
                      <w14:textFill>
                        <w14:solidFill>
                          <w14:schemeClr w14:val="tx1"/>
                        </w14:solidFill>
                      </w14:textFill>
                    </w:rPr>
                    <w:t>1次/月</w:t>
                  </w:r>
                </w:p>
              </w:tc>
            </w:tr>
            <w:tr w14:paraId="432608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61" w:type="pct"/>
                  <w:vMerge w:val="restart"/>
                  <w:tcBorders>
                    <w:tl2br w:val="nil"/>
                    <w:tr2bl w:val="nil"/>
                  </w:tcBorders>
                  <w:noWrap w:val="0"/>
                  <w:vAlign w:val="center"/>
                </w:tcPr>
                <w:p w14:paraId="2C410157">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w:t>
                  </w:r>
                </w:p>
              </w:tc>
              <w:tc>
                <w:tcPr>
                  <w:tcW w:w="1936" w:type="pct"/>
                  <w:vMerge w:val="restart"/>
                  <w:tcBorders>
                    <w:tl2br w:val="nil"/>
                    <w:tr2bl w:val="nil"/>
                  </w:tcBorders>
                  <w:noWrap w:val="0"/>
                  <w:vAlign w:val="center"/>
                </w:tcPr>
                <w:p w14:paraId="232687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7</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790" w:type="pct"/>
                  <w:tcBorders>
                    <w:tl2br w:val="nil"/>
                    <w:tr2bl w:val="nil"/>
                  </w:tcBorders>
                  <w:noWrap w:val="0"/>
                  <w:vAlign w:val="center"/>
                </w:tcPr>
                <w:p w14:paraId="5FF3F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二氧化硫</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烟气黑度</w:t>
                  </w:r>
                </w:p>
              </w:tc>
              <w:tc>
                <w:tcPr>
                  <w:tcW w:w="910" w:type="pct"/>
                  <w:tcBorders>
                    <w:tl2br w:val="nil"/>
                    <w:tr2bl w:val="nil"/>
                  </w:tcBorders>
                  <w:noWrap w:val="0"/>
                  <w:vAlign w:val="center"/>
                </w:tcPr>
                <w:p w14:paraId="54339F15">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年</w:t>
                  </w:r>
                </w:p>
              </w:tc>
            </w:tr>
            <w:tr w14:paraId="54C35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18" w:hRule="atLeast"/>
                <w:jc w:val="center"/>
              </w:trPr>
              <w:tc>
                <w:tcPr>
                  <w:tcW w:w="361" w:type="pct"/>
                  <w:vMerge w:val="continue"/>
                  <w:tcBorders>
                    <w:tl2br w:val="nil"/>
                    <w:tr2bl w:val="nil"/>
                  </w:tcBorders>
                  <w:noWrap w:val="0"/>
                  <w:vAlign w:val="center"/>
                </w:tcPr>
                <w:p w14:paraId="212E3BEA">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936" w:type="pct"/>
                  <w:vMerge w:val="continue"/>
                  <w:tcBorders>
                    <w:tl2br w:val="nil"/>
                    <w:tr2bl w:val="nil"/>
                  </w:tcBorders>
                  <w:noWrap w:val="0"/>
                  <w:vAlign w:val="center"/>
                </w:tcPr>
                <w:p w14:paraId="635DD9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eastAsia" w:cs="Times New Roman"/>
                      <w:color w:val="000000" w:themeColor="text1"/>
                      <w:szCs w:val="21"/>
                      <w:lang w:val="en-US" w:eastAsia="zh-CN"/>
                      <w14:textFill>
                        <w14:solidFill>
                          <w14:schemeClr w14:val="tx1"/>
                        </w14:solidFill>
                      </w14:textFill>
                    </w:rPr>
                  </w:pPr>
                </w:p>
              </w:tc>
              <w:tc>
                <w:tcPr>
                  <w:tcW w:w="1790" w:type="pct"/>
                  <w:tcBorders>
                    <w:tl2br w:val="nil"/>
                    <w:tr2bl w:val="nil"/>
                  </w:tcBorders>
                  <w:noWrap w:val="0"/>
                  <w:vAlign w:val="center"/>
                </w:tcPr>
                <w:p w14:paraId="49BCFB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氮氧化物</w:t>
                  </w:r>
                </w:p>
              </w:tc>
              <w:tc>
                <w:tcPr>
                  <w:tcW w:w="910" w:type="pct"/>
                  <w:tcBorders>
                    <w:tl2br w:val="nil"/>
                    <w:tr2bl w:val="nil"/>
                  </w:tcBorders>
                  <w:noWrap w:val="0"/>
                  <w:vAlign w:val="center"/>
                </w:tcPr>
                <w:p w14:paraId="59B82EB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pacing w:val="4"/>
                      <w:sz w:val="21"/>
                      <w:szCs w:val="21"/>
                      <w14:textFill>
                        <w14:solidFill>
                          <w14:schemeClr w14:val="tx1"/>
                        </w14:solidFill>
                      </w14:textFill>
                    </w:rPr>
                  </w:pPr>
                  <w:r>
                    <w:rPr>
                      <w:rFonts w:hint="eastAsia" w:cs="Times New Roman"/>
                      <w:color w:val="000000" w:themeColor="text1"/>
                      <w:spacing w:val="4"/>
                      <w:sz w:val="21"/>
                      <w:szCs w:val="21"/>
                      <w:lang w:val="en-US" w:eastAsia="zh-CN"/>
                      <w14:textFill>
                        <w14:solidFill>
                          <w14:schemeClr w14:val="tx1"/>
                        </w14:solidFill>
                      </w14:textFill>
                    </w:rPr>
                    <w:t>1次/月</w:t>
                  </w:r>
                </w:p>
              </w:tc>
            </w:tr>
            <w:tr w14:paraId="00EE3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tcBorders>
                    <w:tl2br w:val="nil"/>
                    <w:tr2bl w:val="nil"/>
                  </w:tcBorders>
                  <w:noWrap w:val="0"/>
                  <w:vAlign w:val="center"/>
                </w:tcPr>
                <w:p w14:paraId="1752358F">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c>
                <w:tcPr>
                  <w:tcW w:w="1936" w:type="pct"/>
                  <w:tcBorders>
                    <w:tl2br w:val="nil"/>
                    <w:tr2bl w:val="nil"/>
                  </w:tcBorders>
                  <w:noWrap w:val="0"/>
                  <w:vAlign w:val="center"/>
                </w:tcPr>
                <w:p w14:paraId="3CDF31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污水处理恶臭</w:t>
                  </w:r>
                  <w:r>
                    <w:rPr>
                      <w:rFonts w:hint="default" w:ascii="Times New Roman" w:hAnsi="Times New Roman" w:eastAsia="宋体" w:cs="Times New Roman"/>
                      <w:color w:val="000000" w:themeColor="text1"/>
                      <w:szCs w:val="21"/>
                      <w:lang w:val="en-US" w:eastAsia="zh-CN"/>
                      <w14:textFill>
                        <w14:solidFill>
                          <w14:schemeClr w14:val="tx1"/>
                        </w14:solidFill>
                      </w14:textFill>
                    </w:rPr>
                    <w:t>（DA00</w:t>
                  </w:r>
                  <w:r>
                    <w:rPr>
                      <w:rFonts w:hint="eastAsia" w:ascii="Times New Roman" w:hAnsi="Times New Roman" w:eastAsia="宋体" w:cs="Times New Roman"/>
                      <w:color w:val="000000" w:themeColor="text1"/>
                      <w:szCs w:val="21"/>
                      <w:lang w:val="en-US" w:eastAsia="zh-CN"/>
                      <w14:textFill>
                        <w14:solidFill>
                          <w14:schemeClr w14:val="tx1"/>
                        </w14:solidFill>
                      </w14:textFill>
                    </w:rPr>
                    <w:t>8</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790" w:type="pct"/>
                  <w:tcBorders>
                    <w:tl2br w:val="nil"/>
                    <w:tr2bl w:val="nil"/>
                  </w:tcBorders>
                  <w:noWrap w:val="0"/>
                  <w:vAlign w:val="center"/>
                </w:tcPr>
                <w:p w14:paraId="33C3A3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氨、硫化氢、臭气浓度</w:t>
                  </w:r>
                </w:p>
              </w:tc>
              <w:tc>
                <w:tcPr>
                  <w:tcW w:w="910" w:type="pct"/>
                  <w:tcBorders>
                    <w:tl2br w:val="nil"/>
                    <w:tr2bl w:val="nil"/>
                  </w:tcBorders>
                  <w:noWrap w:val="0"/>
                  <w:vAlign w:val="center"/>
                </w:tcPr>
                <w:p w14:paraId="751D1FC5">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r w14:paraId="09DF31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vMerge w:val="restart"/>
                  <w:tcBorders>
                    <w:tl2br w:val="nil"/>
                    <w:tr2bl w:val="nil"/>
                  </w:tcBorders>
                  <w:noWrap w:val="0"/>
                  <w:vAlign w:val="center"/>
                </w:tcPr>
                <w:p w14:paraId="56239D1D">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1936" w:type="pct"/>
                  <w:tcBorders>
                    <w:tl2br w:val="nil"/>
                    <w:tr2bl w:val="nil"/>
                  </w:tcBorders>
                  <w:noWrap w:val="0"/>
                  <w:vAlign w:val="center"/>
                </w:tcPr>
                <w:p w14:paraId="30C991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baseline"/>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厂区</w:t>
                  </w:r>
                </w:p>
              </w:tc>
              <w:tc>
                <w:tcPr>
                  <w:tcW w:w="1790" w:type="pct"/>
                  <w:tcBorders>
                    <w:tl2br w:val="nil"/>
                    <w:tr2bl w:val="nil"/>
                  </w:tcBorders>
                  <w:noWrap w:val="0"/>
                  <w:vAlign w:val="center"/>
                </w:tcPr>
                <w:p w14:paraId="0BC843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0"/>
                      <w:sz w:val="21"/>
                      <w:szCs w:val="21"/>
                      <w14:textFill>
                        <w14:solidFill>
                          <w14:schemeClr w14:val="tx1"/>
                        </w14:solidFill>
                      </w14:textFill>
                    </w:rPr>
                    <w:t>非甲烷总烃</w:t>
                  </w:r>
                </w:p>
              </w:tc>
              <w:tc>
                <w:tcPr>
                  <w:tcW w:w="910" w:type="pct"/>
                  <w:tcBorders>
                    <w:tl2br w:val="nil"/>
                    <w:tr2bl w:val="nil"/>
                  </w:tcBorders>
                  <w:noWrap w:val="0"/>
                  <w:vAlign w:val="center"/>
                </w:tcPr>
                <w:p w14:paraId="6E1F6D5A">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r w14:paraId="0E1AE3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vMerge w:val="continue"/>
                  <w:tcBorders>
                    <w:tl2br w:val="nil"/>
                    <w:tr2bl w:val="nil"/>
                  </w:tcBorders>
                  <w:noWrap w:val="0"/>
                  <w:vAlign w:val="top"/>
                </w:tcPr>
                <w:p w14:paraId="5A558777">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936" w:type="pct"/>
                  <w:vMerge w:val="restart"/>
                  <w:tcBorders>
                    <w:tl2br w:val="nil"/>
                    <w:tr2bl w:val="nil"/>
                  </w:tcBorders>
                  <w:noWrap w:val="0"/>
                  <w:vAlign w:val="center"/>
                </w:tcPr>
                <w:p w14:paraId="19B04F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无组织</w:t>
                  </w:r>
                </w:p>
              </w:tc>
              <w:tc>
                <w:tcPr>
                  <w:tcW w:w="1790" w:type="pct"/>
                  <w:tcBorders>
                    <w:tl2br w:val="nil"/>
                    <w:tr2bl w:val="nil"/>
                  </w:tcBorders>
                  <w:noWrap w:val="0"/>
                  <w:vAlign w:val="center"/>
                </w:tcPr>
                <w:p w14:paraId="387C1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910" w:type="pct"/>
                  <w:tcBorders>
                    <w:tl2br w:val="nil"/>
                    <w:tr2bl w:val="nil"/>
                  </w:tcBorders>
                  <w:noWrap w:val="0"/>
                  <w:vAlign w:val="center"/>
                </w:tcPr>
                <w:p w14:paraId="12110325">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r w14:paraId="24352C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vMerge w:val="continue"/>
                  <w:tcBorders>
                    <w:tl2br w:val="nil"/>
                    <w:tr2bl w:val="nil"/>
                  </w:tcBorders>
                  <w:noWrap w:val="0"/>
                  <w:vAlign w:val="top"/>
                </w:tcPr>
                <w:p w14:paraId="77CFDFA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936" w:type="pct"/>
                  <w:vMerge w:val="continue"/>
                  <w:tcBorders>
                    <w:tl2br w:val="nil"/>
                    <w:tr2bl w:val="nil"/>
                  </w:tcBorders>
                  <w:noWrap w:val="0"/>
                  <w:vAlign w:val="center"/>
                </w:tcPr>
                <w:p w14:paraId="5988F8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90" w:type="pct"/>
                  <w:tcBorders>
                    <w:tl2br w:val="nil"/>
                    <w:tr2bl w:val="nil"/>
                  </w:tcBorders>
                  <w:noWrap w:val="0"/>
                  <w:vAlign w:val="center"/>
                </w:tcPr>
                <w:p w14:paraId="506C55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pacing w:val="-2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0"/>
                      <w:sz w:val="21"/>
                      <w:szCs w:val="21"/>
                      <w:lang w:eastAsia="zh-CN"/>
                      <w14:textFill>
                        <w14:solidFill>
                          <w14:schemeClr w14:val="tx1"/>
                        </w14:solidFill>
                      </w14:textFill>
                    </w:rPr>
                    <w:t>氨</w:t>
                  </w:r>
                </w:p>
              </w:tc>
              <w:tc>
                <w:tcPr>
                  <w:tcW w:w="910" w:type="pct"/>
                  <w:tcBorders>
                    <w:tl2br w:val="nil"/>
                    <w:tr2bl w:val="nil"/>
                  </w:tcBorders>
                  <w:noWrap w:val="0"/>
                  <w:vAlign w:val="center"/>
                </w:tcPr>
                <w:p w14:paraId="5B645C28">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pacing w:val="4"/>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r w14:paraId="385D92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vMerge w:val="continue"/>
                  <w:tcBorders>
                    <w:tl2br w:val="nil"/>
                    <w:tr2bl w:val="nil"/>
                  </w:tcBorders>
                  <w:noWrap w:val="0"/>
                  <w:vAlign w:val="top"/>
                </w:tcPr>
                <w:p w14:paraId="17DE4548">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936" w:type="pct"/>
                  <w:vMerge w:val="continue"/>
                  <w:tcBorders>
                    <w:tl2br w:val="nil"/>
                    <w:tr2bl w:val="nil"/>
                  </w:tcBorders>
                  <w:noWrap w:val="0"/>
                  <w:vAlign w:val="center"/>
                </w:tcPr>
                <w:p w14:paraId="76678A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90" w:type="pct"/>
                  <w:tcBorders>
                    <w:tl2br w:val="nil"/>
                    <w:tr2bl w:val="nil"/>
                  </w:tcBorders>
                  <w:noWrap w:val="0"/>
                  <w:vAlign w:val="center"/>
                </w:tcPr>
                <w:p w14:paraId="2090D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pacing w:val="-2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0"/>
                      <w:sz w:val="21"/>
                      <w:szCs w:val="21"/>
                      <w:lang w:eastAsia="zh-CN"/>
                      <w14:textFill>
                        <w14:solidFill>
                          <w14:schemeClr w14:val="tx1"/>
                        </w14:solidFill>
                      </w14:textFill>
                    </w:rPr>
                    <w:t>硫化氢</w:t>
                  </w:r>
                </w:p>
              </w:tc>
              <w:tc>
                <w:tcPr>
                  <w:tcW w:w="910" w:type="pct"/>
                  <w:tcBorders>
                    <w:tl2br w:val="nil"/>
                    <w:tr2bl w:val="nil"/>
                  </w:tcBorders>
                  <w:noWrap w:val="0"/>
                  <w:vAlign w:val="center"/>
                </w:tcPr>
                <w:p w14:paraId="15A7503B">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pacing w:val="4"/>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r w14:paraId="5578A8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61" w:type="pct"/>
                  <w:vMerge w:val="continue"/>
                  <w:tcBorders>
                    <w:tl2br w:val="nil"/>
                    <w:tr2bl w:val="nil"/>
                  </w:tcBorders>
                  <w:noWrap w:val="0"/>
                  <w:vAlign w:val="top"/>
                </w:tcPr>
                <w:p w14:paraId="177A964B">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936" w:type="pct"/>
                  <w:vMerge w:val="continue"/>
                  <w:tcBorders>
                    <w:tl2br w:val="nil"/>
                    <w:tr2bl w:val="nil"/>
                  </w:tcBorders>
                  <w:noWrap w:val="0"/>
                  <w:vAlign w:val="center"/>
                </w:tcPr>
                <w:p w14:paraId="6062AB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90" w:type="pct"/>
                  <w:tcBorders>
                    <w:tl2br w:val="nil"/>
                    <w:tr2bl w:val="nil"/>
                  </w:tcBorders>
                  <w:noWrap w:val="0"/>
                  <w:vAlign w:val="center"/>
                </w:tcPr>
                <w:p w14:paraId="231269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rPr>
                      <w:rFonts w:hint="default" w:ascii="Times New Roman" w:hAnsi="Times New Roman" w:eastAsia="宋体" w:cs="Times New Roman"/>
                      <w:color w:val="000000" w:themeColor="text1"/>
                      <w:spacing w:val="-2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0"/>
                      <w:sz w:val="21"/>
                      <w:szCs w:val="21"/>
                      <w:lang w:eastAsia="zh-CN"/>
                      <w14:textFill>
                        <w14:solidFill>
                          <w14:schemeClr w14:val="tx1"/>
                        </w14:solidFill>
                      </w14:textFill>
                    </w:rPr>
                    <w:t>臭气浓度</w:t>
                  </w:r>
                </w:p>
              </w:tc>
              <w:tc>
                <w:tcPr>
                  <w:tcW w:w="910" w:type="pct"/>
                  <w:tcBorders>
                    <w:tl2br w:val="nil"/>
                    <w:tr2bl w:val="nil"/>
                  </w:tcBorders>
                  <w:noWrap w:val="0"/>
                  <w:vAlign w:val="center"/>
                </w:tcPr>
                <w:p w14:paraId="3FFB467F">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rPr>
                      <w:rFonts w:hint="default" w:ascii="Times New Roman" w:hAnsi="Times New Roman" w:eastAsia="宋体" w:cs="Times New Roman"/>
                      <w:color w:val="000000" w:themeColor="text1"/>
                      <w:spacing w:val="4"/>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1次/</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半年</w:t>
                  </w:r>
                </w:p>
              </w:tc>
            </w:tr>
          </w:tbl>
          <w:p w14:paraId="1A6FBF3E">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二、废水</w:t>
            </w:r>
          </w:p>
          <w:p w14:paraId="7BAAA9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200"/>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1、废水的排放及治理</w:t>
            </w:r>
          </w:p>
          <w:p w14:paraId="0CBED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textAlignment w:val="auto"/>
              <w:rPr>
                <w:rFonts w:hint="default" w:ascii="Times New Roman" w:hAnsi="Times New Roman" w:eastAsia="宋体" w:cs="Times New Roman"/>
                <w:color w:val="000000" w:themeColor="text1"/>
                <w:kern w:val="2"/>
                <w:sz w:val="24"/>
                <w:szCs w:val="32"/>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32"/>
                <w:highlight w:val="none"/>
                <w:lang w:val="en-US" w:eastAsia="zh-CN" w:bidi="ar-SA"/>
                <w14:textFill>
                  <w14:solidFill>
                    <w14:schemeClr w14:val="tx1"/>
                  </w14:solidFill>
                </w14:textFill>
              </w:rPr>
              <w:t>本项目产生的废水主要为</w:t>
            </w:r>
            <w:r>
              <w:rPr>
                <w:rFonts w:hint="eastAsia" w:cs="Times New Roman"/>
                <w:color w:val="000000" w:themeColor="text1"/>
                <w:kern w:val="2"/>
                <w:sz w:val="24"/>
                <w:szCs w:val="32"/>
                <w:highlight w:val="none"/>
                <w:lang w:val="en-US" w:eastAsia="zh-CN" w:bidi="ar-SA"/>
                <w14:textFill>
                  <w14:solidFill>
                    <w14:schemeClr w14:val="tx1"/>
                  </w14:solidFill>
                </w14:textFill>
              </w:rPr>
              <w:t>生活废水、软水制备系统废水、蒸汽发生器废水、浸泡清洗废水、卤制废水、检验废水、地面冲洗废水、设备冲洗废水以及杀菌废水</w:t>
            </w:r>
            <w:r>
              <w:rPr>
                <w:rFonts w:hint="default" w:ascii="Times New Roman" w:hAnsi="Times New Roman" w:eastAsia="宋体" w:cs="Times New Roman"/>
                <w:color w:val="000000" w:themeColor="text1"/>
                <w:kern w:val="2"/>
                <w:sz w:val="24"/>
                <w:szCs w:val="32"/>
                <w:highlight w:val="none"/>
                <w:lang w:val="en-US" w:eastAsia="zh-CN" w:bidi="ar-SA"/>
                <w14:textFill>
                  <w14:solidFill>
                    <w14:schemeClr w14:val="tx1"/>
                  </w14:solidFill>
                </w14:textFill>
              </w:rPr>
              <w:t>。</w:t>
            </w:r>
          </w:p>
          <w:p w14:paraId="15B72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textAlignment w:val="auto"/>
              <w:rPr>
                <w:rFonts w:hint="default" w:ascii="Times New Roman" w:hAnsi="Times New Roman" w:eastAsia="宋体" w:cs="Times New Roman"/>
                <w:color w:val="000000" w:themeColor="text1"/>
                <w:kern w:val="2"/>
                <w:sz w:val="24"/>
                <w:szCs w:val="32"/>
                <w:highlight w:val="none"/>
                <w:lang w:val="en-US" w:eastAsia="zh-CN" w:bidi="ar-SA"/>
                <w14:textFill>
                  <w14:solidFill>
                    <w14:schemeClr w14:val="tx1"/>
                  </w14:solidFill>
                </w14:textFill>
              </w:rPr>
            </w:pPr>
            <w:r>
              <w:rPr>
                <w:rFonts w:hint="eastAsia" w:cs="Times New Roman"/>
                <w:color w:val="000000" w:themeColor="text1"/>
                <w:kern w:val="2"/>
                <w:sz w:val="24"/>
                <w:szCs w:val="32"/>
                <w:highlight w:val="none"/>
                <w:lang w:val="en-US" w:eastAsia="zh-CN" w:bidi="ar-SA"/>
                <w14:textFill>
                  <w14:solidFill>
                    <w14:schemeClr w14:val="tx1"/>
                  </w14:solidFill>
                </w14:textFill>
              </w:rPr>
              <w:t>项目废水产生总量为39.43m</w:t>
            </w:r>
            <w:r>
              <w:rPr>
                <w:rFonts w:hint="eastAsia" w:cs="Times New Roman"/>
                <w:color w:val="000000" w:themeColor="text1"/>
                <w:kern w:val="2"/>
                <w:sz w:val="24"/>
                <w:szCs w:val="32"/>
                <w:highlight w:val="none"/>
                <w:vertAlign w:val="superscript"/>
                <w:lang w:val="en-US" w:eastAsia="zh-CN" w:bidi="ar-SA"/>
                <w14:textFill>
                  <w14:solidFill>
                    <w14:schemeClr w14:val="tx1"/>
                  </w14:solidFill>
                </w14:textFill>
              </w:rPr>
              <w:t>3</w:t>
            </w:r>
            <w:r>
              <w:rPr>
                <w:rFonts w:hint="eastAsia" w:cs="Times New Roman"/>
                <w:color w:val="000000" w:themeColor="text1"/>
                <w:kern w:val="2"/>
                <w:sz w:val="24"/>
                <w:szCs w:val="32"/>
                <w:highlight w:val="none"/>
                <w:lang w:val="en-US" w:eastAsia="zh-CN" w:bidi="ar-SA"/>
                <w14:textFill>
                  <w14:solidFill>
                    <w14:schemeClr w14:val="tx1"/>
                  </w14:solidFill>
                </w14:textFill>
              </w:rPr>
              <w:t>/d（11829m</w:t>
            </w:r>
            <w:r>
              <w:rPr>
                <w:rFonts w:hint="eastAsia" w:cs="Times New Roman"/>
                <w:color w:val="000000" w:themeColor="text1"/>
                <w:kern w:val="2"/>
                <w:sz w:val="24"/>
                <w:szCs w:val="32"/>
                <w:highlight w:val="none"/>
                <w:vertAlign w:val="superscript"/>
                <w:lang w:val="en-US" w:eastAsia="zh-CN" w:bidi="ar-SA"/>
                <w14:textFill>
                  <w14:solidFill>
                    <w14:schemeClr w14:val="tx1"/>
                  </w14:solidFill>
                </w14:textFill>
              </w:rPr>
              <w:t>3</w:t>
            </w:r>
            <w:r>
              <w:rPr>
                <w:rFonts w:hint="eastAsia" w:cs="Times New Roman"/>
                <w:color w:val="000000" w:themeColor="text1"/>
                <w:kern w:val="2"/>
                <w:sz w:val="24"/>
                <w:szCs w:val="32"/>
                <w:highlight w:val="none"/>
                <w:lang w:val="en-US" w:eastAsia="zh-CN" w:bidi="ar-SA"/>
                <w14:textFill>
                  <w14:solidFill>
                    <w14:schemeClr w14:val="tx1"/>
                  </w14:solidFill>
                </w14:textFill>
              </w:rPr>
              <w:t>/a），废水污染因子主要为pH、COD、氨氮、SS、BOD</w:t>
            </w:r>
            <w:r>
              <w:rPr>
                <w:rFonts w:hint="eastAsia" w:cs="Times New Roman"/>
                <w:color w:val="000000" w:themeColor="text1"/>
                <w:kern w:val="2"/>
                <w:sz w:val="24"/>
                <w:szCs w:val="32"/>
                <w:highlight w:val="none"/>
                <w:vertAlign w:val="subscript"/>
                <w:lang w:val="en-US" w:eastAsia="zh-CN" w:bidi="ar-SA"/>
                <w14:textFill>
                  <w14:solidFill>
                    <w14:schemeClr w14:val="tx1"/>
                  </w14:solidFill>
                </w14:textFill>
              </w:rPr>
              <w:t>5</w:t>
            </w:r>
            <w:r>
              <w:rPr>
                <w:rFonts w:hint="eastAsia" w:cs="Times New Roman"/>
                <w:color w:val="000000" w:themeColor="text1"/>
                <w:kern w:val="2"/>
                <w:sz w:val="24"/>
                <w:szCs w:val="32"/>
                <w:highlight w:val="none"/>
                <w:lang w:val="en-US" w:eastAsia="zh-CN" w:bidi="ar-SA"/>
                <w14:textFill>
                  <w14:solidFill>
                    <w14:schemeClr w14:val="tx1"/>
                  </w14:solidFill>
                </w14:textFill>
              </w:rPr>
              <w:t>、动植物油。</w:t>
            </w:r>
          </w:p>
          <w:p w14:paraId="733B9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textAlignment w:val="auto"/>
              <w:rPr>
                <w:rFonts w:hint="default" w:ascii="Times New Roman" w:hAnsi="Times New Roman" w:eastAsia="宋体" w:cs="Times New Roman"/>
                <w:b/>
                <w:bCs/>
                <w:color w:val="000000" w:themeColor="text1"/>
                <w:kern w:val="2"/>
                <w:sz w:val="24"/>
                <w:szCs w:val="32"/>
                <w:highlight w:val="none"/>
                <w:lang w:val="en-US" w:eastAsia="zh-CN" w:bidi="ar-SA"/>
                <w14:textFill>
                  <w14:solidFill>
                    <w14:schemeClr w14:val="tx1"/>
                  </w14:solidFill>
                </w14:textFill>
              </w:rPr>
            </w:pPr>
            <w:r>
              <w:rPr>
                <w:rFonts w:hint="eastAsia"/>
                <w:bCs/>
                <w:color w:val="000000" w:themeColor="text1"/>
                <w:sz w:val="24"/>
                <w:lang w:val="en-US" w:eastAsia="zh-CN"/>
                <w14:textFill>
                  <w14:solidFill>
                    <w14:schemeClr w14:val="tx1"/>
                  </w14:solidFill>
                </w14:textFill>
              </w:rPr>
              <w:t>项目</w:t>
            </w:r>
            <w:r>
              <w:rPr>
                <w:rFonts w:hint="eastAsia"/>
                <w:bCs/>
                <w:color w:val="000000" w:themeColor="text1"/>
                <w:sz w:val="24"/>
                <w:lang w:eastAsia="zh-CN"/>
                <w14:textFill>
                  <w14:solidFill>
                    <w14:schemeClr w14:val="tx1"/>
                  </w14:solidFill>
                </w14:textFill>
              </w:rPr>
              <w:t>生活废水</w:t>
            </w:r>
            <w:r>
              <w:rPr>
                <w:rFonts w:hint="eastAsia" w:ascii="Times New Roman" w:hAnsi="Times New Roman" w:eastAsia="宋体" w:cs="Times New Roman"/>
                <w:color w:val="000000" w:themeColor="text1"/>
                <w:kern w:val="0"/>
                <w:sz w:val="24"/>
                <w:szCs w:val="24"/>
                <w:lang w:eastAsia="zh-CN" w:bidi="ar-SA"/>
                <w14:textFill>
                  <w14:solidFill>
                    <w14:schemeClr w14:val="tx1"/>
                  </w14:solidFill>
                </w14:textFill>
              </w:rPr>
              <w:t>经化粪池处理后</w:t>
            </w:r>
            <w:r>
              <w:rPr>
                <w:rFonts w:hint="eastAsia" w:cs="Times New Roman"/>
                <w:color w:val="000000" w:themeColor="text1"/>
                <w:kern w:val="0"/>
                <w:sz w:val="24"/>
                <w:szCs w:val="24"/>
                <w:lang w:eastAsia="zh-CN" w:bidi="ar-SA"/>
                <w14:textFill>
                  <w14:solidFill>
                    <w14:schemeClr w14:val="tx1"/>
                  </w14:solidFill>
                </w14:textFill>
              </w:rPr>
              <w:t>排入园区</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管网，最后排入</w:t>
            </w:r>
            <w:r>
              <w:rPr>
                <w:rFonts w:hint="eastAsia"/>
                <w:color w:val="000000" w:themeColor="text1"/>
                <w:sz w:val="24"/>
                <w:lang w:eastAsia="zh-CN"/>
                <w14:textFill>
                  <w14:solidFill>
                    <w14:schemeClr w14:val="tx1"/>
                  </w14:solidFill>
                </w14:textFill>
              </w:rPr>
              <w:t>魏县经济开发区污水处理有限公司</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处理。</w:t>
            </w:r>
            <w:r>
              <w:rPr>
                <w:rFonts w:hint="eastAsia"/>
                <w:color w:val="000000" w:themeColor="text1"/>
                <w:sz w:val="24"/>
                <w:lang w:val="en-US" w:eastAsia="zh-CN"/>
                <w14:textFill>
                  <w14:solidFill>
                    <w14:schemeClr w14:val="tx1"/>
                  </w14:solidFill>
                </w14:textFill>
              </w:rPr>
              <w:t>经厂区污水处理设施“格栅+沉淀+调节+破乳+絮凝+气浮+A/O+沉淀”达到《污水综合排放标准》（GB8978-1996）表4三级标准，同时满足魏县经济开发区污水处理有限公司进水水质要求后排入魏县经济开发区污水处理有限公司深度处理。</w:t>
            </w:r>
          </w:p>
          <w:p w14:paraId="219A8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200"/>
              <w:textAlignment w:val="auto"/>
              <w:rPr>
                <w:rFonts w:hint="default" w:ascii="Times New Roman" w:hAnsi="Times New Roman" w:eastAsia="宋体" w:cs="Times New Roman"/>
                <w:color w:val="000000" w:themeColor="text1"/>
                <w:kern w:val="2"/>
                <w:sz w:val="24"/>
                <w:szCs w:val="32"/>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32"/>
                <w:highlight w:val="none"/>
                <w:lang w:val="en-US" w:eastAsia="zh-CN" w:bidi="ar-SA"/>
                <w14:textFill>
                  <w14:solidFill>
                    <w14:schemeClr w14:val="tx1"/>
                  </w14:solidFill>
                </w14:textFill>
              </w:rPr>
              <w:t>2、</w:t>
            </w:r>
            <w:r>
              <w:rPr>
                <w:rFonts w:hint="eastAsia" w:cs="Times New Roman"/>
                <w:b/>
                <w:bCs/>
                <w:color w:val="000000" w:themeColor="text1"/>
                <w:kern w:val="2"/>
                <w:sz w:val="24"/>
                <w:szCs w:val="32"/>
                <w:highlight w:val="none"/>
                <w:lang w:val="en-US" w:eastAsia="zh-CN" w:bidi="ar-SA"/>
                <w14:textFill>
                  <w14:solidFill>
                    <w14:schemeClr w14:val="tx1"/>
                  </w14:solidFill>
                </w14:textFill>
              </w:rPr>
              <w:t>生产</w:t>
            </w: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废水达标排放分析</w:t>
            </w:r>
          </w:p>
          <w:p w14:paraId="096A4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2"/>
                <w:sz w:val="24"/>
                <w:szCs w:val="24"/>
                <w:lang w:val="en-US" w:eastAsia="zh-CN"/>
                <w14:textFill>
                  <w14:solidFill>
                    <w14:schemeClr w14:val="tx1"/>
                  </w14:solidFill>
                </w14:textFill>
              </w:rPr>
              <w:t>本项目厂区污水处理站</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设</w:t>
            </w:r>
            <w:r>
              <w:rPr>
                <w:rFonts w:hint="eastAsia" w:cs="Times New Roman"/>
                <w:color w:val="000000" w:themeColor="text1"/>
                <w:kern w:val="2"/>
                <w:sz w:val="24"/>
                <w:szCs w:val="24"/>
                <w:lang w:val="en-US" w:eastAsia="zh-CN"/>
                <w14:textFill>
                  <w14:solidFill>
                    <w14:schemeClr w14:val="tx1"/>
                  </w14:solidFill>
                </w14:textFill>
              </w:rPr>
              <w:t>计</w:t>
            </w:r>
            <w:r>
              <w:rPr>
                <w:rFonts w:hint="default" w:ascii="Times New Roman" w:hAnsi="Times New Roman" w:eastAsia="宋体" w:cs="Times New Roman"/>
                <w:color w:val="000000" w:themeColor="text1"/>
                <w:sz w:val="24"/>
                <w14:textFill>
                  <w14:solidFill>
                    <w14:schemeClr w14:val="tx1"/>
                  </w14:solidFill>
                </w14:textFill>
              </w:rPr>
              <w:t>规模</w:t>
            </w:r>
            <w:r>
              <w:rPr>
                <w:rFonts w:hint="eastAsia" w:cs="Times New Roman"/>
                <w:color w:val="000000" w:themeColor="text1"/>
                <w:sz w:val="24"/>
                <w:lang w:val="en-US" w:eastAsia="zh-CN"/>
                <w14:textFill>
                  <w14:solidFill>
                    <w14:schemeClr w14:val="tx1"/>
                  </w14:solidFill>
                </w14:textFill>
              </w:rPr>
              <w:t>50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eastAsia" w:cs="Times New Roman"/>
                <w:color w:val="000000" w:themeColor="text1"/>
                <w:sz w:val="24"/>
                <w:lang w:eastAsia="zh-CN"/>
                <w14:textFill>
                  <w14:solidFill>
                    <w14:schemeClr w14:val="tx1"/>
                  </w14:solidFill>
                </w14:textFill>
              </w:rPr>
              <w:t>构筑物</w:t>
            </w:r>
            <w:r>
              <w:rPr>
                <w:rFonts w:hint="default" w:ascii="Times New Roman" w:hAnsi="Times New Roman" w:eastAsia="宋体" w:cs="Times New Roman"/>
                <w:color w:val="000000" w:themeColor="text1"/>
                <w:sz w:val="24"/>
                <w14:textFill>
                  <w14:solidFill>
                    <w14:schemeClr w14:val="tx1"/>
                  </w14:solidFill>
                </w14:textFill>
              </w:rPr>
              <w:t>采用</w:t>
            </w:r>
            <w:r>
              <w:rPr>
                <w:rFonts w:hint="eastAsia" w:cs="Times New Roman"/>
                <w:color w:val="000000" w:themeColor="text1"/>
                <w:sz w:val="24"/>
                <w:lang w:eastAsia="zh-CN"/>
                <w14:textFill>
                  <w14:solidFill>
                    <w14:schemeClr w14:val="tx1"/>
                  </w14:solidFill>
                </w14:textFill>
              </w:rPr>
              <w:t>地埋式和地上相结合布置</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处理工艺</w:t>
            </w:r>
            <w:r>
              <w:rPr>
                <w:rFonts w:hint="default" w:ascii="Times New Roman" w:hAnsi="Times New Roman" w:eastAsia="宋体" w:cs="Times New Roman"/>
                <w:color w:val="000000" w:themeColor="text1"/>
                <w:sz w:val="24"/>
                <w14:textFill>
                  <w14:solidFill>
                    <w14:schemeClr w14:val="tx1"/>
                  </w14:solidFill>
                </w14:textFill>
              </w:rPr>
              <w:t>采用“</w:t>
            </w:r>
            <w:r>
              <w:rPr>
                <w:rFonts w:hint="eastAsia" w:cs="Times New Roman"/>
                <w:color w:val="000000" w:themeColor="text1"/>
                <w:sz w:val="24"/>
                <w:szCs w:val="24"/>
                <w:highlight w:val="none"/>
                <w:lang w:val="en-US" w:eastAsia="zh-CN"/>
                <w14:textFill>
                  <w14:solidFill>
                    <w14:schemeClr w14:val="tx1"/>
                  </w14:solidFill>
                </w14:textFill>
              </w:rPr>
              <w:t>格栅+沉淀+调节+破乳+絮凝+气浮+A/O+沉淀</w:t>
            </w:r>
            <w:r>
              <w:rPr>
                <w:rFonts w:hint="default" w:ascii="Times New Roman" w:hAnsi="Times New Roman" w:eastAsia="宋体" w:cs="Times New Roman"/>
                <w:color w:val="000000" w:themeColor="text1"/>
                <w:sz w:val="24"/>
                <w14:textFill>
                  <w14:solidFill>
                    <w14:schemeClr w14:val="tx1"/>
                  </w14:solidFill>
                </w14:textFill>
              </w:rPr>
              <w:t>”工艺</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污水处理工艺</w:t>
            </w:r>
            <w:r>
              <w:rPr>
                <w:rFonts w:hint="eastAsia" w:cs="Times New Roman"/>
                <w:color w:val="000000" w:themeColor="text1"/>
                <w:kern w:val="2"/>
                <w:sz w:val="24"/>
                <w:szCs w:val="24"/>
                <w:lang w:val="en-US" w:eastAsia="zh-CN"/>
                <w14:textFill>
                  <w14:solidFill>
                    <w14:schemeClr w14:val="tx1"/>
                  </w14:solidFill>
                </w14:textFill>
              </w:rPr>
              <w:t>流程及排污节点</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见图</w:t>
            </w:r>
            <w:r>
              <w:rPr>
                <w:rFonts w:hint="eastAsia" w:cs="Times New Roman"/>
                <w:color w:val="000000" w:themeColor="text1"/>
                <w:kern w:val="2"/>
                <w:sz w:val="24"/>
                <w:szCs w:val="24"/>
                <w:lang w:val="en-US" w:eastAsia="zh-CN"/>
                <w14:textFill>
                  <w14:solidFill>
                    <w14:schemeClr w14:val="tx1"/>
                  </w14:solidFill>
                </w14:textFill>
              </w:rPr>
              <w:t>4-1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该项目</w:t>
            </w:r>
            <w:r>
              <w:rPr>
                <w:rFonts w:hint="eastAsia" w:cs="Times New Roman"/>
                <w:color w:val="000000" w:themeColor="text1"/>
                <w:kern w:val="2"/>
                <w:sz w:val="24"/>
                <w:szCs w:val="24"/>
                <w:highlight w:val="none"/>
                <w:lang w:val="en-US" w:eastAsia="zh-CN" w:bidi="ar-SA"/>
                <w14:textFill>
                  <w14:solidFill>
                    <w14:schemeClr w14:val="tx1"/>
                  </w14:solidFill>
                </w14:textFill>
              </w:rPr>
              <w:t>生产</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废水中主要污染物为COD、SS、氨氮、BOD</w:t>
            </w:r>
            <w:r>
              <w:rPr>
                <w:rFonts w:hint="default"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cs="Times New Roman"/>
                <w:color w:val="000000" w:themeColor="text1"/>
                <w:kern w:val="2"/>
                <w:sz w:val="24"/>
                <w:szCs w:val="24"/>
                <w:highlight w:val="none"/>
                <w:lang w:val="en-US" w:eastAsia="zh-CN" w:bidi="ar-SA"/>
                <w14:textFill>
                  <w14:solidFill>
                    <w14:schemeClr w14:val="tx1"/>
                  </w14:solidFill>
                </w14:textFill>
              </w:rPr>
              <w:t>动植物油</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。根据污水处理设计单位</w:t>
            </w:r>
            <w:r>
              <w:rPr>
                <w:rFonts w:hint="eastAsia" w:cs="Times New Roman"/>
                <w:color w:val="000000" w:themeColor="text1"/>
                <w:kern w:val="2"/>
                <w:sz w:val="24"/>
                <w:szCs w:val="24"/>
                <w:highlight w:val="none"/>
                <w:lang w:val="en-US" w:eastAsia="zh-CN" w:bidi="ar-SA"/>
                <w14:textFill>
                  <w14:solidFill>
                    <w14:schemeClr w14:val="tx1"/>
                  </w14:solidFill>
                </w14:textFill>
              </w:rPr>
              <w:t>相关设计内容</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设计进出水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水质见表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746C7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黑体" w:eastAsia="黑体"/>
                <w:color w:val="auto"/>
                <w:sz w:val="24"/>
                <w:szCs w:val="24"/>
              </w:rPr>
              <w:object>
                <v:shape id="_x0000_i1026" o:spt="75" type="#_x0000_t75" style="height:210.05pt;width:401.15pt;" o:ole="t" filled="f" o:preferrelative="t" stroked="f" coordsize="21600,21600">
                  <v:path/>
                  <v:fill on="f" focussize="0,0"/>
                  <v:stroke on="f"/>
                  <v:imagedata r:id="rId13" cropbottom="21422f" o:title=""/>
                  <o:lock v:ext="edit" aspectratio="t"/>
                  <w10:wrap type="none"/>
                  <w10:anchorlock/>
                </v:shape>
                <o:OLEObject Type="Embed" ProgID="Word.Document.8" ShapeID="_x0000_i1026" DrawAspect="Content" ObjectID="_1468075727" r:id="rId12">
                  <o:LockedField>false</o:LockedField>
                </o:OLEObject>
              </w:object>
            </w:r>
          </w:p>
          <w:p w14:paraId="58A95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图4-1  污水处理站工艺流程图</w:t>
            </w:r>
          </w:p>
          <w:p w14:paraId="298DA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default" w:ascii="Times New Roman" w:hAnsi="Times New Roman" w:eastAsia="宋体" w:cs="Times New Roman"/>
                <w:color w:val="000000" w:themeColor="text1"/>
                <w:kern w:val="2"/>
                <w:sz w:val="24"/>
                <w:szCs w:val="32"/>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表4-</w:t>
            </w:r>
            <w:r>
              <w:rPr>
                <w:rFonts w:hint="eastAsia"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lang w:val="en-US" w:eastAsia="zh-CN"/>
                <w14:textFill>
                  <w14:solidFill>
                    <w14:schemeClr w14:val="tx1"/>
                  </w14:solidFill>
                </w14:textFill>
              </w:rPr>
              <w:t>主要处理单元设计出水水质及去除率</w:t>
            </w:r>
          </w:p>
          <w:tbl>
            <w:tblPr>
              <w:tblStyle w:val="53"/>
              <w:tblW w:w="4998"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470"/>
              <w:gridCol w:w="988"/>
              <w:gridCol w:w="1224"/>
              <w:gridCol w:w="1224"/>
              <w:gridCol w:w="1224"/>
              <w:gridCol w:w="1224"/>
              <w:gridCol w:w="1231"/>
            </w:tblGrid>
            <w:tr w14:paraId="6D17522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0" w:hRule="atLeast"/>
                <w:jc w:val="center"/>
              </w:trPr>
              <w:tc>
                <w:tcPr>
                  <w:tcW w:w="856" w:type="pct"/>
                  <w:tcBorders>
                    <w:tl2br w:val="nil"/>
                    <w:tr2bl w:val="nil"/>
                  </w:tcBorders>
                  <w:shd w:val="clear" w:color="auto" w:fill="auto"/>
                  <w:vAlign w:val="center"/>
                </w:tcPr>
                <w:p w14:paraId="2B484F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主要处理单元</w:t>
                  </w:r>
                </w:p>
              </w:tc>
              <w:tc>
                <w:tcPr>
                  <w:tcW w:w="574" w:type="pct"/>
                  <w:tcBorders>
                    <w:tl2br w:val="nil"/>
                    <w:tr2bl w:val="nil"/>
                  </w:tcBorders>
                  <w:shd w:val="clear" w:color="auto" w:fill="auto"/>
                  <w:vAlign w:val="center"/>
                </w:tcPr>
                <w:p w14:paraId="4161B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指标</w:t>
                  </w:r>
                </w:p>
              </w:tc>
              <w:tc>
                <w:tcPr>
                  <w:tcW w:w="712" w:type="pct"/>
                  <w:tcBorders>
                    <w:tl2br w:val="nil"/>
                    <w:tr2bl w:val="nil"/>
                  </w:tcBorders>
                  <w:shd w:val="clear" w:color="auto" w:fill="auto"/>
                  <w:vAlign w:val="center"/>
                </w:tcPr>
                <w:p w14:paraId="7ADF1C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CODCr</w:t>
                  </w:r>
                </w:p>
                <w:p w14:paraId="6E9867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（mg/L）</w:t>
                  </w:r>
                </w:p>
              </w:tc>
              <w:tc>
                <w:tcPr>
                  <w:tcW w:w="712" w:type="pct"/>
                  <w:tcBorders>
                    <w:tl2br w:val="nil"/>
                    <w:tr2bl w:val="nil"/>
                  </w:tcBorders>
                  <w:shd w:val="clear" w:color="auto" w:fill="auto"/>
                  <w:vAlign w:val="center"/>
                </w:tcPr>
                <w:p w14:paraId="392099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BOD</w:t>
                  </w:r>
                  <w:r>
                    <w:rPr>
                      <w:rFonts w:hint="default" w:ascii="Times New Roman" w:hAnsi="Times New Roman" w:eastAsia="宋体" w:cs="Times New Roman"/>
                      <w:b/>
                      <w:bCs/>
                      <w:color w:val="000000" w:themeColor="text1"/>
                      <w:szCs w:val="21"/>
                      <w:vertAlign w:val="subscript"/>
                      <w14:textFill>
                        <w14:solidFill>
                          <w14:schemeClr w14:val="tx1"/>
                        </w14:solidFill>
                      </w14:textFill>
                    </w:rPr>
                    <w:t>5</w:t>
                  </w:r>
                </w:p>
                <w:p w14:paraId="0AB11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（mg/L）</w:t>
                  </w:r>
                </w:p>
              </w:tc>
              <w:tc>
                <w:tcPr>
                  <w:tcW w:w="712" w:type="pct"/>
                  <w:tcBorders>
                    <w:tl2br w:val="nil"/>
                    <w:tr2bl w:val="nil"/>
                  </w:tcBorders>
                  <w:shd w:val="clear" w:color="auto" w:fill="auto"/>
                  <w:vAlign w:val="center"/>
                </w:tcPr>
                <w:p w14:paraId="6B1F21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SS</w:t>
                  </w:r>
                </w:p>
                <w:p w14:paraId="0D15CB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（mg/L）</w:t>
                  </w:r>
                </w:p>
              </w:tc>
              <w:tc>
                <w:tcPr>
                  <w:tcW w:w="712" w:type="pct"/>
                  <w:tcBorders>
                    <w:tl2br w:val="nil"/>
                    <w:tr2bl w:val="nil"/>
                  </w:tcBorders>
                  <w:shd w:val="clear" w:color="auto" w:fill="auto"/>
                  <w:vAlign w:val="center"/>
                </w:tcPr>
                <w:p w14:paraId="78313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NH</w:t>
                  </w:r>
                  <w:r>
                    <w:rPr>
                      <w:rFonts w:hint="default" w:ascii="Times New Roman" w:hAnsi="Times New Roman" w:eastAsia="宋体" w:cs="Times New Roman"/>
                      <w:b/>
                      <w:bCs/>
                      <w:color w:val="000000" w:themeColor="text1"/>
                      <w:szCs w:val="21"/>
                      <w:vertAlign w:val="subscript"/>
                      <w14:textFill>
                        <w14:solidFill>
                          <w14:schemeClr w14:val="tx1"/>
                        </w14:solidFill>
                      </w14:textFill>
                    </w:rPr>
                    <w:t>3</w:t>
                  </w:r>
                  <w:r>
                    <w:rPr>
                      <w:rFonts w:hint="default" w:ascii="Times New Roman" w:hAnsi="Times New Roman" w:eastAsia="宋体" w:cs="Times New Roman"/>
                      <w:b/>
                      <w:bCs/>
                      <w:color w:val="000000" w:themeColor="text1"/>
                      <w:szCs w:val="21"/>
                      <w14:textFill>
                        <w14:solidFill>
                          <w14:schemeClr w14:val="tx1"/>
                        </w14:solidFill>
                      </w14:textFill>
                    </w:rPr>
                    <w:t>-N</w:t>
                  </w:r>
                </w:p>
                <w:p w14:paraId="41D08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（mg/L）</w:t>
                  </w:r>
                </w:p>
              </w:tc>
              <w:tc>
                <w:tcPr>
                  <w:tcW w:w="716" w:type="pct"/>
                  <w:tcBorders>
                    <w:tl2br w:val="nil"/>
                    <w:tr2bl w:val="nil"/>
                  </w:tcBorders>
                  <w:shd w:val="clear" w:color="auto" w:fill="auto"/>
                  <w:vAlign w:val="center"/>
                </w:tcPr>
                <w:p w14:paraId="7EE92C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eastAsia" w:cs="Times New Roman"/>
                      <w:b/>
                      <w:bCs/>
                      <w:color w:val="000000" w:themeColor="text1"/>
                      <w:szCs w:val="21"/>
                      <w:lang w:eastAsia="zh-CN"/>
                      <w14:textFill>
                        <w14:solidFill>
                          <w14:schemeClr w14:val="tx1"/>
                        </w14:solidFill>
                      </w14:textFill>
                    </w:rPr>
                    <w:t>动植物油</w:t>
                  </w:r>
                  <w:r>
                    <w:rPr>
                      <w:rFonts w:hint="default" w:ascii="Times New Roman" w:hAnsi="Times New Roman" w:eastAsia="宋体" w:cs="Times New Roman"/>
                      <w:b/>
                      <w:bCs/>
                      <w:color w:val="000000" w:themeColor="text1"/>
                      <w:szCs w:val="21"/>
                      <w14:textFill>
                        <w14:solidFill>
                          <w14:schemeClr w14:val="tx1"/>
                        </w14:solidFill>
                      </w14:textFill>
                    </w:rPr>
                    <w:t>（mg/L）</w:t>
                  </w:r>
                </w:p>
              </w:tc>
            </w:tr>
            <w:tr w14:paraId="5C8198C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31" w:type="pct"/>
                  <w:gridSpan w:val="2"/>
                  <w:tcBorders>
                    <w:tl2br w:val="nil"/>
                    <w:tr2bl w:val="nil"/>
                  </w:tcBorders>
                  <w:shd w:val="clear" w:color="auto" w:fill="auto"/>
                  <w:vAlign w:val="center"/>
                </w:tcPr>
                <w:p w14:paraId="2AE59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进水水质</w:t>
                  </w:r>
                </w:p>
              </w:tc>
              <w:tc>
                <w:tcPr>
                  <w:tcW w:w="712" w:type="pct"/>
                  <w:tcBorders>
                    <w:tl2br w:val="nil"/>
                    <w:tr2bl w:val="nil"/>
                  </w:tcBorders>
                  <w:shd w:val="clear" w:color="auto" w:fill="auto"/>
                  <w:vAlign w:val="center"/>
                </w:tcPr>
                <w:p w14:paraId="4B8907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2500</w:t>
                  </w:r>
                </w:p>
              </w:tc>
              <w:tc>
                <w:tcPr>
                  <w:tcW w:w="712" w:type="pct"/>
                  <w:tcBorders>
                    <w:tl2br w:val="nil"/>
                    <w:tr2bl w:val="nil"/>
                  </w:tcBorders>
                  <w:shd w:val="clear" w:color="auto" w:fill="auto"/>
                  <w:vAlign w:val="center"/>
                </w:tcPr>
                <w:p w14:paraId="2E6105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1000</w:t>
                  </w:r>
                </w:p>
              </w:tc>
              <w:tc>
                <w:tcPr>
                  <w:tcW w:w="712" w:type="pct"/>
                  <w:tcBorders>
                    <w:tl2br w:val="nil"/>
                    <w:tr2bl w:val="nil"/>
                  </w:tcBorders>
                  <w:shd w:val="clear" w:color="auto" w:fill="auto"/>
                  <w:vAlign w:val="center"/>
                </w:tcPr>
                <w:p w14:paraId="2824DC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600</w:t>
                  </w:r>
                </w:p>
              </w:tc>
              <w:tc>
                <w:tcPr>
                  <w:tcW w:w="712" w:type="pct"/>
                  <w:tcBorders>
                    <w:tl2br w:val="nil"/>
                    <w:tr2bl w:val="nil"/>
                  </w:tcBorders>
                  <w:shd w:val="clear" w:color="auto" w:fill="auto"/>
                  <w:vAlign w:val="center"/>
                </w:tcPr>
                <w:p w14:paraId="14372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40</w:t>
                  </w:r>
                </w:p>
              </w:tc>
              <w:tc>
                <w:tcPr>
                  <w:tcW w:w="716" w:type="pct"/>
                  <w:tcBorders>
                    <w:tl2br w:val="nil"/>
                    <w:tr2bl w:val="nil"/>
                  </w:tcBorders>
                  <w:shd w:val="clear" w:color="auto" w:fill="auto"/>
                  <w:vAlign w:val="center"/>
                </w:tcPr>
                <w:p w14:paraId="4493DF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300</w:t>
                  </w:r>
                </w:p>
              </w:tc>
            </w:tr>
            <w:tr w14:paraId="74E7007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pct"/>
                  <w:vMerge w:val="restart"/>
                  <w:tcBorders>
                    <w:tl2br w:val="nil"/>
                    <w:tr2bl w:val="nil"/>
                  </w:tcBorders>
                  <w:shd w:val="clear" w:color="auto" w:fill="auto"/>
                  <w:vAlign w:val="center"/>
                </w:tcPr>
                <w:p w14:paraId="65667B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沉淀池+调节池</w:t>
                  </w:r>
                </w:p>
              </w:tc>
              <w:tc>
                <w:tcPr>
                  <w:tcW w:w="574" w:type="pct"/>
                  <w:tcBorders>
                    <w:tl2br w:val="nil"/>
                    <w:tr2bl w:val="nil"/>
                  </w:tcBorders>
                  <w:shd w:val="clear" w:color="auto" w:fill="auto"/>
                  <w:vAlign w:val="center"/>
                </w:tcPr>
                <w:p w14:paraId="76D734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去除率</w:t>
                  </w:r>
                </w:p>
              </w:tc>
              <w:tc>
                <w:tcPr>
                  <w:tcW w:w="712" w:type="pct"/>
                  <w:tcBorders>
                    <w:tl2br w:val="nil"/>
                    <w:tr2bl w:val="nil"/>
                  </w:tcBorders>
                  <w:shd w:val="clear" w:color="auto" w:fill="auto"/>
                  <w:vAlign w:val="center"/>
                </w:tcPr>
                <w:p w14:paraId="6AF52E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w:t>
                  </w:r>
                </w:p>
              </w:tc>
              <w:tc>
                <w:tcPr>
                  <w:tcW w:w="712" w:type="pct"/>
                  <w:tcBorders>
                    <w:tl2br w:val="nil"/>
                    <w:tr2bl w:val="nil"/>
                  </w:tcBorders>
                  <w:shd w:val="clear" w:color="auto" w:fill="auto"/>
                  <w:vAlign w:val="center"/>
                </w:tcPr>
                <w:p w14:paraId="447D87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w:t>
                  </w:r>
                </w:p>
              </w:tc>
              <w:tc>
                <w:tcPr>
                  <w:tcW w:w="712" w:type="pct"/>
                  <w:tcBorders>
                    <w:tl2br w:val="nil"/>
                    <w:tr2bl w:val="nil"/>
                  </w:tcBorders>
                  <w:shd w:val="clear" w:color="auto" w:fill="auto"/>
                  <w:vAlign w:val="center"/>
                </w:tcPr>
                <w:p w14:paraId="5F6723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w:t>
                  </w:r>
                </w:p>
              </w:tc>
              <w:tc>
                <w:tcPr>
                  <w:tcW w:w="712" w:type="pct"/>
                  <w:tcBorders>
                    <w:tl2br w:val="nil"/>
                    <w:tr2bl w:val="nil"/>
                  </w:tcBorders>
                  <w:shd w:val="clear" w:color="auto" w:fill="auto"/>
                  <w:vAlign w:val="center"/>
                </w:tcPr>
                <w:p w14:paraId="33D9BE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w:t>
                  </w:r>
                </w:p>
              </w:tc>
              <w:tc>
                <w:tcPr>
                  <w:tcW w:w="716" w:type="pct"/>
                  <w:tcBorders>
                    <w:tl2br w:val="nil"/>
                    <w:tr2bl w:val="nil"/>
                  </w:tcBorders>
                  <w:shd w:val="clear" w:color="auto" w:fill="auto"/>
                  <w:vAlign w:val="center"/>
                </w:tcPr>
                <w:p w14:paraId="7B41A8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w:t>
                  </w:r>
                </w:p>
              </w:tc>
            </w:tr>
            <w:tr w14:paraId="405BCCF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pct"/>
                  <w:vMerge w:val="continue"/>
                  <w:tcBorders>
                    <w:tl2br w:val="nil"/>
                    <w:tr2bl w:val="nil"/>
                  </w:tcBorders>
                  <w:shd w:val="clear" w:color="auto" w:fill="auto"/>
                  <w:vAlign w:val="center"/>
                </w:tcPr>
                <w:p w14:paraId="75DBA7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p>
              </w:tc>
              <w:tc>
                <w:tcPr>
                  <w:tcW w:w="574" w:type="pct"/>
                  <w:tcBorders>
                    <w:tl2br w:val="nil"/>
                    <w:tr2bl w:val="nil"/>
                  </w:tcBorders>
                  <w:shd w:val="clear" w:color="auto" w:fill="auto"/>
                  <w:vAlign w:val="center"/>
                </w:tcPr>
                <w:p w14:paraId="34CCD3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出水</w:t>
                  </w:r>
                </w:p>
              </w:tc>
              <w:tc>
                <w:tcPr>
                  <w:tcW w:w="1231" w:type="dxa"/>
                  <w:tcBorders>
                    <w:tl2br w:val="nil"/>
                    <w:tr2bl w:val="nil"/>
                  </w:tcBorders>
                  <w:shd w:val="clear" w:color="auto" w:fill="auto"/>
                  <w:vAlign w:val="center"/>
                </w:tcPr>
                <w:p w14:paraId="41843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2500</w:t>
                  </w:r>
                </w:p>
              </w:tc>
              <w:tc>
                <w:tcPr>
                  <w:tcW w:w="1231" w:type="dxa"/>
                  <w:tcBorders>
                    <w:tl2br w:val="nil"/>
                    <w:tr2bl w:val="nil"/>
                  </w:tcBorders>
                  <w:shd w:val="clear" w:color="auto" w:fill="auto"/>
                  <w:vAlign w:val="center"/>
                </w:tcPr>
                <w:p w14:paraId="5DF11C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1000</w:t>
                  </w:r>
                </w:p>
              </w:tc>
              <w:tc>
                <w:tcPr>
                  <w:tcW w:w="1231" w:type="dxa"/>
                  <w:tcBorders>
                    <w:tl2br w:val="nil"/>
                    <w:tr2bl w:val="nil"/>
                  </w:tcBorders>
                  <w:shd w:val="clear" w:color="auto" w:fill="auto"/>
                  <w:vAlign w:val="center"/>
                </w:tcPr>
                <w:p w14:paraId="5A0635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600</w:t>
                  </w:r>
                </w:p>
              </w:tc>
              <w:tc>
                <w:tcPr>
                  <w:tcW w:w="1231" w:type="dxa"/>
                  <w:tcBorders>
                    <w:tl2br w:val="nil"/>
                    <w:tr2bl w:val="nil"/>
                  </w:tcBorders>
                  <w:shd w:val="clear" w:color="auto" w:fill="auto"/>
                  <w:vAlign w:val="center"/>
                </w:tcPr>
                <w:p w14:paraId="0E412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40</w:t>
                  </w:r>
                </w:p>
              </w:tc>
              <w:tc>
                <w:tcPr>
                  <w:tcW w:w="1239" w:type="dxa"/>
                  <w:tcBorders>
                    <w:tl2br w:val="nil"/>
                    <w:tr2bl w:val="nil"/>
                  </w:tcBorders>
                  <w:shd w:val="clear" w:color="auto" w:fill="auto"/>
                  <w:vAlign w:val="center"/>
                </w:tcPr>
                <w:p w14:paraId="44CCC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300</w:t>
                  </w:r>
                </w:p>
              </w:tc>
            </w:tr>
            <w:tr w14:paraId="5D6B83A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pct"/>
                  <w:vMerge w:val="restart"/>
                  <w:tcBorders>
                    <w:tl2br w:val="nil"/>
                    <w:tr2bl w:val="nil"/>
                  </w:tcBorders>
                  <w:shd w:val="clear" w:color="auto" w:fill="auto"/>
                  <w:vAlign w:val="center"/>
                </w:tcPr>
                <w:p w14:paraId="2A5DE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气浮设备</w:t>
                  </w:r>
                </w:p>
              </w:tc>
              <w:tc>
                <w:tcPr>
                  <w:tcW w:w="574" w:type="pct"/>
                  <w:tcBorders>
                    <w:tl2br w:val="nil"/>
                    <w:tr2bl w:val="nil"/>
                  </w:tcBorders>
                  <w:shd w:val="clear" w:color="auto" w:fill="auto"/>
                  <w:vAlign w:val="center"/>
                </w:tcPr>
                <w:p w14:paraId="749F3C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去除率</w:t>
                  </w:r>
                </w:p>
              </w:tc>
              <w:tc>
                <w:tcPr>
                  <w:tcW w:w="712" w:type="pct"/>
                  <w:tcBorders>
                    <w:tl2br w:val="nil"/>
                    <w:tr2bl w:val="nil"/>
                  </w:tcBorders>
                  <w:shd w:val="clear" w:color="auto" w:fill="auto"/>
                  <w:vAlign w:val="center"/>
                </w:tcPr>
                <w:p w14:paraId="1A6EE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50%</w:t>
                  </w:r>
                </w:p>
              </w:tc>
              <w:tc>
                <w:tcPr>
                  <w:tcW w:w="712" w:type="pct"/>
                  <w:tcBorders>
                    <w:tl2br w:val="nil"/>
                    <w:tr2bl w:val="nil"/>
                  </w:tcBorders>
                  <w:shd w:val="clear" w:color="auto" w:fill="auto"/>
                  <w:vAlign w:val="center"/>
                </w:tcPr>
                <w:p w14:paraId="059826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50%</w:t>
                  </w:r>
                </w:p>
              </w:tc>
              <w:tc>
                <w:tcPr>
                  <w:tcW w:w="712" w:type="pct"/>
                  <w:tcBorders>
                    <w:tl2br w:val="nil"/>
                    <w:tr2bl w:val="nil"/>
                  </w:tcBorders>
                  <w:shd w:val="clear" w:color="auto" w:fill="auto"/>
                  <w:vAlign w:val="center"/>
                </w:tcPr>
                <w:p w14:paraId="4868B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75%</w:t>
                  </w:r>
                </w:p>
              </w:tc>
              <w:tc>
                <w:tcPr>
                  <w:tcW w:w="712" w:type="pct"/>
                  <w:tcBorders>
                    <w:tl2br w:val="nil"/>
                    <w:tr2bl w:val="nil"/>
                  </w:tcBorders>
                  <w:shd w:val="clear" w:color="auto" w:fill="auto"/>
                  <w:vAlign w:val="center"/>
                </w:tcPr>
                <w:p w14:paraId="69355A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w:t>
                  </w:r>
                </w:p>
              </w:tc>
              <w:tc>
                <w:tcPr>
                  <w:tcW w:w="716" w:type="pct"/>
                  <w:tcBorders>
                    <w:tl2br w:val="nil"/>
                    <w:tr2bl w:val="nil"/>
                  </w:tcBorders>
                  <w:shd w:val="clear" w:color="auto" w:fill="auto"/>
                  <w:vAlign w:val="center"/>
                </w:tcPr>
                <w:p w14:paraId="74778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85%</w:t>
                  </w:r>
                </w:p>
              </w:tc>
            </w:tr>
            <w:tr w14:paraId="753D3FC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pct"/>
                  <w:vMerge w:val="continue"/>
                  <w:tcBorders>
                    <w:tl2br w:val="nil"/>
                    <w:tr2bl w:val="nil"/>
                  </w:tcBorders>
                  <w:shd w:val="clear" w:color="auto" w:fill="auto"/>
                  <w:vAlign w:val="center"/>
                </w:tcPr>
                <w:p w14:paraId="292F8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p>
              </w:tc>
              <w:tc>
                <w:tcPr>
                  <w:tcW w:w="574" w:type="pct"/>
                  <w:tcBorders>
                    <w:tl2br w:val="nil"/>
                    <w:tr2bl w:val="nil"/>
                  </w:tcBorders>
                  <w:shd w:val="clear" w:color="auto" w:fill="auto"/>
                  <w:vAlign w:val="center"/>
                </w:tcPr>
                <w:p w14:paraId="00B040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出水</w:t>
                  </w:r>
                </w:p>
              </w:tc>
              <w:tc>
                <w:tcPr>
                  <w:tcW w:w="712" w:type="pct"/>
                  <w:tcBorders>
                    <w:tl2br w:val="nil"/>
                    <w:tr2bl w:val="nil"/>
                  </w:tcBorders>
                  <w:shd w:val="clear" w:color="auto" w:fill="auto"/>
                  <w:vAlign w:val="center"/>
                </w:tcPr>
                <w:p w14:paraId="7A60AA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1250</w:t>
                  </w:r>
                </w:p>
              </w:tc>
              <w:tc>
                <w:tcPr>
                  <w:tcW w:w="712" w:type="pct"/>
                  <w:tcBorders>
                    <w:tl2br w:val="nil"/>
                    <w:tr2bl w:val="nil"/>
                  </w:tcBorders>
                  <w:shd w:val="clear" w:color="auto" w:fill="auto"/>
                  <w:vAlign w:val="center"/>
                </w:tcPr>
                <w:p w14:paraId="11EE6F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500</w:t>
                  </w:r>
                </w:p>
              </w:tc>
              <w:tc>
                <w:tcPr>
                  <w:tcW w:w="712" w:type="pct"/>
                  <w:tcBorders>
                    <w:tl2br w:val="nil"/>
                    <w:tr2bl w:val="nil"/>
                  </w:tcBorders>
                  <w:shd w:val="clear" w:color="auto" w:fill="auto"/>
                  <w:vAlign w:val="center"/>
                </w:tcPr>
                <w:p w14:paraId="2689F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150</w:t>
                  </w:r>
                </w:p>
              </w:tc>
              <w:tc>
                <w:tcPr>
                  <w:tcW w:w="712" w:type="pct"/>
                  <w:tcBorders>
                    <w:tl2br w:val="nil"/>
                    <w:tr2bl w:val="nil"/>
                  </w:tcBorders>
                  <w:shd w:val="clear" w:color="auto" w:fill="auto"/>
                  <w:vAlign w:val="center"/>
                </w:tcPr>
                <w:p w14:paraId="79F0FB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36</w:t>
                  </w:r>
                </w:p>
              </w:tc>
              <w:tc>
                <w:tcPr>
                  <w:tcW w:w="716" w:type="pct"/>
                  <w:tcBorders>
                    <w:tl2br w:val="nil"/>
                    <w:tr2bl w:val="nil"/>
                  </w:tcBorders>
                  <w:shd w:val="clear" w:color="auto" w:fill="auto"/>
                  <w:vAlign w:val="center"/>
                </w:tcPr>
                <w:p w14:paraId="280FC1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45</w:t>
                  </w:r>
                </w:p>
              </w:tc>
            </w:tr>
            <w:tr w14:paraId="0B90EAB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pct"/>
                  <w:vMerge w:val="restart"/>
                  <w:tcBorders>
                    <w:tl2br w:val="nil"/>
                    <w:tr2bl w:val="nil"/>
                  </w:tcBorders>
                  <w:shd w:val="clear" w:color="auto" w:fill="auto"/>
                  <w:vAlign w:val="center"/>
                </w:tcPr>
                <w:p w14:paraId="5F9656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A/O生化</w:t>
                  </w:r>
                </w:p>
              </w:tc>
              <w:tc>
                <w:tcPr>
                  <w:tcW w:w="574" w:type="pct"/>
                  <w:tcBorders>
                    <w:tl2br w:val="nil"/>
                    <w:tr2bl w:val="nil"/>
                  </w:tcBorders>
                  <w:shd w:val="clear" w:color="auto" w:fill="auto"/>
                  <w:vAlign w:val="center"/>
                </w:tcPr>
                <w:p w14:paraId="1A4FC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去除率</w:t>
                  </w:r>
                </w:p>
              </w:tc>
              <w:tc>
                <w:tcPr>
                  <w:tcW w:w="712" w:type="pct"/>
                  <w:tcBorders>
                    <w:tl2br w:val="nil"/>
                    <w:tr2bl w:val="nil"/>
                  </w:tcBorders>
                  <w:shd w:val="clear" w:color="auto" w:fill="auto"/>
                  <w:vAlign w:val="center"/>
                </w:tcPr>
                <w:p w14:paraId="60853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38%</w:t>
                  </w:r>
                </w:p>
              </w:tc>
              <w:tc>
                <w:tcPr>
                  <w:tcW w:w="712" w:type="pct"/>
                  <w:tcBorders>
                    <w:tl2br w:val="nil"/>
                    <w:tr2bl w:val="nil"/>
                  </w:tcBorders>
                  <w:shd w:val="clear" w:color="auto" w:fill="auto"/>
                  <w:vAlign w:val="center"/>
                </w:tcPr>
                <w:p w14:paraId="451AC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38%</w:t>
                  </w:r>
                </w:p>
              </w:tc>
              <w:tc>
                <w:tcPr>
                  <w:tcW w:w="712" w:type="pct"/>
                  <w:tcBorders>
                    <w:tl2br w:val="nil"/>
                    <w:tr2bl w:val="nil"/>
                  </w:tcBorders>
                  <w:shd w:val="clear" w:color="auto" w:fill="auto"/>
                  <w:vAlign w:val="center"/>
                </w:tcPr>
                <w:p w14:paraId="726E86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p>
              </w:tc>
              <w:tc>
                <w:tcPr>
                  <w:tcW w:w="712" w:type="pct"/>
                  <w:tcBorders>
                    <w:tl2br w:val="nil"/>
                    <w:tr2bl w:val="nil"/>
                  </w:tcBorders>
                  <w:shd w:val="clear" w:color="auto" w:fill="auto"/>
                  <w:vAlign w:val="center"/>
                </w:tcPr>
                <w:p w14:paraId="3E5457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70%</w:t>
                  </w:r>
                </w:p>
              </w:tc>
              <w:tc>
                <w:tcPr>
                  <w:tcW w:w="716" w:type="pct"/>
                  <w:tcBorders>
                    <w:tl2br w:val="nil"/>
                    <w:tr2bl w:val="nil"/>
                  </w:tcBorders>
                  <w:shd w:val="clear" w:color="auto" w:fill="auto"/>
                  <w:vAlign w:val="center"/>
                </w:tcPr>
                <w:p w14:paraId="67A3D0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30</w:t>
                  </w:r>
                  <w:r>
                    <w:rPr>
                      <w:rFonts w:hint="default" w:ascii="Times New Roman" w:hAnsi="Times New Roman" w:eastAsia="宋体" w:cs="Times New Roman"/>
                      <w:color w:val="000000" w:themeColor="text1"/>
                      <w:szCs w:val="21"/>
                      <w14:textFill>
                        <w14:solidFill>
                          <w14:schemeClr w14:val="tx1"/>
                        </w14:solidFill>
                      </w14:textFill>
                    </w:rPr>
                    <w:t>%</w:t>
                  </w:r>
                </w:p>
              </w:tc>
            </w:tr>
            <w:tr w14:paraId="3FFC53B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pct"/>
                  <w:vMerge w:val="continue"/>
                  <w:tcBorders>
                    <w:tl2br w:val="nil"/>
                    <w:tr2bl w:val="nil"/>
                  </w:tcBorders>
                  <w:shd w:val="clear" w:color="auto" w:fill="auto"/>
                  <w:vAlign w:val="center"/>
                </w:tcPr>
                <w:p w14:paraId="5C6AB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p>
              </w:tc>
              <w:tc>
                <w:tcPr>
                  <w:tcW w:w="574" w:type="pct"/>
                  <w:tcBorders>
                    <w:tl2br w:val="nil"/>
                    <w:tr2bl w:val="nil"/>
                  </w:tcBorders>
                  <w:shd w:val="clear" w:color="auto" w:fill="auto"/>
                  <w:vAlign w:val="center"/>
                </w:tcPr>
                <w:p w14:paraId="403856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出水</w:t>
                  </w:r>
                </w:p>
              </w:tc>
              <w:tc>
                <w:tcPr>
                  <w:tcW w:w="712" w:type="pct"/>
                  <w:tcBorders>
                    <w:tl2br w:val="nil"/>
                    <w:tr2bl w:val="nil"/>
                  </w:tcBorders>
                  <w:shd w:val="clear" w:color="auto" w:fill="auto"/>
                  <w:vAlign w:val="center"/>
                </w:tcPr>
                <w:p w14:paraId="687B49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300</w:t>
                  </w:r>
                </w:p>
              </w:tc>
              <w:tc>
                <w:tcPr>
                  <w:tcW w:w="712" w:type="pct"/>
                  <w:tcBorders>
                    <w:tl2br w:val="nil"/>
                    <w:tr2bl w:val="nil"/>
                  </w:tcBorders>
                  <w:shd w:val="clear" w:color="auto" w:fill="auto"/>
                  <w:vAlign w:val="center"/>
                </w:tcPr>
                <w:p w14:paraId="741BF4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120</w:t>
                  </w:r>
                </w:p>
              </w:tc>
              <w:tc>
                <w:tcPr>
                  <w:tcW w:w="712" w:type="pct"/>
                  <w:tcBorders>
                    <w:tl2br w:val="nil"/>
                    <w:tr2bl w:val="nil"/>
                  </w:tcBorders>
                  <w:shd w:val="clear" w:color="auto" w:fill="auto"/>
                  <w:vAlign w:val="center"/>
                </w:tcPr>
                <w:p w14:paraId="076E5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250</w:t>
                  </w:r>
                </w:p>
              </w:tc>
              <w:tc>
                <w:tcPr>
                  <w:tcW w:w="712" w:type="pct"/>
                  <w:tcBorders>
                    <w:tl2br w:val="nil"/>
                    <w:tr2bl w:val="nil"/>
                  </w:tcBorders>
                  <w:shd w:val="clear" w:color="auto" w:fill="auto"/>
                  <w:vAlign w:val="center"/>
                </w:tcPr>
                <w:p w14:paraId="5449E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w:t>
                  </w:r>
                </w:p>
              </w:tc>
              <w:tc>
                <w:tcPr>
                  <w:tcW w:w="716" w:type="pct"/>
                  <w:tcBorders>
                    <w:tl2br w:val="nil"/>
                    <w:tr2bl w:val="nil"/>
                  </w:tcBorders>
                  <w:shd w:val="clear" w:color="auto" w:fill="auto"/>
                  <w:vAlign w:val="center"/>
                </w:tcPr>
                <w:p w14:paraId="083687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31.5</w:t>
                  </w:r>
                </w:p>
              </w:tc>
            </w:tr>
            <w:tr w14:paraId="7450264E">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pct"/>
                  <w:vMerge w:val="restart"/>
                  <w:tcBorders>
                    <w:tl2br w:val="nil"/>
                    <w:tr2bl w:val="nil"/>
                  </w:tcBorders>
                  <w:shd w:val="clear" w:color="auto" w:fill="auto"/>
                  <w:vAlign w:val="center"/>
                </w:tcPr>
                <w:p w14:paraId="66E51C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二沉池</w:t>
                  </w:r>
                </w:p>
              </w:tc>
              <w:tc>
                <w:tcPr>
                  <w:tcW w:w="574" w:type="pct"/>
                  <w:tcBorders>
                    <w:tl2br w:val="nil"/>
                    <w:tr2bl w:val="nil"/>
                  </w:tcBorders>
                  <w:shd w:val="clear" w:color="auto" w:fill="auto"/>
                  <w:vAlign w:val="center"/>
                </w:tcPr>
                <w:p w14:paraId="7F8ED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去除率</w:t>
                  </w:r>
                </w:p>
              </w:tc>
              <w:tc>
                <w:tcPr>
                  <w:tcW w:w="712" w:type="pct"/>
                  <w:tcBorders>
                    <w:tl2br w:val="nil"/>
                    <w:tr2bl w:val="nil"/>
                  </w:tcBorders>
                  <w:shd w:val="clear" w:color="auto" w:fill="auto"/>
                  <w:vAlign w:val="center"/>
                </w:tcPr>
                <w:p w14:paraId="5546A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1.2%</w:t>
                  </w:r>
                </w:p>
              </w:tc>
              <w:tc>
                <w:tcPr>
                  <w:tcW w:w="712" w:type="pct"/>
                  <w:tcBorders>
                    <w:tl2br w:val="nil"/>
                    <w:tr2bl w:val="nil"/>
                  </w:tcBorders>
                  <w:shd w:val="clear" w:color="auto" w:fill="auto"/>
                  <w:vAlign w:val="center"/>
                </w:tcPr>
                <w:p w14:paraId="756EB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1.2%</w:t>
                  </w:r>
                </w:p>
              </w:tc>
              <w:tc>
                <w:tcPr>
                  <w:tcW w:w="712" w:type="pct"/>
                  <w:tcBorders>
                    <w:tl2br w:val="nil"/>
                    <w:tr2bl w:val="nil"/>
                  </w:tcBorders>
                  <w:shd w:val="clear" w:color="auto" w:fill="auto"/>
                  <w:vAlign w:val="center"/>
                </w:tcPr>
                <w:p w14:paraId="45622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20%</w:t>
                  </w:r>
                </w:p>
              </w:tc>
              <w:tc>
                <w:tcPr>
                  <w:tcW w:w="712" w:type="pct"/>
                  <w:tcBorders>
                    <w:tl2br w:val="nil"/>
                    <w:tr2bl w:val="nil"/>
                  </w:tcBorders>
                  <w:shd w:val="clear" w:color="auto" w:fill="auto"/>
                  <w:vAlign w:val="center"/>
                </w:tcPr>
                <w:p w14:paraId="6BEDE5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w:t>
                  </w:r>
                </w:p>
              </w:tc>
              <w:tc>
                <w:tcPr>
                  <w:tcW w:w="716" w:type="pct"/>
                  <w:tcBorders>
                    <w:tl2br w:val="nil"/>
                    <w:tr2bl w:val="nil"/>
                  </w:tcBorders>
                  <w:shd w:val="clear" w:color="auto" w:fill="auto"/>
                  <w:vAlign w:val="center"/>
                </w:tcPr>
                <w:p w14:paraId="169493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w:t>
                  </w:r>
                </w:p>
              </w:tc>
            </w:tr>
            <w:tr w14:paraId="184918F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pct"/>
                  <w:vMerge w:val="continue"/>
                  <w:tcBorders>
                    <w:tl2br w:val="nil"/>
                    <w:tr2bl w:val="nil"/>
                  </w:tcBorders>
                  <w:shd w:val="clear" w:color="auto" w:fill="auto"/>
                  <w:vAlign w:val="center"/>
                </w:tcPr>
                <w:p w14:paraId="0114B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p>
              </w:tc>
              <w:tc>
                <w:tcPr>
                  <w:tcW w:w="574" w:type="pct"/>
                  <w:tcBorders>
                    <w:tl2br w:val="nil"/>
                    <w:tr2bl w:val="nil"/>
                  </w:tcBorders>
                  <w:shd w:val="clear" w:color="auto" w:fill="auto"/>
                  <w:vAlign w:val="center"/>
                </w:tcPr>
                <w:p w14:paraId="236DB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出水</w:t>
                  </w:r>
                </w:p>
              </w:tc>
              <w:tc>
                <w:tcPr>
                  <w:tcW w:w="712" w:type="pct"/>
                  <w:tcBorders>
                    <w:tl2br w:val="nil"/>
                    <w:tr2bl w:val="nil"/>
                  </w:tcBorders>
                  <w:shd w:val="clear" w:color="auto" w:fill="auto"/>
                  <w:vAlign w:val="center"/>
                </w:tcPr>
                <w:p w14:paraId="01E2C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270</w:t>
                  </w:r>
                </w:p>
              </w:tc>
              <w:tc>
                <w:tcPr>
                  <w:tcW w:w="712" w:type="pct"/>
                  <w:tcBorders>
                    <w:tl2br w:val="nil"/>
                    <w:tr2bl w:val="nil"/>
                  </w:tcBorders>
                  <w:shd w:val="clear" w:color="auto" w:fill="auto"/>
                  <w:vAlign w:val="center"/>
                </w:tcPr>
                <w:p w14:paraId="0DB3F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108</w:t>
                  </w:r>
                </w:p>
              </w:tc>
              <w:tc>
                <w:tcPr>
                  <w:tcW w:w="712" w:type="pct"/>
                  <w:tcBorders>
                    <w:tl2br w:val="nil"/>
                    <w:tr2bl w:val="nil"/>
                  </w:tcBorders>
                  <w:shd w:val="clear" w:color="auto" w:fill="auto"/>
                  <w:vAlign w:val="center"/>
                </w:tcPr>
                <w:p w14:paraId="3ECEC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30</w:t>
                  </w:r>
                </w:p>
              </w:tc>
              <w:tc>
                <w:tcPr>
                  <w:tcW w:w="712" w:type="pct"/>
                  <w:tcBorders>
                    <w:tl2br w:val="nil"/>
                    <w:tr2bl w:val="nil"/>
                  </w:tcBorders>
                  <w:shd w:val="clear" w:color="auto" w:fill="auto"/>
                  <w:vAlign w:val="center"/>
                </w:tcPr>
                <w:p w14:paraId="57D7D9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w:t>
                  </w:r>
                </w:p>
              </w:tc>
              <w:tc>
                <w:tcPr>
                  <w:tcW w:w="716" w:type="pct"/>
                  <w:tcBorders>
                    <w:tl2br w:val="nil"/>
                    <w:tr2bl w:val="nil"/>
                  </w:tcBorders>
                  <w:shd w:val="clear" w:color="auto" w:fill="auto"/>
                  <w:vAlign w:val="center"/>
                </w:tcPr>
                <w:p w14:paraId="416A89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31.5</w:t>
                  </w:r>
                </w:p>
              </w:tc>
            </w:tr>
            <w:tr w14:paraId="134B1CB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pct"/>
                  <w:tcBorders>
                    <w:tl2br w:val="nil"/>
                    <w:tr2bl w:val="nil"/>
                  </w:tcBorders>
                  <w:shd w:val="clear" w:color="auto" w:fill="auto"/>
                  <w:vAlign w:val="center"/>
                </w:tcPr>
                <w:p w14:paraId="4F5710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总处理效率</w:t>
                  </w:r>
                </w:p>
              </w:tc>
              <w:tc>
                <w:tcPr>
                  <w:tcW w:w="574" w:type="pct"/>
                  <w:tcBorders>
                    <w:tl2br w:val="nil"/>
                    <w:tr2bl w:val="nil"/>
                  </w:tcBorders>
                  <w:shd w:val="clear" w:color="auto" w:fill="auto"/>
                  <w:vAlign w:val="center"/>
                </w:tcPr>
                <w:p w14:paraId="13BDF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出水</w:t>
                  </w:r>
                </w:p>
              </w:tc>
              <w:tc>
                <w:tcPr>
                  <w:tcW w:w="1231" w:type="dxa"/>
                  <w:tcBorders>
                    <w:tl2br w:val="nil"/>
                    <w:tr2bl w:val="nil"/>
                  </w:tcBorders>
                  <w:shd w:val="clear" w:color="auto" w:fill="auto"/>
                  <w:vAlign w:val="center"/>
                </w:tcPr>
                <w:p w14:paraId="25B7B4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89.2</w:t>
                  </w:r>
                </w:p>
              </w:tc>
              <w:tc>
                <w:tcPr>
                  <w:tcW w:w="1231" w:type="dxa"/>
                  <w:tcBorders>
                    <w:tl2br w:val="nil"/>
                    <w:tr2bl w:val="nil"/>
                  </w:tcBorders>
                  <w:shd w:val="clear" w:color="auto" w:fill="auto"/>
                  <w:vAlign w:val="center"/>
                </w:tcPr>
                <w:p w14:paraId="25D3C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89.2</w:t>
                  </w:r>
                </w:p>
              </w:tc>
              <w:tc>
                <w:tcPr>
                  <w:tcW w:w="1231" w:type="dxa"/>
                  <w:tcBorders>
                    <w:tl2br w:val="nil"/>
                    <w:tr2bl w:val="nil"/>
                  </w:tcBorders>
                  <w:shd w:val="clear" w:color="auto" w:fill="auto"/>
                  <w:vAlign w:val="center"/>
                </w:tcPr>
                <w:p w14:paraId="74CE95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95</w:t>
                  </w:r>
                </w:p>
              </w:tc>
              <w:tc>
                <w:tcPr>
                  <w:tcW w:w="1231" w:type="dxa"/>
                  <w:tcBorders>
                    <w:tl2br w:val="nil"/>
                    <w:tr2bl w:val="nil"/>
                  </w:tcBorders>
                  <w:shd w:val="clear" w:color="auto" w:fill="auto"/>
                  <w:vAlign w:val="center"/>
                </w:tcPr>
                <w:p w14:paraId="093E7C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80</w:t>
                  </w:r>
                </w:p>
              </w:tc>
              <w:tc>
                <w:tcPr>
                  <w:tcW w:w="1239" w:type="dxa"/>
                  <w:tcBorders>
                    <w:tl2br w:val="nil"/>
                    <w:tr2bl w:val="nil"/>
                  </w:tcBorders>
                  <w:shd w:val="clear" w:color="auto" w:fill="auto"/>
                  <w:vAlign w:val="center"/>
                </w:tcPr>
                <w:p w14:paraId="4A75F8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szCs w:val="21"/>
                      <w:lang w:val="en-US"/>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89.5</w:t>
                  </w:r>
                </w:p>
              </w:tc>
            </w:tr>
            <w:tr w14:paraId="4976F27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31" w:type="pct"/>
                  <w:gridSpan w:val="2"/>
                  <w:tcBorders>
                    <w:tl2br w:val="nil"/>
                    <w:tr2bl w:val="nil"/>
                  </w:tcBorders>
                  <w:shd w:val="clear" w:color="auto" w:fill="auto"/>
                  <w:vAlign w:val="center"/>
                </w:tcPr>
                <w:p w14:paraId="776C35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出水水质</w:t>
                  </w:r>
                </w:p>
              </w:tc>
              <w:tc>
                <w:tcPr>
                  <w:tcW w:w="712" w:type="pct"/>
                  <w:tcBorders>
                    <w:tl2br w:val="nil"/>
                    <w:tr2bl w:val="nil"/>
                  </w:tcBorders>
                  <w:shd w:val="clear" w:color="auto" w:fill="auto"/>
                  <w:vAlign w:val="center"/>
                </w:tcPr>
                <w:p w14:paraId="1BEA8E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270</w:t>
                  </w:r>
                </w:p>
              </w:tc>
              <w:tc>
                <w:tcPr>
                  <w:tcW w:w="712" w:type="pct"/>
                  <w:tcBorders>
                    <w:tl2br w:val="nil"/>
                    <w:tr2bl w:val="nil"/>
                  </w:tcBorders>
                  <w:shd w:val="clear" w:color="auto" w:fill="auto"/>
                  <w:vAlign w:val="center"/>
                </w:tcPr>
                <w:p w14:paraId="17F77C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108</w:t>
                  </w:r>
                </w:p>
              </w:tc>
              <w:tc>
                <w:tcPr>
                  <w:tcW w:w="712" w:type="pct"/>
                  <w:tcBorders>
                    <w:tl2br w:val="nil"/>
                    <w:tr2bl w:val="nil"/>
                  </w:tcBorders>
                  <w:shd w:val="clear" w:color="auto" w:fill="auto"/>
                  <w:vAlign w:val="center"/>
                </w:tcPr>
                <w:p w14:paraId="1E322A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30</w:t>
                  </w:r>
                </w:p>
              </w:tc>
              <w:tc>
                <w:tcPr>
                  <w:tcW w:w="712" w:type="pct"/>
                  <w:tcBorders>
                    <w:tl2br w:val="nil"/>
                    <w:tr2bl w:val="nil"/>
                  </w:tcBorders>
                  <w:shd w:val="clear" w:color="auto" w:fill="auto"/>
                  <w:vAlign w:val="center"/>
                </w:tcPr>
                <w:p w14:paraId="0D899A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w:t>
                  </w:r>
                </w:p>
              </w:tc>
              <w:tc>
                <w:tcPr>
                  <w:tcW w:w="716" w:type="pct"/>
                  <w:tcBorders>
                    <w:tl2br w:val="nil"/>
                    <w:tr2bl w:val="nil"/>
                  </w:tcBorders>
                  <w:shd w:val="clear" w:color="auto" w:fill="auto"/>
                  <w:vAlign w:val="center"/>
                </w:tcPr>
                <w:p w14:paraId="06990A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31.5</w:t>
                  </w:r>
                </w:p>
              </w:tc>
            </w:tr>
          </w:tbl>
          <w:p w14:paraId="5FC993B8">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由上表可知，</w:t>
            </w:r>
            <w:r>
              <w:rPr>
                <w:rFonts w:hint="eastAsia" w:cs="Times New Roman"/>
                <w:color w:val="000000" w:themeColor="text1"/>
                <w:sz w:val="24"/>
                <w:szCs w:val="24"/>
                <w:lang w:eastAsia="zh-CN"/>
                <w14:textFill>
                  <w14:solidFill>
                    <w14:schemeClr w14:val="tx1"/>
                  </w14:solidFill>
                </w14:textFill>
              </w:rPr>
              <w:t>生产废水</w:t>
            </w:r>
            <w:r>
              <w:rPr>
                <w:rFonts w:hint="default" w:ascii="Times New Roman" w:hAnsi="Times New Roman" w:eastAsia="宋体" w:cs="Times New Roman"/>
                <w:color w:val="000000" w:themeColor="text1"/>
                <w:sz w:val="24"/>
                <w:szCs w:val="24"/>
                <w:lang w:eastAsia="zh-CN"/>
                <w14:textFill>
                  <w14:solidFill>
                    <w14:schemeClr w14:val="tx1"/>
                  </w14:solidFill>
                </w14:textFill>
              </w:rPr>
              <w:t>处理后可满足</w:t>
            </w:r>
            <w:r>
              <w:rPr>
                <w:rFonts w:hint="default" w:ascii="Times New Roman" w:hAnsi="Times New Roman" w:eastAsia="宋体" w:cs="Times New Roman"/>
                <w:color w:val="000000" w:themeColor="text1"/>
                <w:sz w:val="24"/>
                <w:lang w:val="en-US" w:eastAsia="zh-CN"/>
                <w14:textFill>
                  <w14:solidFill>
                    <w14:schemeClr w14:val="tx1"/>
                  </w14:solidFill>
                </w14:textFill>
              </w:rPr>
              <w:t>《污水综合排放标准》（GB8978-1996）表4三级标准</w:t>
            </w:r>
            <w:r>
              <w:rPr>
                <w:rFonts w:hint="default" w:ascii="Times New Roman" w:hAnsi="Times New Roman" w:eastAsia="宋体" w:cs="Times New Roman"/>
                <w:color w:val="000000" w:themeColor="text1"/>
                <w:sz w:val="24"/>
                <w14:textFill>
                  <w14:solidFill>
                    <w14:schemeClr w14:val="tx1"/>
                  </w14:solidFill>
                </w14:textFill>
              </w:rPr>
              <w:t>，同时满足</w:t>
            </w:r>
            <w:r>
              <w:rPr>
                <w:rFonts w:hint="default" w:ascii="Times New Roman" w:hAnsi="Times New Roman" w:eastAsia="宋体" w:cs="Times New Roman"/>
                <w:color w:val="000000" w:themeColor="text1"/>
                <w:sz w:val="24"/>
                <w:lang w:eastAsia="zh-CN"/>
                <w14:textFill>
                  <w14:solidFill>
                    <w14:schemeClr w14:val="tx1"/>
                  </w14:solidFill>
                </w14:textFill>
              </w:rPr>
              <w:t>魏县经济开发区污水处理有限公司</w:t>
            </w:r>
            <w:r>
              <w:rPr>
                <w:rFonts w:hint="default" w:ascii="Times New Roman" w:hAnsi="Times New Roman" w:eastAsia="宋体" w:cs="Times New Roman"/>
                <w:color w:val="000000" w:themeColor="text1"/>
                <w:sz w:val="24"/>
                <w14:textFill>
                  <w14:solidFill>
                    <w14:schemeClr w14:val="tx1"/>
                  </w14:solidFill>
                </w14:textFill>
              </w:rPr>
              <w:t>进水水质要求</w:t>
            </w:r>
            <w:r>
              <w:rPr>
                <w:rFonts w:hint="default" w:ascii="Times New Roman" w:hAnsi="Times New Roman" w:eastAsia="宋体" w:cs="Times New Roman"/>
                <w:color w:val="000000" w:themeColor="text1"/>
                <w:sz w:val="24"/>
                <w:szCs w:val="24"/>
                <w14:textFill>
                  <w14:solidFill>
                    <w14:schemeClr w14:val="tx1"/>
                  </w14:solidFill>
                </w14:textFill>
              </w:rPr>
              <w:t>。</w:t>
            </w:r>
          </w:p>
          <w:p w14:paraId="297C8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default" w:ascii="Times New Roman" w:hAnsi="Times New Roman" w:eastAsia="宋体" w:cs="Times New Roman"/>
                <w:b w:val="0"/>
                <w:bCs w:val="0"/>
                <w:color w:val="000000" w:themeColor="text1"/>
                <w:kern w:val="0"/>
                <w:sz w:val="24"/>
                <w:szCs w:val="24"/>
                <w:highlight w:val="none"/>
                <w:lang w:val="en-US" w:eastAsia="zh-CN" w:bidi="zh-CN"/>
                <w14:textFill>
                  <w14:solidFill>
                    <w14:schemeClr w14:val="tx1"/>
                  </w14:solidFill>
                </w14:textFill>
              </w:rPr>
            </w:pPr>
            <w:r>
              <w:rPr>
                <w:rFonts w:hint="default" w:ascii="Times New Roman" w:hAnsi="Times New Roman" w:eastAsia="宋体" w:cs="Times New Roman"/>
                <w:color w:val="000000" w:themeColor="text1"/>
                <w:kern w:val="2"/>
                <w:sz w:val="24"/>
                <w:szCs w:val="32"/>
                <w:highlight w:val="none"/>
                <w:lang w:val="en-US" w:eastAsia="zh-CN" w:bidi="ar-SA"/>
                <w14:textFill>
                  <w14:solidFill>
                    <w14:schemeClr w14:val="tx1"/>
                  </w14:solidFill>
                </w14:textFill>
              </w:rPr>
              <w:t>废水产生、</w:t>
            </w:r>
            <w:r>
              <w:rPr>
                <w:rFonts w:hint="default" w:ascii="Times New Roman" w:hAnsi="Times New Roman" w:eastAsia="宋体" w:cs="Times New Roman"/>
                <w:b w:val="0"/>
                <w:bCs w:val="0"/>
                <w:color w:val="000000" w:themeColor="text1"/>
                <w:kern w:val="0"/>
                <w:sz w:val="24"/>
                <w:szCs w:val="24"/>
                <w:highlight w:val="none"/>
                <w:lang w:val="en-US" w:eastAsia="zh-CN" w:bidi="zh-CN"/>
                <w14:textFill>
                  <w14:solidFill>
                    <w14:schemeClr w14:val="tx1"/>
                  </w14:solidFill>
                </w14:textFill>
              </w:rPr>
              <w:t>排放情况及污染源参数见表</w:t>
            </w:r>
            <w:r>
              <w:rPr>
                <w:rFonts w:hint="eastAsia" w:cs="Times New Roman"/>
                <w:b w:val="0"/>
                <w:bCs w:val="0"/>
                <w:color w:val="000000" w:themeColor="text1"/>
                <w:kern w:val="0"/>
                <w:sz w:val="24"/>
                <w:szCs w:val="24"/>
                <w:highlight w:val="none"/>
                <w:lang w:val="en-US" w:eastAsia="zh-CN" w:bidi="zh-CN"/>
                <w14:textFill>
                  <w14:solidFill>
                    <w14:schemeClr w14:val="tx1"/>
                  </w14:solidFill>
                </w14:textFill>
              </w:rPr>
              <w:t>4-8，</w:t>
            </w:r>
            <w:r>
              <w:rPr>
                <w:rFonts w:hint="default" w:ascii="Times New Roman" w:hAnsi="Times New Roman" w:eastAsia="宋体" w:cs="Times New Roman"/>
                <w:color w:val="000000" w:themeColor="text1"/>
                <w:sz w:val="24"/>
                <w:szCs w:val="21"/>
                <w:highlight w:val="none"/>
                <w14:textFill>
                  <w14:solidFill>
                    <w14:schemeClr w14:val="tx1"/>
                  </w14:solidFill>
                </w14:textFill>
              </w:rPr>
              <w:t>本项目废水污染源源强见表</w:t>
            </w:r>
            <w:r>
              <w:rPr>
                <w:rFonts w:hint="eastAsia" w:cs="Times New Roman"/>
                <w:color w:val="000000" w:themeColor="text1"/>
                <w:sz w:val="24"/>
                <w:szCs w:val="21"/>
                <w:highlight w:val="none"/>
                <w:lang w:val="en-US" w:eastAsia="zh-CN"/>
                <w14:textFill>
                  <w14:solidFill>
                    <w14:schemeClr w14:val="tx1"/>
                  </w14:solidFill>
                </w14:textFill>
              </w:rPr>
              <w:t>4-9</w:t>
            </w:r>
            <w:r>
              <w:rPr>
                <w:rFonts w:hint="default" w:ascii="Times New Roman" w:hAnsi="Times New Roman" w:eastAsia="宋体" w:cs="Times New Roman"/>
                <w:color w:val="000000" w:themeColor="text1"/>
                <w:sz w:val="24"/>
                <w:szCs w:val="21"/>
                <w:highlight w:val="none"/>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highlight w:val="none"/>
                <w:lang w:val="en-US" w:eastAsia="zh-CN" w:bidi="zh-CN"/>
                <w14:textFill>
                  <w14:solidFill>
                    <w14:schemeClr w14:val="tx1"/>
                  </w14:solidFill>
                </w14:textFill>
              </w:rPr>
              <w:t>。</w:t>
            </w:r>
          </w:p>
          <w:p w14:paraId="49904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default" w:ascii="Times New Roman" w:hAnsi="Times New Roman" w:eastAsia="宋体" w:cs="Times New Roman"/>
                <w:color w:val="000000" w:themeColor="text1"/>
                <w:sz w:val="7"/>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1"/>
                <w:highlight w:val="none"/>
                <w14:textFill>
                  <w14:solidFill>
                    <w14:schemeClr w14:val="tx1"/>
                  </w14:solidFill>
                </w14:textFill>
              </w:rPr>
              <w:t>表</w:t>
            </w:r>
            <w:r>
              <w:rPr>
                <w:rFonts w:hint="default" w:ascii="Times New Roman" w:hAnsi="Times New Roman" w:eastAsia="宋体" w:cs="Times New Roman"/>
                <w:b/>
                <w:color w:val="000000" w:themeColor="text1"/>
                <w:sz w:val="24"/>
                <w:szCs w:val="21"/>
                <w:highlight w:val="none"/>
                <w:lang w:val="en-US" w:eastAsia="zh-CN"/>
                <w14:textFill>
                  <w14:solidFill>
                    <w14:schemeClr w14:val="tx1"/>
                  </w14:solidFill>
                </w14:textFill>
              </w:rPr>
              <w:t>4-</w:t>
            </w:r>
            <w:r>
              <w:rPr>
                <w:rFonts w:hint="eastAsia" w:cs="Times New Roman"/>
                <w:b/>
                <w:color w:val="000000" w:themeColor="text1"/>
                <w:sz w:val="24"/>
                <w:szCs w:val="21"/>
                <w:highlight w:val="none"/>
                <w:lang w:val="en-US" w:eastAsia="zh-CN"/>
                <w14:textFill>
                  <w14:solidFill>
                    <w14:schemeClr w14:val="tx1"/>
                  </w14:solidFill>
                </w14:textFill>
              </w:rPr>
              <w:t>8</w:t>
            </w:r>
            <w:r>
              <w:rPr>
                <w:rFonts w:hint="default" w:ascii="Times New Roman" w:hAnsi="Times New Roman" w:eastAsia="宋体" w:cs="Times New Roman"/>
                <w:b/>
                <w:color w:val="000000" w:themeColor="text1"/>
                <w:sz w:val="24"/>
                <w:szCs w:val="21"/>
                <w:highlight w:val="none"/>
                <w14:textFill>
                  <w14:solidFill>
                    <w14:schemeClr w14:val="tx1"/>
                  </w14:solidFill>
                </w14:textFill>
              </w:rPr>
              <w:t xml:space="preserve">  废水污染治理措施一览表</w:t>
            </w:r>
          </w:p>
          <w:tbl>
            <w:tblPr>
              <w:tblStyle w:val="33"/>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4"/>
              <w:gridCol w:w="563"/>
              <w:gridCol w:w="1459"/>
              <w:gridCol w:w="887"/>
              <w:gridCol w:w="641"/>
              <w:gridCol w:w="1145"/>
              <w:gridCol w:w="736"/>
              <w:gridCol w:w="723"/>
              <w:gridCol w:w="574"/>
              <w:gridCol w:w="924"/>
              <w:gridCol w:w="502"/>
            </w:tblGrid>
            <w:tr w14:paraId="360008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restart"/>
                  <w:tcBorders>
                    <w:tl2br w:val="nil"/>
                    <w:tr2bl w:val="nil"/>
                  </w:tcBorders>
                  <w:noWrap w:val="0"/>
                  <w:vAlign w:val="center"/>
                </w:tcPr>
                <w:p w14:paraId="0631E760">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序号</w:t>
                  </w:r>
                </w:p>
              </w:tc>
              <w:tc>
                <w:tcPr>
                  <w:tcW w:w="328" w:type="pct"/>
                  <w:vMerge w:val="restart"/>
                  <w:tcBorders>
                    <w:tl2br w:val="nil"/>
                    <w:tr2bl w:val="nil"/>
                  </w:tcBorders>
                  <w:noWrap w:val="0"/>
                  <w:vAlign w:val="center"/>
                </w:tcPr>
                <w:p w14:paraId="79EC46FF">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产排污环节</w:t>
                  </w:r>
                </w:p>
              </w:tc>
              <w:tc>
                <w:tcPr>
                  <w:tcW w:w="850" w:type="pct"/>
                  <w:vMerge w:val="restart"/>
                  <w:tcBorders>
                    <w:tl2br w:val="nil"/>
                    <w:tr2bl w:val="nil"/>
                  </w:tcBorders>
                  <w:noWrap w:val="0"/>
                  <w:vAlign w:val="center"/>
                </w:tcPr>
                <w:p w14:paraId="7089B9A2">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废水类别</w:t>
                  </w:r>
                </w:p>
              </w:tc>
              <w:tc>
                <w:tcPr>
                  <w:tcW w:w="517" w:type="pct"/>
                  <w:vMerge w:val="restart"/>
                  <w:tcBorders>
                    <w:tl2br w:val="nil"/>
                    <w:tr2bl w:val="nil"/>
                  </w:tcBorders>
                  <w:noWrap w:val="0"/>
                  <w:vAlign w:val="center"/>
                </w:tcPr>
                <w:p w14:paraId="349A3B64">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污染</w:t>
                  </w:r>
                </w:p>
                <w:p w14:paraId="56F20322">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因子</w:t>
                  </w:r>
                </w:p>
              </w:tc>
              <w:tc>
                <w:tcPr>
                  <w:tcW w:w="1891" w:type="pct"/>
                  <w:gridSpan w:val="4"/>
                  <w:tcBorders>
                    <w:tl2br w:val="nil"/>
                    <w:tr2bl w:val="nil"/>
                  </w:tcBorders>
                  <w:noWrap w:val="0"/>
                  <w:vAlign w:val="center"/>
                </w:tcPr>
                <w:p w14:paraId="23BEAB2D">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污染治理措施</w:t>
                  </w:r>
                </w:p>
              </w:tc>
              <w:tc>
                <w:tcPr>
                  <w:tcW w:w="334" w:type="pct"/>
                  <w:vMerge w:val="restart"/>
                  <w:tcBorders>
                    <w:tl2br w:val="nil"/>
                    <w:tr2bl w:val="nil"/>
                  </w:tcBorders>
                  <w:noWrap w:val="0"/>
                  <w:vAlign w:val="center"/>
                </w:tcPr>
                <w:p w14:paraId="3C9A302A">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排放方式</w:t>
                  </w:r>
                </w:p>
              </w:tc>
              <w:tc>
                <w:tcPr>
                  <w:tcW w:w="538" w:type="pct"/>
                  <w:vMerge w:val="restart"/>
                  <w:tcBorders>
                    <w:tl2br w:val="nil"/>
                    <w:tr2bl w:val="nil"/>
                  </w:tcBorders>
                  <w:noWrap w:val="0"/>
                  <w:vAlign w:val="center"/>
                </w:tcPr>
                <w:p w14:paraId="37CD239E">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排放</w:t>
                  </w:r>
                </w:p>
                <w:p w14:paraId="24E42D69">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去向</w:t>
                  </w:r>
                </w:p>
              </w:tc>
              <w:tc>
                <w:tcPr>
                  <w:tcW w:w="292" w:type="pct"/>
                  <w:vMerge w:val="restart"/>
                  <w:tcBorders>
                    <w:tl2br w:val="nil"/>
                    <w:tr2bl w:val="nil"/>
                  </w:tcBorders>
                  <w:noWrap w:val="0"/>
                  <w:vAlign w:val="center"/>
                </w:tcPr>
                <w:p w14:paraId="561831B5">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排放规律</w:t>
                  </w:r>
                </w:p>
              </w:tc>
            </w:tr>
            <w:tr w14:paraId="2E618C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continue"/>
                  <w:tcBorders>
                    <w:tl2br w:val="nil"/>
                    <w:tr2bl w:val="nil"/>
                  </w:tcBorders>
                  <w:noWrap w:val="0"/>
                  <w:vAlign w:val="center"/>
                </w:tcPr>
                <w:p w14:paraId="282B0FC2">
                  <w:pPr>
                    <w:pStyle w:val="51"/>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
                      <w:szCs w:val="24"/>
                      <w:highlight w:val="none"/>
                      <w14:textFill>
                        <w14:solidFill>
                          <w14:schemeClr w14:val="tx1"/>
                        </w14:solidFill>
                      </w14:textFill>
                    </w:rPr>
                  </w:pPr>
                </w:p>
              </w:tc>
              <w:tc>
                <w:tcPr>
                  <w:tcW w:w="328" w:type="pct"/>
                  <w:vMerge w:val="continue"/>
                  <w:tcBorders>
                    <w:tl2br w:val="nil"/>
                    <w:tr2bl w:val="nil"/>
                  </w:tcBorders>
                  <w:noWrap w:val="0"/>
                  <w:vAlign w:val="center"/>
                </w:tcPr>
                <w:p w14:paraId="642B5053">
                  <w:pPr>
                    <w:pStyle w:val="51"/>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
                      <w:szCs w:val="24"/>
                      <w:highlight w:val="none"/>
                      <w14:textFill>
                        <w14:solidFill>
                          <w14:schemeClr w14:val="tx1"/>
                        </w14:solidFill>
                      </w14:textFill>
                    </w:rPr>
                  </w:pPr>
                </w:p>
              </w:tc>
              <w:tc>
                <w:tcPr>
                  <w:tcW w:w="850" w:type="pct"/>
                  <w:vMerge w:val="continue"/>
                  <w:tcBorders>
                    <w:tl2br w:val="nil"/>
                    <w:tr2bl w:val="nil"/>
                  </w:tcBorders>
                  <w:noWrap w:val="0"/>
                  <w:vAlign w:val="center"/>
                </w:tcPr>
                <w:p w14:paraId="201DBBE1">
                  <w:pPr>
                    <w:pStyle w:val="51"/>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
                      <w:szCs w:val="24"/>
                      <w:highlight w:val="none"/>
                      <w14:textFill>
                        <w14:solidFill>
                          <w14:schemeClr w14:val="tx1"/>
                        </w14:solidFill>
                      </w14:textFill>
                    </w:rPr>
                  </w:pPr>
                </w:p>
              </w:tc>
              <w:tc>
                <w:tcPr>
                  <w:tcW w:w="517" w:type="pct"/>
                  <w:vMerge w:val="continue"/>
                  <w:tcBorders>
                    <w:tl2br w:val="nil"/>
                    <w:tr2bl w:val="nil"/>
                  </w:tcBorders>
                  <w:noWrap w:val="0"/>
                  <w:vAlign w:val="center"/>
                </w:tcPr>
                <w:p w14:paraId="249AA706">
                  <w:pPr>
                    <w:pStyle w:val="51"/>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
                      <w:szCs w:val="24"/>
                      <w:highlight w:val="none"/>
                      <w14:textFill>
                        <w14:solidFill>
                          <w14:schemeClr w14:val="tx1"/>
                        </w14:solidFill>
                      </w14:textFill>
                    </w:rPr>
                  </w:pPr>
                </w:p>
              </w:tc>
              <w:tc>
                <w:tcPr>
                  <w:tcW w:w="373" w:type="pct"/>
                  <w:tcBorders>
                    <w:tl2br w:val="nil"/>
                    <w:tr2bl w:val="nil"/>
                  </w:tcBorders>
                  <w:noWrap w:val="0"/>
                  <w:vAlign w:val="center"/>
                </w:tcPr>
                <w:p w14:paraId="75316D05">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lang w:eastAsia="zh-CN"/>
                      <w14:textFill>
                        <w14:solidFill>
                          <w14:schemeClr w14:val="tx1"/>
                        </w14:solidFill>
                      </w14:textFill>
                    </w:rPr>
                    <w:t>产生量</w:t>
                  </w:r>
                  <w:r>
                    <w:rPr>
                      <w:rFonts w:hint="default" w:ascii="Times New Roman" w:hAnsi="Times New Roman" w:eastAsia="宋体" w:cs="Times New Roman"/>
                      <w:b/>
                      <w:color w:val="000000" w:themeColor="text1"/>
                      <w:sz w:val="21"/>
                      <w:szCs w:val="24"/>
                      <w:highlight w:val="none"/>
                      <w14:textFill>
                        <w14:solidFill>
                          <w14:schemeClr w14:val="tx1"/>
                        </w14:solidFill>
                      </w14:textFill>
                    </w:rPr>
                    <w:t>m</w:t>
                  </w:r>
                  <w:r>
                    <w:rPr>
                      <w:rFonts w:hint="default" w:ascii="Times New Roman" w:hAnsi="Times New Roman" w:eastAsia="宋体" w:cs="Times New Roman"/>
                      <w:b/>
                      <w:color w:val="000000" w:themeColor="text1"/>
                      <w:sz w:val="20"/>
                      <w:szCs w:val="24"/>
                      <w:highlight w:val="none"/>
                      <w:vertAlign w:val="superscript"/>
                      <w14:textFill>
                        <w14:solidFill>
                          <w14:schemeClr w14:val="tx1"/>
                        </w14:solidFill>
                      </w14:textFill>
                    </w:rPr>
                    <w:t>3</w:t>
                  </w:r>
                  <w:r>
                    <w:rPr>
                      <w:rFonts w:hint="default" w:ascii="Times New Roman" w:hAnsi="Times New Roman" w:eastAsia="宋体" w:cs="Times New Roman"/>
                      <w:b/>
                      <w:color w:val="000000" w:themeColor="text1"/>
                      <w:sz w:val="21"/>
                      <w:szCs w:val="24"/>
                      <w:highlight w:val="none"/>
                      <w14:textFill>
                        <w14:solidFill>
                          <w14:schemeClr w14:val="tx1"/>
                        </w14:solidFill>
                      </w14:textFill>
                    </w:rPr>
                    <w:t>/d</w:t>
                  </w:r>
                </w:p>
              </w:tc>
              <w:tc>
                <w:tcPr>
                  <w:tcW w:w="667" w:type="pct"/>
                  <w:tcBorders>
                    <w:tl2br w:val="nil"/>
                    <w:tr2bl w:val="nil"/>
                  </w:tcBorders>
                  <w:noWrap w:val="0"/>
                  <w:vAlign w:val="center"/>
                </w:tcPr>
                <w:p w14:paraId="66AE43C2">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治理工艺</w:t>
                  </w:r>
                </w:p>
              </w:tc>
              <w:tc>
                <w:tcPr>
                  <w:tcW w:w="429" w:type="pct"/>
                  <w:tcBorders>
                    <w:tl2br w:val="nil"/>
                    <w:tr2bl w:val="nil"/>
                  </w:tcBorders>
                  <w:noWrap w:val="0"/>
                  <w:vAlign w:val="center"/>
                </w:tcPr>
                <w:p w14:paraId="02435BBC">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去除</w:t>
                  </w:r>
                </w:p>
                <w:p w14:paraId="6D0CE141">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z w:val="21"/>
                      <w:szCs w:val="24"/>
                      <w:highlight w:val="none"/>
                      <w14:textFill>
                        <w14:solidFill>
                          <w14:schemeClr w14:val="tx1"/>
                        </w14:solidFill>
                      </w14:textFill>
                    </w:rPr>
                    <w:t>效率</w:t>
                  </w:r>
                </w:p>
                <w:p w14:paraId="6A362378">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c>
                <w:tcPr>
                  <w:tcW w:w="421" w:type="pct"/>
                  <w:tcBorders>
                    <w:tl2br w:val="nil"/>
                    <w:tr2bl w:val="nil"/>
                  </w:tcBorders>
                  <w:noWrap w:val="0"/>
                  <w:vAlign w:val="center"/>
                </w:tcPr>
                <w:p w14:paraId="0EC66E6F">
                  <w:pPr>
                    <w:pStyle w:val="52"/>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color w:val="000000" w:themeColor="text1"/>
                      <w:sz w:val="21"/>
                      <w:szCs w:val="24"/>
                      <w:highlight w:val="none"/>
                      <w14:textFill>
                        <w14:solidFill>
                          <w14:schemeClr w14:val="tx1"/>
                        </w14:solidFill>
                      </w14:textFill>
                    </w:rPr>
                  </w:pPr>
                  <w:r>
                    <w:rPr>
                      <w:rFonts w:hint="default" w:ascii="Times New Roman" w:hAnsi="Times New Roman" w:eastAsia="宋体" w:cs="Times New Roman"/>
                      <w:b/>
                      <w:color w:val="000000" w:themeColor="text1"/>
                      <w:spacing w:val="-11"/>
                      <w:sz w:val="21"/>
                      <w:szCs w:val="24"/>
                      <w:highlight w:val="none"/>
                      <w14:textFill>
                        <w14:solidFill>
                          <w14:schemeClr w14:val="tx1"/>
                        </w14:solidFill>
                      </w14:textFill>
                    </w:rPr>
                    <w:t>是否为可行技术</w:t>
                  </w:r>
                </w:p>
              </w:tc>
              <w:tc>
                <w:tcPr>
                  <w:tcW w:w="334" w:type="pct"/>
                  <w:vMerge w:val="continue"/>
                  <w:tcBorders>
                    <w:tl2br w:val="nil"/>
                    <w:tr2bl w:val="nil"/>
                  </w:tcBorders>
                  <w:noWrap w:val="0"/>
                  <w:vAlign w:val="center"/>
                </w:tcPr>
                <w:p w14:paraId="21F2F4BB">
                  <w:pPr>
                    <w:pStyle w:val="51"/>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 w:val="2"/>
                      <w:szCs w:val="24"/>
                      <w:highlight w:val="none"/>
                      <w14:textFill>
                        <w14:solidFill>
                          <w14:schemeClr w14:val="tx1"/>
                        </w14:solidFill>
                      </w14:textFill>
                    </w:rPr>
                  </w:pPr>
                </w:p>
              </w:tc>
              <w:tc>
                <w:tcPr>
                  <w:tcW w:w="538" w:type="pct"/>
                  <w:vMerge w:val="continue"/>
                  <w:tcBorders>
                    <w:tl2br w:val="nil"/>
                    <w:tr2bl w:val="nil"/>
                  </w:tcBorders>
                  <w:noWrap w:val="0"/>
                  <w:vAlign w:val="center"/>
                </w:tcPr>
                <w:p w14:paraId="4A7477CD">
                  <w:pPr>
                    <w:pStyle w:val="51"/>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 w:val="2"/>
                      <w:szCs w:val="24"/>
                      <w:highlight w:val="none"/>
                      <w14:textFill>
                        <w14:solidFill>
                          <w14:schemeClr w14:val="tx1"/>
                        </w14:solidFill>
                      </w14:textFill>
                    </w:rPr>
                  </w:pPr>
                </w:p>
              </w:tc>
              <w:tc>
                <w:tcPr>
                  <w:tcW w:w="292" w:type="pct"/>
                  <w:vMerge w:val="continue"/>
                  <w:tcBorders>
                    <w:tl2br w:val="nil"/>
                    <w:tr2bl w:val="nil"/>
                  </w:tcBorders>
                  <w:noWrap w:val="0"/>
                  <w:vAlign w:val="center"/>
                </w:tcPr>
                <w:p w14:paraId="3FBE7085">
                  <w:pPr>
                    <w:pStyle w:val="51"/>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 w:val="2"/>
                      <w:szCs w:val="24"/>
                      <w:highlight w:val="none"/>
                      <w14:textFill>
                        <w14:solidFill>
                          <w14:schemeClr w14:val="tx1"/>
                        </w14:solidFill>
                      </w14:textFill>
                    </w:rPr>
                  </w:pPr>
                </w:p>
              </w:tc>
            </w:tr>
            <w:tr w14:paraId="483526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restart"/>
                  <w:tcBorders>
                    <w:tl2br w:val="nil"/>
                    <w:tr2bl w:val="nil"/>
                  </w:tcBorders>
                  <w:noWrap w:val="0"/>
                  <w:vAlign w:val="center"/>
                </w:tcPr>
                <w:p w14:paraId="7EC2B902">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1</w:t>
                  </w:r>
                </w:p>
              </w:tc>
              <w:tc>
                <w:tcPr>
                  <w:tcW w:w="328" w:type="pct"/>
                  <w:vMerge w:val="restart"/>
                  <w:tcBorders>
                    <w:tl2br w:val="nil"/>
                    <w:tr2bl w:val="nil"/>
                  </w:tcBorders>
                  <w:noWrap w:val="0"/>
                  <w:vAlign w:val="center"/>
                </w:tcPr>
                <w:p w14:paraId="1F97B39A">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职工生活</w:t>
                  </w:r>
                </w:p>
              </w:tc>
              <w:tc>
                <w:tcPr>
                  <w:tcW w:w="850" w:type="pct"/>
                  <w:vMerge w:val="restart"/>
                  <w:tcBorders>
                    <w:tl2br w:val="nil"/>
                    <w:tr2bl w:val="nil"/>
                  </w:tcBorders>
                  <w:noWrap w:val="0"/>
                  <w:vAlign w:val="center"/>
                </w:tcPr>
                <w:p w14:paraId="0C86B03F">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生活废水</w:t>
                  </w:r>
                </w:p>
              </w:tc>
              <w:tc>
                <w:tcPr>
                  <w:tcW w:w="517" w:type="pct"/>
                  <w:tcBorders>
                    <w:tl2br w:val="nil"/>
                    <w:tr2bl w:val="nil"/>
                  </w:tcBorders>
                  <w:noWrap w:val="0"/>
                  <w:vAlign w:val="center"/>
                </w:tcPr>
                <w:p w14:paraId="00B0BBB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pH</w:t>
                  </w:r>
                </w:p>
              </w:tc>
              <w:tc>
                <w:tcPr>
                  <w:tcW w:w="373" w:type="pct"/>
                  <w:vMerge w:val="restart"/>
                  <w:tcBorders>
                    <w:tl2br w:val="nil"/>
                    <w:tr2bl w:val="nil"/>
                  </w:tcBorders>
                  <w:noWrap w:val="0"/>
                  <w:vAlign w:val="center"/>
                </w:tcPr>
                <w:p w14:paraId="242FF4F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0.96</w:t>
                  </w:r>
                </w:p>
              </w:tc>
              <w:tc>
                <w:tcPr>
                  <w:tcW w:w="667" w:type="pct"/>
                  <w:vMerge w:val="restart"/>
                  <w:tcBorders>
                    <w:tl2br w:val="nil"/>
                    <w:tr2bl w:val="nil"/>
                  </w:tcBorders>
                  <w:noWrap w:val="0"/>
                  <w:vAlign w:val="center"/>
                </w:tcPr>
                <w:p w14:paraId="6633CC2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化粪池</w:t>
                  </w:r>
                </w:p>
              </w:tc>
              <w:tc>
                <w:tcPr>
                  <w:tcW w:w="429" w:type="pct"/>
                  <w:tcBorders>
                    <w:tl2br w:val="nil"/>
                    <w:tr2bl w:val="nil"/>
                  </w:tcBorders>
                  <w:noWrap w:val="0"/>
                  <w:vAlign w:val="center"/>
                </w:tcPr>
                <w:p w14:paraId="76EC4091">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w:t>
                  </w:r>
                </w:p>
              </w:tc>
              <w:tc>
                <w:tcPr>
                  <w:tcW w:w="421" w:type="pct"/>
                  <w:vMerge w:val="restart"/>
                  <w:tcBorders>
                    <w:tl2br w:val="nil"/>
                    <w:tr2bl w:val="nil"/>
                  </w:tcBorders>
                  <w:noWrap w:val="0"/>
                  <w:vAlign w:val="center"/>
                </w:tcPr>
                <w:p w14:paraId="7791BE31">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是</w:t>
                  </w:r>
                </w:p>
              </w:tc>
              <w:tc>
                <w:tcPr>
                  <w:tcW w:w="334" w:type="pct"/>
                  <w:vMerge w:val="restart"/>
                  <w:tcBorders>
                    <w:tl2br w:val="nil"/>
                    <w:tr2bl w:val="nil"/>
                  </w:tcBorders>
                  <w:noWrap w:val="0"/>
                  <w:vAlign w:val="center"/>
                </w:tcPr>
                <w:p w14:paraId="28380614">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间接排放</w:t>
                  </w:r>
                </w:p>
              </w:tc>
              <w:tc>
                <w:tcPr>
                  <w:tcW w:w="538" w:type="pct"/>
                  <w:vMerge w:val="restart"/>
                  <w:tcBorders>
                    <w:tl2br w:val="nil"/>
                    <w:tr2bl w:val="nil"/>
                  </w:tcBorders>
                  <w:noWrap w:val="0"/>
                  <w:vAlign w:val="center"/>
                </w:tcPr>
                <w:p w14:paraId="2BA358C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魏县经济开发区污水处理有限公司</w:t>
                  </w:r>
                </w:p>
              </w:tc>
              <w:tc>
                <w:tcPr>
                  <w:tcW w:w="292" w:type="pct"/>
                  <w:vMerge w:val="restart"/>
                  <w:tcBorders>
                    <w:tl2br w:val="nil"/>
                    <w:tr2bl w:val="nil"/>
                  </w:tcBorders>
                  <w:noWrap w:val="0"/>
                  <w:vAlign w:val="center"/>
                </w:tcPr>
                <w:p w14:paraId="064ED525">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r>
            <w:tr w14:paraId="288DA5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continue"/>
                  <w:tcBorders>
                    <w:tl2br w:val="nil"/>
                    <w:tr2bl w:val="nil"/>
                  </w:tcBorders>
                  <w:noWrap w:val="0"/>
                  <w:vAlign w:val="center"/>
                </w:tcPr>
                <w:p w14:paraId="18FC0310">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6EA8FC1D">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850" w:type="pct"/>
                  <w:vMerge w:val="continue"/>
                  <w:tcBorders>
                    <w:tl2br w:val="nil"/>
                    <w:tr2bl w:val="nil"/>
                  </w:tcBorders>
                  <w:noWrap w:val="0"/>
                  <w:vAlign w:val="center"/>
                </w:tcPr>
                <w:p w14:paraId="22048966">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17" w:type="pct"/>
                  <w:tcBorders>
                    <w:tl2br w:val="nil"/>
                    <w:tr2bl w:val="nil"/>
                  </w:tcBorders>
                  <w:noWrap w:val="0"/>
                  <w:vAlign w:val="center"/>
                </w:tcPr>
                <w:p w14:paraId="2B67B71A">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COD</w:t>
                  </w:r>
                </w:p>
              </w:tc>
              <w:tc>
                <w:tcPr>
                  <w:tcW w:w="373" w:type="pct"/>
                  <w:vMerge w:val="continue"/>
                  <w:tcBorders>
                    <w:tl2br w:val="nil"/>
                    <w:tr2bl w:val="nil"/>
                  </w:tcBorders>
                  <w:noWrap w:val="0"/>
                  <w:vAlign w:val="center"/>
                </w:tcPr>
                <w:p w14:paraId="2485A5FF">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667" w:type="pct"/>
                  <w:vMerge w:val="continue"/>
                  <w:tcBorders>
                    <w:tl2br w:val="nil"/>
                    <w:tr2bl w:val="nil"/>
                  </w:tcBorders>
                  <w:noWrap w:val="0"/>
                  <w:vAlign w:val="center"/>
                </w:tcPr>
                <w:p w14:paraId="5B17AB87">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429" w:type="pct"/>
                  <w:tcBorders>
                    <w:tl2br w:val="nil"/>
                    <w:tr2bl w:val="nil"/>
                  </w:tcBorders>
                  <w:noWrap w:val="0"/>
                  <w:vAlign w:val="center"/>
                </w:tcPr>
                <w:p w14:paraId="218C5535">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20</w:t>
                  </w:r>
                </w:p>
              </w:tc>
              <w:tc>
                <w:tcPr>
                  <w:tcW w:w="421" w:type="pct"/>
                  <w:vMerge w:val="continue"/>
                  <w:tcBorders>
                    <w:tl2br w:val="nil"/>
                    <w:tr2bl w:val="nil"/>
                  </w:tcBorders>
                  <w:noWrap w:val="0"/>
                  <w:vAlign w:val="center"/>
                </w:tcPr>
                <w:p w14:paraId="129DCC4D">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34" w:type="pct"/>
                  <w:vMerge w:val="continue"/>
                  <w:tcBorders>
                    <w:tl2br w:val="nil"/>
                    <w:tr2bl w:val="nil"/>
                  </w:tcBorders>
                  <w:noWrap w:val="0"/>
                  <w:vAlign w:val="center"/>
                </w:tcPr>
                <w:p w14:paraId="1B581A49">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38" w:type="pct"/>
                  <w:vMerge w:val="continue"/>
                  <w:tcBorders>
                    <w:tl2br w:val="nil"/>
                    <w:tr2bl w:val="nil"/>
                  </w:tcBorders>
                  <w:noWrap w:val="0"/>
                  <w:vAlign w:val="center"/>
                </w:tcPr>
                <w:p w14:paraId="27748C5E">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292" w:type="pct"/>
                  <w:vMerge w:val="continue"/>
                  <w:tcBorders>
                    <w:tl2br w:val="nil"/>
                    <w:tr2bl w:val="nil"/>
                  </w:tcBorders>
                  <w:noWrap w:val="0"/>
                  <w:vAlign w:val="center"/>
                </w:tcPr>
                <w:p w14:paraId="7D1FB9AD">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36063D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47" w:type="pct"/>
                  <w:vMerge w:val="continue"/>
                  <w:tcBorders>
                    <w:tl2br w:val="nil"/>
                    <w:tr2bl w:val="nil"/>
                  </w:tcBorders>
                  <w:noWrap w:val="0"/>
                  <w:vAlign w:val="center"/>
                </w:tcPr>
                <w:p w14:paraId="298B54E4">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3A92524A">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850" w:type="pct"/>
                  <w:vMerge w:val="continue"/>
                  <w:tcBorders>
                    <w:tl2br w:val="nil"/>
                    <w:tr2bl w:val="nil"/>
                  </w:tcBorders>
                  <w:noWrap w:val="0"/>
                  <w:vAlign w:val="center"/>
                </w:tcPr>
                <w:p w14:paraId="35F8C9A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17" w:type="pct"/>
                  <w:tcBorders>
                    <w:tl2br w:val="nil"/>
                    <w:tr2bl w:val="nil"/>
                  </w:tcBorders>
                  <w:noWrap w:val="0"/>
                  <w:vAlign w:val="center"/>
                </w:tcPr>
                <w:p w14:paraId="3AB2CB54">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BOD</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5</w:t>
                  </w:r>
                </w:p>
              </w:tc>
              <w:tc>
                <w:tcPr>
                  <w:tcW w:w="373" w:type="pct"/>
                  <w:vMerge w:val="continue"/>
                  <w:tcBorders>
                    <w:tl2br w:val="nil"/>
                    <w:tr2bl w:val="nil"/>
                  </w:tcBorders>
                  <w:noWrap w:val="0"/>
                  <w:vAlign w:val="center"/>
                </w:tcPr>
                <w:p w14:paraId="65A4427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667" w:type="pct"/>
                  <w:vMerge w:val="continue"/>
                  <w:tcBorders>
                    <w:tl2br w:val="nil"/>
                    <w:tr2bl w:val="nil"/>
                  </w:tcBorders>
                  <w:noWrap w:val="0"/>
                  <w:vAlign w:val="center"/>
                </w:tcPr>
                <w:p w14:paraId="7F34BCAF">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429" w:type="pct"/>
                  <w:tcBorders>
                    <w:tl2br w:val="nil"/>
                    <w:tr2bl w:val="nil"/>
                  </w:tcBorders>
                  <w:noWrap w:val="0"/>
                  <w:vAlign w:val="center"/>
                </w:tcPr>
                <w:p w14:paraId="7C9DA6C7">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20</w:t>
                  </w:r>
                </w:p>
              </w:tc>
              <w:tc>
                <w:tcPr>
                  <w:tcW w:w="421" w:type="pct"/>
                  <w:vMerge w:val="continue"/>
                  <w:tcBorders>
                    <w:tl2br w:val="nil"/>
                    <w:tr2bl w:val="nil"/>
                  </w:tcBorders>
                  <w:noWrap w:val="0"/>
                  <w:vAlign w:val="center"/>
                </w:tcPr>
                <w:p w14:paraId="011E2F1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34" w:type="pct"/>
                  <w:vMerge w:val="continue"/>
                  <w:tcBorders>
                    <w:tl2br w:val="nil"/>
                    <w:tr2bl w:val="nil"/>
                  </w:tcBorders>
                  <w:noWrap w:val="0"/>
                  <w:vAlign w:val="center"/>
                </w:tcPr>
                <w:p w14:paraId="2E70534F">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38" w:type="pct"/>
                  <w:vMerge w:val="continue"/>
                  <w:tcBorders>
                    <w:tl2br w:val="nil"/>
                    <w:tr2bl w:val="nil"/>
                  </w:tcBorders>
                  <w:noWrap w:val="0"/>
                  <w:vAlign w:val="center"/>
                </w:tcPr>
                <w:p w14:paraId="2E0FBD5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292" w:type="pct"/>
                  <w:vMerge w:val="continue"/>
                  <w:tcBorders>
                    <w:tl2br w:val="nil"/>
                    <w:tr2bl w:val="nil"/>
                  </w:tcBorders>
                  <w:noWrap w:val="0"/>
                  <w:vAlign w:val="center"/>
                </w:tcPr>
                <w:p w14:paraId="1ACA4792">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1263CE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continue"/>
                  <w:tcBorders>
                    <w:tl2br w:val="nil"/>
                    <w:tr2bl w:val="nil"/>
                  </w:tcBorders>
                  <w:noWrap w:val="0"/>
                  <w:vAlign w:val="center"/>
                </w:tcPr>
                <w:p w14:paraId="43109760">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23286FF5">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850" w:type="pct"/>
                  <w:vMerge w:val="continue"/>
                  <w:tcBorders>
                    <w:tl2br w:val="nil"/>
                    <w:tr2bl w:val="nil"/>
                  </w:tcBorders>
                  <w:noWrap w:val="0"/>
                  <w:vAlign w:val="center"/>
                </w:tcPr>
                <w:p w14:paraId="7CB5EBB7">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17" w:type="pct"/>
                  <w:tcBorders>
                    <w:tl2br w:val="nil"/>
                    <w:tr2bl w:val="nil"/>
                  </w:tcBorders>
                  <w:noWrap w:val="0"/>
                  <w:vAlign w:val="center"/>
                </w:tcPr>
                <w:p w14:paraId="6C71873A">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SS</w:t>
                  </w:r>
                </w:p>
              </w:tc>
              <w:tc>
                <w:tcPr>
                  <w:tcW w:w="373" w:type="pct"/>
                  <w:vMerge w:val="continue"/>
                  <w:tcBorders>
                    <w:tl2br w:val="nil"/>
                    <w:tr2bl w:val="nil"/>
                  </w:tcBorders>
                  <w:noWrap w:val="0"/>
                  <w:vAlign w:val="center"/>
                </w:tcPr>
                <w:p w14:paraId="1588BD31">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667" w:type="pct"/>
                  <w:vMerge w:val="continue"/>
                  <w:tcBorders>
                    <w:tl2br w:val="nil"/>
                    <w:tr2bl w:val="nil"/>
                  </w:tcBorders>
                  <w:noWrap w:val="0"/>
                  <w:vAlign w:val="center"/>
                </w:tcPr>
                <w:p w14:paraId="149A63E7">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429" w:type="pct"/>
                  <w:tcBorders>
                    <w:tl2br w:val="nil"/>
                    <w:tr2bl w:val="nil"/>
                  </w:tcBorders>
                  <w:noWrap w:val="0"/>
                  <w:vAlign w:val="center"/>
                </w:tcPr>
                <w:p w14:paraId="3CC30670">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15</w:t>
                  </w:r>
                </w:p>
              </w:tc>
              <w:tc>
                <w:tcPr>
                  <w:tcW w:w="421" w:type="pct"/>
                  <w:vMerge w:val="continue"/>
                  <w:tcBorders>
                    <w:tl2br w:val="nil"/>
                    <w:tr2bl w:val="nil"/>
                  </w:tcBorders>
                  <w:noWrap w:val="0"/>
                  <w:vAlign w:val="center"/>
                </w:tcPr>
                <w:p w14:paraId="3767EC6A">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34" w:type="pct"/>
                  <w:vMerge w:val="continue"/>
                  <w:tcBorders>
                    <w:tl2br w:val="nil"/>
                    <w:tr2bl w:val="nil"/>
                  </w:tcBorders>
                  <w:noWrap w:val="0"/>
                  <w:vAlign w:val="center"/>
                </w:tcPr>
                <w:p w14:paraId="440C88B5">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38" w:type="pct"/>
                  <w:vMerge w:val="continue"/>
                  <w:tcBorders>
                    <w:tl2br w:val="nil"/>
                    <w:tr2bl w:val="nil"/>
                  </w:tcBorders>
                  <w:noWrap w:val="0"/>
                  <w:vAlign w:val="center"/>
                </w:tcPr>
                <w:p w14:paraId="7D2A631D">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292" w:type="pct"/>
                  <w:vMerge w:val="continue"/>
                  <w:tcBorders>
                    <w:tl2br w:val="nil"/>
                    <w:tr2bl w:val="nil"/>
                  </w:tcBorders>
                  <w:noWrap w:val="0"/>
                  <w:vAlign w:val="center"/>
                </w:tcPr>
                <w:p w14:paraId="7B6E1F07">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67E2B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continue"/>
                  <w:tcBorders>
                    <w:tl2br w:val="nil"/>
                    <w:tr2bl w:val="nil"/>
                  </w:tcBorders>
                  <w:noWrap w:val="0"/>
                  <w:vAlign w:val="center"/>
                </w:tcPr>
                <w:p w14:paraId="12FE76D7">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5A3AF4E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850" w:type="pct"/>
                  <w:vMerge w:val="continue"/>
                  <w:tcBorders>
                    <w:tl2br w:val="nil"/>
                    <w:tr2bl w:val="nil"/>
                  </w:tcBorders>
                  <w:noWrap w:val="0"/>
                  <w:vAlign w:val="center"/>
                </w:tcPr>
                <w:p w14:paraId="4B24EE4F">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17" w:type="pct"/>
                  <w:tcBorders>
                    <w:tl2br w:val="nil"/>
                    <w:tr2bl w:val="nil"/>
                  </w:tcBorders>
                  <w:noWrap w:val="0"/>
                  <w:vAlign w:val="center"/>
                </w:tcPr>
                <w:p w14:paraId="4C9A430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NH</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-N</w:t>
                  </w:r>
                </w:p>
              </w:tc>
              <w:tc>
                <w:tcPr>
                  <w:tcW w:w="373" w:type="pct"/>
                  <w:vMerge w:val="continue"/>
                  <w:tcBorders>
                    <w:tl2br w:val="nil"/>
                    <w:tr2bl w:val="nil"/>
                  </w:tcBorders>
                  <w:noWrap w:val="0"/>
                  <w:vAlign w:val="center"/>
                </w:tcPr>
                <w:p w14:paraId="5BBAD455">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667" w:type="pct"/>
                  <w:vMerge w:val="continue"/>
                  <w:tcBorders>
                    <w:tl2br w:val="nil"/>
                    <w:tr2bl w:val="nil"/>
                  </w:tcBorders>
                  <w:noWrap w:val="0"/>
                  <w:vAlign w:val="center"/>
                </w:tcPr>
                <w:p w14:paraId="0574AFE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429" w:type="pct"/>
                  <w:tcBorders>
                    <w:tl2br w:val="nil"/>
                    <w:tr2bl w:val="nil"/>
                  </w:tcBorders>
                  <w:noWrap w:val="0"/>
                  <w:vAlign w:val="center"/>
                </w:tcPr>
                <w:p w14:paraId="76997AFF">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10</w:t>
                  </w:r>
                </w:p>
              </w:tc>
              <w:tc>
                <w:tcPr>
                  <w:tcW w:w="421" w:type="pct"/>
                  <w:vMerge w:val="continue"/>
                  <w:tcBorders>
                    <w:tl2br w:val="nil"/>
                    <w:tr2bl w:val="nil"/>
                  </w:tcBorders>
                  <w:noWrap w:val="0"/>
                  <w:vAlign w:val="center"/>
                </w:tcPr>
                <w:p w14:paraId="7B6DA384">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34" w:type="pct"/>
                  <w:vMerge w:val="continue"/>
                  <w:tcBorders>
                    <w:tl2br w:val="nil"/>
                    <w:tr2bl w:val="nil"/>
                  </w:tcBorders>
                  <w:noWrap w:val="0"/>
                  <w:vAlign w:val="center"/>
                </w:tcPr>
                <w:p w14:paraId="4D25BE32">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38" w:type="pct"/>
                  <w:vMerge w:val="continue"/>
                  <w:tcBorders>
                    <w:tl2br w:val="nil"/>
                    <w:tr2bl w:val="nil"/>
                  </w:tcBorders>
                  <w:noWrap w:val="0"/>
                  <w:vAlign w:val="center"/>
                </w:tcPr>
                <w:p w14:paraId="2A5667FD">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292" w:type="pct"/>
                  <w:vMerge w:val="continue"/>
                  <w:tcBorders>
                    <w:tl2br w:val="nil"/>
                    <w:tr2bl w:val="nil"/>
                  </w:tcBorders>
                  <w:noWrap w:val="0"/>
                  <w:vAlign w:val="center"/>
                </w:tcPr>
                <w:p w14:paraId="0D099190">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76CF40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restart"/>
                  <w:tcBorders>
                    <w:tl2br w:val="nil"/>
                    <w:tr2bl w:val="nil"/>
                  </w:tcBorders>
                  <w:noWrap w:val="0"/>
                  <w:vAlign w:val="center"/>
                </w:tcPr>
                <w:p w14:paraId="391B830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2</w:t>
                  </w:r>
                </w:p>
              </w:tc>
              <w:tc>
                <w:tcPr>
                  <w:tcW w:w="328" w:type="pct"/>
                  <w:vMerge w:val="restart"/>
                  <w:tcBorders>
                    <w:tl2br w:val="nil"/>
                    <w:tr2bl w:val="nil"/>
                  </w:tcBorders>
                  <w:noWrap w:val="0"/>
                  <w:vAlign w:val="center"/>
                </w:tcPr>
                <w:p w14:paraId="271116A0">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工艺废水</w:t>
                  </w:r>
                </w:p>
              </w:tc>
              <w:tc>
                <w:tcPr>
                  <w:tcW w:w="850" w:type="pct"/>
                  <w:vMerge w:val="restart"/>
                  <w:tcBorders>
                    <w:tl2br w:val="nil"/>
                    <w:tr2bl w:val="nil"/>
                  </w:tcBorders>
                  <w:noWrap w:val="0"/>
                  <w:vAlign w:val="center"/>
                </w:tcPr>
                <w:p w14:paraId="2D2D564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软水制备系统废水、蒸汽发生器废水、浸泡清洗废水、卤制废水、检验废水、地面冲洗废水、设备冲洗废水以及杀菌废水</w:t>
                  </w:r>
                </w:p>
              </w:tc>
              <w:tc>
                <w:tcPr>
                  <w:tcW w:w="517" w:type="pct"/>
                  <w:tcBorders>
                    <w:tl2br w:val="nil"/>
                    <w:tr2bl w:val="nil"/>
                  </w:tcBorders>
                  <w:noWrap w:val="0"/>
                  <w:vAlign w:val="center"/>
                </w:tcPr>
                <w:p w14:paraId="7EDCAA31">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pH</w:t>
                  </w:r>
                </w:p>
              </w:tc>
              <w:tc>
                <w:tcPr>
                  <w:tcW w:w="373" w:type="pct"/>
                  <w:vMerge w:val="restart"/>
                  <w:tcBorders>
                    <w:tl2br w:val="nil"/>
                    <w:tr2bl w:val="nil"/>
                  </w:tcBorders>
                  <w:noWrap w:val="0"/>
                  <w:vAlign w:val="center"/>
                </w:tcPr>
                <w:p w14:paraId="5D6B1F06">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38.47</w:t>
                  </w:r>
                </w:p>
              </w:tc>
              <w:tc>
                <w:tcPr>
                  <w:tcW w:w="667" w:type="pct"/>
                  <w:vMerge w:val="restart"/>
                  <w:tcBorders>
                    <w:tl2br w:val="nil"/>
                    <w:tr2bl w:val="nil"/>
                  </w:tcBorders>
                  <w:noWrap w:val="0"/>
                  <w:vAlign w:val="center"/>
                </w:tcPr>
                <w:p w14:paraId="76BDCF52">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格栅+沉淀+调节+破乳+絮凝+气浮+A/O+沉淀</w:t>
                  </w:r>
                </w:p>
              </w:tc>
              <w:tc>
                <w:tcPr>
                  <w:tcW w:w="429" w:type="pct"/>
                  <w:tcBorders>
                    <w:tl2br w:val="nil"/>
                    <w:tr2bl w:val="nil"/>
                  </w:tcBorders>
                  <w:noWrap w:val="0"/>
                  <w:vAlign w:val="center"/>
                </w:tcPr>
                <w:p w14:paraId="24721E60">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w:t>
                  </w:r>
                </w:p>
              </w:tc>
              <w:tc>
                <w:tcPr>
                  <w:tcW w:w="421" w:type="pct"/>
                  <w:vMerge w:val="restart"/>
                  <w:tcBorders>
                    <w:tl2br w:val="nil"/>
                    <w:tr2bl w:val="nil"/>
                  </w:tcBorders>
                  <w:noWrap w:val="0"/>
                  <w:vAlign w:val="center"/>
                </w:tcPr>
                <w:p w14:paraId="28B22579">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是</w:t>
                  </w:r>
                </w:p>
              </w:tc>
              <w:tc>
                <w:tcPr>
                  <w:tcW w:w="334" w:type="pct"/>
                  <w:vMerge w:val="restart"/>
                  <w:tcBorders>
                    <w:tl2br w:val="nil"/>
                    <w:tr2bl w:val="nil"/>
                  </w:tcBorders>
                  <w:noWrap w:val="0"/>
                  <w:vAlign w:val="center"/>
                </w:tcPr>
                <w:p w14:paraId="62E28FC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间接排放</w:t>
                  </w:r>
                </w:p>
              </w:tc>
              <w:tc>
                <w:tcPr>
                  <w:tcW w:w="538" w:type="pct"/>
                  <w:vMerge w:val="restart"/>
                  <w:tcBorders>
                    <w:tl2br w:val="nil"/>
                    <w:tr2bl w:val="nil"/>
                  </w:tcBorders>
                  <w:noWrap w:val="0"/>
                  <w:vAlign w:val="center"/>
                </w:tcPr>
                <w:p w14:paraId="438EBF5F">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魏县经济开发区污水处理有限公司</w:t>
                  </w:r>
                </w:p>
              </w:tc>
              <w:tc>
                <w:tcPr>
                  <w:tcW w:w="292" w:type="pct"/>
                  <w:vMerge w:val="restart"/>
                  <w:tcBorders>
                    <w:tl2br w:val="nil"/>
                    <w:tr2bl w:val="nil"/>
                  </w:tcBorders>
                  <w:noWrap w:val="0"/>
                  <w:vAlign w:val="center"/>
                </w:tcPr>
                <w:p w14:paraId="372F4B2D">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r>
            <w:tr w14:paraId="280DAA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continue"/>
                  <w:tcBorders>
                    <w:tl2br w:val="nil"/>
                    <w:tr2bl w:val="nil"/>
                  </w:tcBorders>
                  <w:noWrap w:val="0"/>
                  <w:vAlign w:val="center"/>
                </w:tcPr>
                <w:p w14:paraId="56147D86">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140F202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850" w:type="pct"/>
                  <w:vMerge w:val="continue"/>
                  <w:tcBorders>
                    <w:tl2br w:val="nil"/>
                    <w:tr2bl w:val="nil"/>
                  </w:tcBorders>
                  <w:noWrap w:val="0"/>
                  <w:vAlign w:val="center"/>
                </w:tcPr>
                <w:p w14:paraId="44738B7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17" w:type="pct"/>
                  <w:tcBorders>
                    <w:tl2br w:val="nil"/>
                    <w:tr2bl w:val="nil"/>
                  </w:tcBorders>
                  <w:noWrap w:val="0"/>
                  <w:vAlign w:val="center"/>
                </w:tcPr>
                <w:p w14:paraId="357F5A27">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COD</w:t>
                  </w:r>
                </w:p>
              </w:tc>
              <w:tc>
                <w:tcPr>
                  <w:tcW w:w="373" w:type="pct"/>
                  <w:vMerge w:val="continue"/>
                  <w:tcBorders>
                    <w:tl2br w:val="nil"/>
                    <w:tr2bl w:val="nil"/>
                  </w:tcBorders>
                  <w:noWrap w:val="0"/>
                  <w:vAlign w:val="center"/>
                </w:tcPr>
                <w:p w14:paraId="0FCCC502">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667" w:type="pct"/>
                  <w:vMerge w:val="continue"/>
                  <w:tcBorders>
                    <w:tl2br w:val="nil"/>
                    <w:tr2bl w:val="nil"/>
                  </w:tcBorders>
                  <w:noWrap w:val="0"/>
                  <w:vAlign w:val="center"/>
                </w:tcPr>
                <w:p w14:paraId="60F7459C">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429" w:type="pct"/>
                  <w:tcBorders>
                    <w:tl2br w:val="nil"/>
                    <w:tr2bl w:val="nil"/>
                  </w:tcBorders>
                  <w:noWrap w:val="0"/>
                  <w:vAlign w:val="center"/>
                </w:tcPr>
                <w:p w14:paraId="3E32EEA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89.2</w:t>
                  </w:r>
                </w:p>
              </w:tc>
              <w:tc>
                <w:tcPr>
                  <w:tcW w:w="421" w:type="pct"/>
                  <w:vMerge w:val="continue"/>
                  <w:tcBorders>
                    <w:tl2br w:val="nil"/>
                    <w:tr2bl w:val="nil"/>
                  </w:tcBorders>
                  <w:noWrap w:val="0"/>
                  <w:vAlign w:val="center"/>
                </w:tcPr>
                <w:p w14:paraId="5BE11A66">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34" w:type="pct"/>
                  <w:vMerge w:val="continue"/>
                  <w:tcBorders>
                    <w:tl2br w:val="nil"/>
                    <w:tr2bl w:val="nil"/>
                  </w:tcBorders>
                  <w:noWrap w:val="0"/>
                  <w:vAlign w:val="center"/>
                </w:tcPr>
                <w:p w14:paraId="07DBEF22">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38" w:type="pct"/>
                  <w:vMerge w:val="continue"/>
                  <w:tcBorders>
                    <w:tl2br w:val="nil"/>
                    <w:tr2bl w:val="nil"/>
                  </w:tcBorders>
                  <w:noWrap w:val="0"/>
                  <w:vAlign w:val="center"/>
                </w:tcPr>
                <w:p w14:paraId="1FB4014F">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292" w:type="pct"/>
                  <w:vMerge w:val="continue"/>
                  <w:tcBorders>
                    <w:tl2br w:val="nil"/>
                    <w:tr2bl w:val="nil"/>
                  </w:tcBorders>
                  <w:noWrap w:val="0"/>
                  <w:vAlign w:val="center"/>
                </w:tcPr>
                <w:p w14:paraId="096664E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7E82BE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continue"/>
                  <w:tcBorders>
                    <w:tl2br w:val="nil"/>
                    <w:tr2bl w:val="nil"/>
                  </w:tcBorders>
                  <w:noWrap w:val="0"/>
                  <w:vAlign w:val="center"/>
                </w:tcPr>
                <w:p w14:paraId="3F335215">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0EB7BAA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850" w:type="pct"/>
                  <w:vMerge w:val="continue"/>
                  <w:tcBorders>
                    <w:tl2br w:val="nil"/>
                    <w:tr2bl w:val="nil"/>
                  </w:tcBorders>
                  <w:noWrap w:val="0"/>
                  <w:vAlign w:val="center"/>
                </w:tcPr>
                <w:p w14:paraId="6F37CEA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17" w:type="pct"/>
                  <w:tcBorders>
                    <w:tl2br w:val="nil"/>
                    <w:tr2bl w:val="nil"/>
                  </w:tcBorders>
                  <w:noWrap w:val="0"/>
                  <w:vAlign w:val="center"/>
                </w:tcPr>
                <w:p w14:paraId="5E7DB6BA">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BOD</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5</w:t>
                  </w:r>
                </w:p>
              </w:tc>
              <w:tc>
                <w:tcPr>
                  <w:tcW w:w="373" w:type="pct"/>
                  <w:vMerge w:val="continue"/>
                  <w:tcBorders>
                    <w:tl2br w:val="nil"/>
                    <w:tr2bl w:val="nil"/>
                  </w:tcBorders>
                  <w:noWrap w:val="0"/>
                  <w:vAlign w:val="center"/>
                </w:tcPr>
                <w:p w14:paraId="4454028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667" w:type="pct"/>
                  <w:vMerge w:val="continue"/>
                  <w:tcBorders>
                    <w:tl2br w:val="nil"/>
                    <w:tr2bl w:val="nil"/>
                  </w:tcBorders>
                  <w:noWrap w:val="0"/>
                  <w:vAlign w:val="center"/>
                </w:tcPr>
                <w:p w14:paraId="7775D849">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429" w:type="pct"/>
                  <w:tcBorders>
                    <w:tl2br w:val="nil"/>
                    <w:tr2bl w:val="nil"/>
                  </w:tcBorders>
                  <w:noWrap w:val="0"/>
                  <w:vAlign w:val="center"/>
                </w:tcPr>
                <w:p w14:paraId="42E06E1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89.2</w:t>
                  </w:r>
                </w:p>
              </w:tc>
              <w:tc>
                <w:tcPr>
                  <w:tcW w:w="421" w:type="pct"/>
                  <w:vMerge w:val="continue"/>
                  <w:tcBorders>
                    <w:tl2br w:val="nil"/>
                    <w:tr2bl w:val="nil"/>
                  </w:tcBorders>
                  <w:noWrap w:val="0"/>
                  <w:vAlign w:val="center"/>
                </w:tcPr>
                <w:p w14:paraId="0053EC02">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34" w:type="pct"/>
                  <w:vMerge w:val="continue"/>
                  <w:tcBorders>
                    <w:tl2br w:val="nil"/>
                    <w:tr2bl w:val="nil"/>
                  </w:tcBorders>
                  <w:noWrap w:val="0"/>
                  <w:vAlign w:val="center"/>
                </w:tcPr>
                <w:p w14:paraId="1930A5CE">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38" w:type="pct"/>
                  <w:vMerge w:val="continue"/>
                  <w:tcBorders>
                    <w:tl2br w:val="nil"/>
                    <w:tr2bl w:val="nil"/>
                  </w:tcBorders>
                  <w:noWrap w:val="0"/>
                  <w:vAlign w:val="center"/>
                </w:tcPr>
                <w:p w14:paraId="7CDD76C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292" w:type="pct"/>
                  <w:vMerge w:val="continue"/>
                  <w:tcBorders>
                    <w:tl2br w:val="nil"/>
                    <w:tr2bl w:val="nil"/>
                  </w:tcBorders>
                  <w:noWrap w:val="0"/>
                  <w:vAlign w:val="center"/>
                </w:tcPr>
                <w:p w14:paraId="43B8CC19">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0176CF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continue"/>
                  <w:tcBorders>
                    <w:tl2br w:val="nil"/>
                    <w:tr2bl w:val="nil"/>
                  </w:tcBorders>
                  <w:noWrap w:val="0"/>
                  <w:vAlign w:val="center"/>
                </w:tcPr>
                <w:p w14:paraId="5FA79F8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04A586D9">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850" w:type="pct"/>
                  <w:vMerge w:val="continue"/>
                  <w:tcBorders>
                    <w:tl2br w:val="nil"/>
                    <w:tr2bl w:val="nil"/>
                  </w:tcBorders>
                  <w:noWrap w:val="0"/>
                  <w:vAlign w:val="center"/>
                </w:tcPr>
                <w:p w14:paraId="262C9A19">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17" w:type="pct"/>
                  <w:tcBorders>
                    <w:tl2br w:val="nil"/>
                    <w:tr2bl w:val="nil"/>
                  </w:tcBorders>
                  <w:noWrap w:val="0"/>
                  <w:vAlign w:val="center"/>
                </w:tcPr>
                <w:p w14:paraId="0D386746">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SS</w:t>
                  </w:r>
                </w:p>
              </w:tc>
              <w:tc>
                <w:tcPr>
                  <w:tcW w:w="373" w:type="pct"/>
                  <w:vMerge w:val="continue"/>
                  <w:tcBorders>
                    <w:tl2br w:val="nil"/>
                    <w:tr2bl w:val="nil"/>
                  </w:tcBorders>
                  <w:noWrap w:val="0"/>
                  <w:vAlign w:val="center"/>
                </w:tcPr>
                <w:p w14:paraId="30A49C59">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667" w:type="pct"/>
                  <w:vMerge w:val="continue"/>
                  <w:tcBorders>
                    <w:tl2br w:val="nil"/>
                    <w:tr2bl w:val="nil"/>
                  </w:tcBorders>
                  <w:noWrap w:val="0"/>
                  <w:vAlign w:val="center"/>
                </w:tcPr>
                <w:p w14:paraId="1914ED4A">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429" w:type="pct"/>
                  <w:tcBorders>
                    <w:tl2br w:val="nil"/>
                    <w:tr2bl w:val="nil"/>
                  </w:tcBorders>
                  <w:noWrap w:val="0"/>
                  <w:vAlign w:val="center"/>
                </w:tcPr>
                <w:p w14:paraId="51A30AE5">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95</w:t>
                  </w:r>
                </w:p>
              </w:tc>
              <w:tc>
                <w:tcPr>
                  <w:tcW w:w="421" w:type="pct"/>
                  <w:vMerge w:val="continue"/>
                  <w:tcBorders>
                    <w:tl2br w:val="nil"/>
                    <w:tr2bl w:val="nil"/>
                  </w:tcBorders>
                  <w:noWrap w:val="0"/>
                  <w:vAlign w:val="center"/>
                </w:tcPr>
                <w:p w14:paraId="1E775750">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34" w:type="pct"/>
                  <w:vMerge w:val="continue"/>
                  <w:tcBorders>
                    <w:tl2br w:val="nil"/>
                    <w:tr2bl w:val="nil"/>
                  </w:tcBorders>
                  <w:noWrap w:val="0"/>
                  <w:vAlign w:val="center"/>
                </w:tcPr>
                <w:p w14:paraId="64D69E79">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38" w:type="pct"/>
                  <w:vMerge w:val="continue"/>
                  <w:tcBorders>
                    <w:tl2br w:val="nil"/>
                    <w:tr2bl w:val="nil"/>
                  </w:tcBorders>
                  <w:noWrap w:val="0"/>
                  <w:vAlign w:val="center"/>
                </w:tcPr>
                <w:p w14:paraId="76E81C54">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292" w:type="pct"/>
                  <w:vMerge w:val="continue"/>
                  <w:tcBorders>
                    <w:tl2br w:val="nil"/>
                    <w:tr2bl w:val="nil"/>
                  </w:tcBorders>
                  <w:noWrap w:val="0"/>
                  <w:vAlign w:val="center"/>
                </w:tcPr>
                <w:p w14:paraId="01E3D4FD">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0075C5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continue"/>
                  <w:tcBorders>
                    <w:tl2br w:val="nil"/>
                    <w:tr2bl w:val="nil"/>
                  </w:tcBorders>
                  <w:noWrap w:val="0"/>
                  <w:vAlign w:val="center"/>
                </w:tcPr>
                <w:p w14:paraId="77390419">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5F901BEF">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850" w:type="pct"/>
                  <w:vMerge w:val="continue"/>
                  <w:tcBorders>
                    <w:tl2br w:val="nil"/>
                    <w:tr2bl w:val="nil"/>
                  </w:tcBorders>
                  <w:noWrap w:val="0"/>
                  <w:vAlign w:val="center"/>
                </w:tcPr>
                <w:p w14:paraId="185C2E8A">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17" w:type="pct"/>
                  <w:tcBorders>
                    <w:tl2br w:val="nil"/>
                    <w:tr2bl w:val="nil"/>
                  </w:tcBorders>
                  <w:noWrap w:val="0"/>
                  <w:vAlign w:val="center"/>
                </w:tcPr>
                <w:p w14:paraId="16480AF6">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NH</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-N</w:t>
                  </w:r>
                </w:p>
              </w:tc>
              <w:tc>
                <w:tcPr>
                  <w:tcW w:w="373" w:type="pct"/>
                  <w:vMerge w:val="continue"/>
                  <w:tcBorders>
                    <w:tl2br w:val="nil"/>
                    <w:tr2bl w:val="nil"/>
                  </w:tcBorders>
                  <w:noWrap w:val="0"/>
                  <w:vAlign w:val="center"/>
                </w:tcPr>
                <w:p w14:paraId="1A2EEA2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667" w:type="pct"/>
                  <w:vMerge w:val="continue"/>
                  <w:tcBorders>
                    <w:tl2br w:val="nil"/>
                    <w:tr2bl w:val="nil"/>
                  </w:tcBorders>
                  <w:noWrap w:val="0"/>
                  <w:vAlign w:val="center"/>
                </w:tcPr>
                <w:p w14:paraId="1D04FD72">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429" w:type="pct"/>
                  <w:tcBorders>
                    <w:tl2br w:val="nil"/>
                    <w:tr2bl w:val="nil"/>
                  </w:tcBorders>
                  <w:noWrap w:val="0"/>
                  <w:vAlign w:val="center"/>
                </w:tcPr>
                <w:p w14:paraId="78228EA0">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80</w:t>
                  </w:r>
                </w:p>
              </w:tc>
              <w:tc>
                <w:tcPr>
                  <w:tcW w:w="421" w:type="pct"/>
                  <w:vMerge w:val="continue"/>
                  <w:tcBorders>
                    <w:tl2br w:val="nil"/>
                    <w:tr2bl w:val="nil"/>
                  </w:tcBorders>
                  <w:noWrap w:val="0"/>
                  <w:vAlign w:val="center"/>
                </w:tcPr>
                <w:p w14:paraId="09F7073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34" w:type="pct"/>
                  <w:vMerge w:val="continue"/>
                  <w:tcBorders>
                    <w:tl2br w:val="nil"/>
                    <w:tr2bl w:val="nil"/>
                  </w:tcBorders>
                  <w:noWrap w:val="0"/>
                  <w:vAlign w:val="center"/>
                </w:tcPr>
                <w:p w14:paraId="6F240CE5">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38" w:type="pct"/>
                  <w:vMerge w:val="continue"/>
                  <w:tcBorders>
                    <w:tl2br w:val="nil"/>
                    <w:tr2bl w:val="nil"/>
                  </w:tcBorders>
                  <w:noWrap w:val="0"/>
                  <w:vAlign w:val="center"/>
                </w:tcPr>
                <w:p w14:paraId="341A97DB">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292" w:type="pct"/>
                  <w:vMerge w:val="continue"/>
                  <w:tcBorders>
                    <w:tl2br w:val="nil"/>
                    <w:tr2bl w:val="nil"/>
                  </w:tcBorders>
                  <w:noWrap w:val="0"/>
                  <w:vAlign w:val="center"/>
                </w:tcPr>
                <w:p w14:paraId="58BCF68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2BCD40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 w:type="pct"/>
                  <w:vMerge w:val="continue"/>
                  <w:tcBorders>
                    <w:tl2br w:val="nil"/>
                    <w:tr2bl w:val="nil"/>
                  </w:tcBorders>
                  <w:noWrap w:val="0"/>
                  <w:vAlign w:val="center"/>
                </w:tcPr>
                <w:p w14:paraId="10D77D8D">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48FB625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850" w:type="pct"/>
                  <w:vMerge w:val="continue"/>
                  <w:tcBorders>
                    <w:tl2br w:val="nil"/>
                    <w:tr2bl w:val="nil"/>
                  </w:tcBorders>
                  <w:noWrap w:val="0"/>
                  <w:vAlign w:val="center"/>
                </w:tcPr>
                <w:p w14:paraId="35F06EA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17" w:type="pct"/>
                  <w:tcBorders>
                    <w:tl2br w:val="nil"/>
                    <w:tr2bl w:val="nil"/>
                  </w:tcBorders>
                  <w:noWrap w:val="0"/>
                  <w:vAlign w:val="center"/>
                </w:tcPr>
                <w:p w14:paraId="43DF599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动植物油</w:t>
                  </w:r>
                </w:p>
              </w:tc>
              <w:tc>
                <w:tcPr>
                  <w:tcW w:w="373" w:type="pct"/>
                  <w:vMerge w:val="continue"/>
                  <w:tcBorders>
                    <w:tl2br w:val="nil"/>
                    <w:tr2bl w:val="nil"/>
                  </w:tcBorders>
                  <w:noWrap w:val="0"/>
                  <w:vAlign w:val="center"/>
                </w:tcPr>
                <w:p w14:paraId="24B854C8">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667" w:type="pct"/>
                  <w:vMerge w:val="continue"/>
                  <w:tcBorders>
                    <w:tl2br w:val="nil"/>
                    <w:tr2bl w:val="nil"/>
                  </w:tcBorders>
                  <w:noWrap w:val="0"/>
                  <w:vAlign w:val="center"/>
                </w:tcPr>
                <w:p w14:paraId="0A921EA1">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p>
              </w:tc>
              <w:tc>
                <w:tcPr>
                  <w:tcW w:w="429" w:type="pct"/>
                  <w:tcBorders>
                    <w:tl2br w:val="nil"/>
                    <w:tr2bl w:val="nil"/>
                  </w:tcBorders>
                  <w:noWrap w:val="0"/>
                  <w:vAlign w:val="center"/>
                </w:tcPr>
                <w:p w14:paraId="5968708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89.5</w:t>
                  </w:r>
                </w:p>
              </w:tc>
              <w:tc>
                <w:tcPr>
                  <w:tcW w:w="421" w:type="pct"/>
                  <w:vMerge w:val="continue"/>
                  <w:tcBorders>
                    <w:tl2br w:val="nil"/>
                    <w:tr2bl w:val="nil"/>
                  </w:tcBorders>
                  <w:noWrap w:val="0"/>
                  <w:vAlign w:val="center"/>
                </w:tcPr>
                <w:p w14:paraId="662D86B0">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334" w:type="pct"/>
                  <w:vMerge w:val="continue"/>
                  <w:tcBorders>
                    <w:tl2br w:val="nil"/>
                    <w:tr2bl w:val="nil"/>
                  </w:tcBorders>
                  <w:noWrap w:val="0"/>
                  <w:vAlign w:val="center"/>
                </w:tcPr>
                <w:p w14:paraId="48CC9EE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538" w:type="pct"/>
                  <w:vMerge w:val="continue"/>
                  <w:tcBorders>
                    <w:tl2br w:val="nil"/>
                    <w:tr2bl w:val="nil"/>
                  </w:tcBorders>
                  <w:noWrap w:val="0"/>
                  <w:vAlign w:val="center"/>
                </w:tcPr>
                <w:p w14:paraId="52478C9E">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292" w:type="pct"/>
                  <w:vMerge w:val="continue"/>
                  <w:tcBorders>
                    <w:tl2br w:val="nil"/>
                    <w:tr2bl w:val="nil"/>
                  </w:tcBorders>
                  <w:noWrap w:val="0"/>
                  <w:vAlign w:val="center"/>
                </w:tcPr>
                <w:p w14:paraId="154A8513">
                  <w:pPr>
                    <w:keepNext w:val="0"/>
                    <w:keepLines w:val="0"/>
                    <w:pageBreakBefore w:val="0"/>
                    <w:widowControl w:val="0"/>
                    <w:suppressLineNumbers w:val="0"/>
                    <w:wordWrap/>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bl>
          <w:p w14:paraId="55866E47">
            <w:pPr>
              <w:pStyle w:val="107"/>
              <w:keepNext w:val="0"/>
              <w:keepLines w:val="0"/>
              <w:suppressLineNumbers w:val="0"/>
              <w:spacing w:before="0" w:beforeAutospacing="0" w:after="0" w:afterAutospacing="0" w:line="500" w:lineRule="exact"/>
              <w:ind w:left="0" w:right="0"/>
              <w:jc w:val="center"/>
              <w:rPr>
                <w:rFonts w:hint="default" w:ascii="Times New Roman" w:hAnsi="Times New Roman" w:eastAsia="宋体" w:cs="Times New Roman"/>
                <w:b/>
                <w:color w:val="000000" w:themeColor="text1"/>
                <w:sz w:val="24"/>
                <w:szCs w:val="21"/>
                <w:highlight w:val="none"/>
                <w14:textFill>
                  <w14:solidFill>
                    <w14:schemeClr w14:val="tx1"/>
                  </w14:solidFill>
                </w14:textFill>
              </w:rPr>
            </w:pPr>
            <w:r>
              <w:rPr>
                <w:rFonts w:hint="default" w:ascii="Times New Roman" w:hAnsi="Times New Roman" w:eastAsia="宋体" w:cs="Times New Roman"/>
                <w:b/>
                <w:color w:val="000000" w:themeColor="text1"/>
                <w:sz w:val="24"/>
                <w:szCs w:val="21"/>
                <w:highlight w:val="none"/>
                <w14:textFill>
                  <w14:solidFill>
                    <w14:schemeClr w14:val="tx1"/>
                  </w14:solidFill>
                </w14:textFill>
              </w:rPr>
              <w:t>表</w:t>
            </w:r>
            <w:r>
              <w:rPr>
                <w:rFonts w:hint="default" w:ascii="Times New Roman" w:hAnsi="Times New Roman" w:eastAsia="宋体" w:cs="Times New Roman"/>
                <w:b/>
                <w:color w:val="000000" w:themeColor="text1"/>
                <w:sz w:val="24"/>
                <w:szCs w:val="21"/>
                <w:highlight w:val="none"/>
                <w:lang w:val="en-US" w:eastAsia="zh-CN"/>
                <w14:textFill>
                  <w14:solidFill>
                    <w14:schemeClr w14:val="tx1"/>
                  </w14:solidFill>
                </w14:textFill>
              </w:rPr>
              <w:t>4-</w:t>
            </w:r>
            <w:r>
              <w:rPr>
                <w:rFonts w:hint="eastAsia" w:cs="Times New Roman"/>
                <w:b/>
                <w:color w:val="000000" w:themeColor="text1"/>
                <w:sz w:val="24"/>
                <w:szCs w:val="21"/>
                <w:highlight w:val="none"/>
                <w:lang w:val="en-US" w:eastAsia="zh-CN"/>
                <w14:textFill>
                  <w14:solidFill>
                    <w14:schemeClr w14:val="tx1"/>
                  </w14:solidFill>
                </w14:textFill>
              </w:rPr>
              <w:t>9</w:t>
            </w:r>
            <w:r>
              <w:rPr>
                <w:rFonts w:hint="default" w:ascii="Times New Roman" w:hAnsi="Times New Roman" w:eastAsia="宋体" w:cs="Times New Roman"/>
                <w:b/>
                <w:color w:val="000000" w:themeColor="text1"/>
                <w:sz w:val="24"/>
                <w:szCs w:val="21"/>
                <w:highlight w:val="none"/>
                <w14:textFill>
                  <w14:solidFill>
                    <w14:schemeClr w14:val="tx1"/>
                  </w14:solidFill>
                </w14:textFill>
              </w:rPr>
              <w:t xml:space="preserve">  废水污染源强核算结果一览表</w:t>
            </w:r>
          </w:p>
          <w:tbl>
            <w:tblPr>
              <w:tblStyle w:val="33"/>
              <w:tblW w:w="8640" w:type="dxa"/>
              <w:tblInd w:w="-13"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80"/>
              <w:gridCol w:w="996"/>
              <w:gridCol w:w="942"/>
              <w:gridCol w:w="1302"/>
              <w:gridCol w:w="1080"/>
              <w:gridCol w:w="1080"/>
              <w:gridCol w:w="1080"/>
              <w:gridCol w:w="1080"/>
            </w:tblGrid>
            <w:tr w14:paraId="7FFD68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080" w:type="dxa"/>
                  <w:vMerge w:val="restart"/>
                  <w:tcBorders>
                    <w:tl2br w:val="nil"/>
                    <w:tr2bl w:val="nil"/>
                  </w:tcBorders>
                  <w:shd w:val="clear" w:color="auto" w:fill="auto"/>
                  <w:vAlign w:val="center"/>
                </w:tcPr>
                <w:p w14:paraId="0632C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废水类别</w:t>
                  </w:r>
                </w:p>
              </w:tc>
              <w:tc>
                <w:tcPr>
                  <w:tcW w:w="996" w:type="dxa"/>
                  <w:vMerge w:val="restart"/>
                  <w:tcBorders>
                    <w:tl2br w:val="nil"/>
                    <w:tr2bl w:val="nil"/>
                  </w:tcBorders>
                  <w:shd w:val="clear" w:color="auto" w:fill="auto"/>
                  <w:vAlign w:val="center"/>
                </w:tcPr>
                <w:p w14:paraId="02B8F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污物</w:t>
                  </w:r>
                </w:p>
                <w:p w14:paraId="73A9C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种类</w:t>
                  </w:r>
                </w:p>
              </w:tc>
              <w:tc>
                <w:tcPr>
                  <w:tcW w:w="942" w:type="dxa"/>
                  <w:vMerge w:val="restart"/>
                  <w:tcBorders>
                    <w:tl2br w:val="nil"/>
                    <w:tr2bl w:val="nil"/>
                  </w:tcBorders>
                  <w:shd w:val="clear" w:color="auto" w:fill="auto"/>
                  <w:vAlign w:val="center"/>
                </w:tcPr>
                <w:p w14:paraId="5E68E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废水</w:t>
                  </w:r>
                  <w:r>
                    <w:rPr>
                      <w:rFonts w:hint="eastAsia" w:ascii="宋体" w:hAnsi="宋体" w:eastAsia="宋体" w:cs="宋体"/>
                      <w:b/>
                      <w:bCs/>
                      <w:i w:val="0"/>
                      <w:iCs w:val="0"/>
                      <w:color w:val="000000"/>
                      <w:kern w:val="0"/>
                      <w:sz w:val="21"/>
                      <w:szCs w:val="21"/>
                      <w:u w:val="none"/>
                      <w:lang w:val="en-US" w:eastAsia="zh-CN" w:bidi="ar"/>
                    </w:rPr>
                    <w:t>量</w:t>
                  </w:r>
                  <w:r>
                    <w:rPr>
                      <w:rFonts w:hint="default" w:ascii="Times New Roman" w:hAnsi="Times New Roman" w:eastAsia="宋体" w:cs="Times New Roman"/>
                      <w:b/>
                      <w:bCs/>
                      <w:i w:val="0"/>
                      <w:iCs w:val="0"/>
                      <w:color w:val="000000"/>
                      <w:kern w:val="0"/>
                      <w:sz w:val="21"/>
                      <w:szCs w:val="21"/>
                      <w:u w:val="none"/>
                      <w:lang w:val="en-US" w:eastAsia="zh-CN" w:bidi="ar"/>
                    </w:rPr>
                    <w:t>(m³/a)</w:t>
                  </w:r>
                </w:p>
              </w:tc>
              <w:tc>
                <w:tcPr>
                  <w:tcW w:w="1302" w:type="dxa"/>
                  <w:vMerge w:val="restart"/>
                  <w:tcBorders>
                    <w:tl2br w:val="nil"/>
                    <w:tr2bl w:val="nil"/>
                  </w:tcBorders>
                  <w:shd w:val="clear" w:color="auto" w:fill="auto"/>
                  <w:vAlign w:val="center"/>
                </w:tcPr>
                <w:p w14:paraId="37529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产生浓度</w:t>
                  </w:r>
                </w:p>
                <w:p w14:paraId="05B93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(mg/L)</w:t>
                  </w:r>
                </w:p>
                <w:p w14:paraId="4E959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pH</w:t>
                  </w:r>
                  <w:r>
                    <w:rPr>
                      <w:rFonts w:hint="eastAsia" w:ascii="宋体" w:hAnsi="宋体" w:eastAsia="宋体" w:cs="宋体"/>
                      <w:b/>
                      <w:bCs/>
                      <w:i w:val="0"/>
                      <w:iCs w:val="0"/>
                      <w:color w:val="000000"/>
                      <w:kern w:val="0"/>
                      <w:sz w:val="21"/>
                      <w:szCs w:val="21"/>
                      <w:u w:val="none"/>
                      <w:lang w:val="en-US" w:eastAsia="zh-CN" w:bidi="ar"/>
                    </w:rPr>
                    <w:t>无量纲</w:t>
                  </w:r>
                </w:p>
              </w:tc>
              <w:tc>
                <w:tcPr>
                  <w:tcW w:w="1080" w:type="dxa"/>
                  <w:vMerge w:val="restart"/>
                  <w:tcBorders>
                    <w:tl2br w:val="nil"/>
                    <w:tr2bl w:val="nil"/>
                  </w:tcBorders>
                  <w:shd w:val="clear" w:color="auto" w:fill="auto"/>
                  <w:vAlign w:val="center"/>
                </w:tcPr>
                <w:p w14:paraId="188F1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产生量</w:t>
                  </w:r>
                  <w:r>
                    <w:rPr>
                      <w:rFonts w:hint="default" w:ascii="Times New Roman" w:hAnsi="Times New Roman" w:eastAsia="宋体" w:cs="Times New Roman"/>
                      <w:b/>
                      <w:bCs/>
                      <w:i w:val="0"/>
                      <w:iCs w:val="0"/>
                      <w:color w:val="000000"/>
                      <w:kern w:val="0"/>
                      <w:sz w:val="21"/>
                      <w:szCs w:val="21"/>
                      <w:u w:val="none"/>
                      <w:lang w:val="en-US" w:eastAsia="zh-CN" w:bidi="ar"/>
                    </w:rPr>
                    <w:t>(t/a)</w:t>
                  </w:r>
                </w:p>
              </w:tc>
              <w:tc>
                <w:tcPr>
                  <w:tcW w:w="1080" w:type="dxa"/>
                  <w:tcBorders>
                    <w:tl2br w:val="nil"/>
                    <w:tr2bl w:val="nil"/>
                  </w:tcBorders>
                  <w:shd w:val="clear" w:color="auto" w:fill="auto"/>
                  <w:vAlign w:val="center"/>
                </w:tcPr>
                <w:p w14:paraId="63D61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排放量</w:t>
                  </w:r>
                </w:p>
              </w:tc>
              <w:tc>
                <w:tcPr>
                  <w:tcW w:w="1080" w:type="dxa"/>
                  <w:tcBorders>
                    <w:tl2br w:val="nil"/>
                    <w:tr2bl w:val="nil"/>
                  </w:tcBorders>
                  <w:shd w:val="clear" w:color="auto" w:fill="auto"/>
                  <w:vAlign w:val="center"/>
                </w:tcPr>
                <w:p w14:paraId="13042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排放浓度</w:t>
                  </w:r>
                </w:p>
              </w:tc>
              <w:tc>
                <w:tcPr>
                  <w:tcW w:w="1080" w:type="dxa"/>
                  <w:tcBorders>
                    <w:tl2br w:val="nil"/>
                    <w:tr2bl w:val="nil"/>
                  </w:tcBorders>
                  <w:shd w:val="clear" w:color="auto" w:fill="auto"/>
                  <w:vAlign w:val="center"/>
                </w:tcPr>
                <w:p w14:paraId="33521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年排放量</w:t>
                  </w:r>
                </w:p>
              </w:tc>
            </w:tr>
            <w:tr w14:paraId="2F0703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71634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b/>
                      <w:bCs/>
                      <w:i w:val="0"/>
                      <w:iCs w:val="0"/>
                      <w:color w:val="000000"/>
                      <w:sz w:val="21"/>
                      <w:szCs w:val="21"/>
                      <w:u w:val="none"/>
                    </w:rPr>
                  </w:pPr>
                </w:p>
              </w:tc>
              <w:tc>
                <w:tcPr>
                  <w:tcW w:w="996" w:type="dxa"/>
                  <w:vMerge w:val="continue"/>
                  <w:tcBorders>
                    <w:tl2br w:val="nil"/>
                    <w:tr2bl w:val="nil"/>
                  </w:tcBorders>
                  <w:shd w:val="clear" w:color="auto" w:fill="auto"/>
                  <w:vAlign w:val="center"/>
                </w:tcPr>
                <w:p w14:paraId="38BB7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b/>
                      <w:bCs/>
                      <w:i w:val="0"/>
                      <w:iCs w:val="0"/>
                      <w:color w:val="000000"/>
                      <w:sz w:val="21"/>
                      <w:szCs w:val="21"/>
                      <w:u w:val="none"/>
                    </w:rPr>
                  </w:pPr>
                </w:p>
              </w:tc>
              <w:tc>
                <w:tcPr>
                  <w:tcW w:w="942" w:type="dxa"/>
                  <w:vMerge w:val="continue"/>
                  <w:tcBorders>
                    <w:tl2br w:val="nil"/>
                    <w:tr2bl w:val="nil"/>
                  </w:tcBorders>
                  <w:shd w:val="clear" w:color="auto" w:fill="auto"/>
                  <w:vAlign w:val="center"/>
                </w:tcPr>
                <w:p w14:paraId="63B45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b/>
                      <w:bCs/>
                      <w:i w:val="0"/>
                      <w:iCs w:val="0"/>
                      <w:color w:val="000000"/>
                      <w:sz w:val="21"/>
                      <w:szCs w:val="21"/>
                      <w:u w:val="none"/>
                    </w:rPr>
                  </w:pPr>
                </w:p>
              </w:tc>
              <w:tc>
                <w:tcPr>
                  <w:tcW w:w="1302" w:type="dxa"/>
                  <w:vMerge w:val="continue"/>
                  <w:tcBorders>
                    <w:tl2br w:val="nil"/>
                    <w:tr2bl w:val="nil"/>
                  </w:tcBorders>
                  <w:shd w:val="clear" w:color="auto" w:fill="auto"/>
                  <w:vAlign w:val="center"/>
                </w:tcPr>
                <w:p w14:paraId="6D31B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l2br w:val="nil"/>
                    <w:tr2bl w:val="nil"/>
                  </w:tcBorders>
                  <w:shd w:val="clear" w:color="auto" w:fill="auto"/>
                  <w:vAlign w:val="center"/>
                </w:tcPr>
                <w:p w14:paraId="57CEB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b/>
                      <w:bCs/>
                      <w:i w:val="0"/>
                      <w:iCs w:val="0"/>
                      <w:color w:val="000000"/>
                      <w:sz w:val="21"/>
                      <w:szCs w:val="21"/>
                      <w:u w:val="none"/>
                    </w:rPr>
                  </w:pPr>
                </w:p>
              </w:tc>
              <w:tc>
                <w:tcPr>
                  <w:tcW w:w="1080" w:type="dxa"/>
                  <w:tcBorders>
                    <w:tl2br w:val="nil"/>
                    <w:tr2bl w:val="nil"/>
                  </w:tcBorders>
                  <w:shd w:val="clear" w:color="auto" w:fill="auto"/>
                  <w:vAlign w:val="center"/>
                </w:tcPr>
                <w:p w14:paraId="1B70A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(m³/a)</w:t>
                  </w:r>
                </w:p>
              </w:tc>
              <w:tc>
                <w:tcPr>
                  <w:tcW w:w="1080" w:type="dxa"/>
                  <w:tcBorders>
                    <w:tl2br w:val="nil"/>
                    <w:tr2bl w:val="nil"/>
                  </w:tcBorders>
                  <w:shd w:val="clear" w:color="auto" w:fill="auto"/>
                  <w:vAlign w:val="center"/>
                </w:tcPr>
                <w:p w14:paraId="6D616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(mg/L)</w:t>
                  </w:r>
                </w:p>
              </w:tc>
              <w:tc>
                <w:tcPr>
                  <w:tcW w:w="1080" w:type="dxa"/>
                  <w:tcBorders>
                    <w:tl2br w:val="nil"/>
                    <w:tr2bl w:val="nil"/>
                  </w:tcBorders>
                  <w:shd w:val="clear" w:color="auto" w:fill="auto"/>
                  <w:vAlign w:val="center"/>
                </w:tcPr>
                <w:p w14:paraId="03378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(t/a)</w:t>
                  </w:r>
                </w:p>
              </w:tc>
            </w:tr>
            <w:tr w14:paraId="57C423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restart"/>
                  <w:tcBorders>
                    <w:tl2br w:val="nil"/>
                    <w:tr2bl w:val="nil"/>
                  </w:tcBorders>
                  <w:shd w:val="clear" w:color="auto" w:fill="auto"/>
                  <w:vAlign w:val="center"/>
                </w:tcPr>
                <w:p w14:paraId="791F2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生活废水</w:t>
                  </w:r>
                </w:p>
              </w:tc>
              <w:tc>
                <w:tcPr>
                  <w:tcW w:w="996" w:type="dxa"/>
                  <w:tcBorders>
                    <w:tl2br w:val="nil"/>
                    <w:tr2bl w:val="nil"/>
                  </w:tcBorders>
                  <w:shd w:val="clear" w:color="auto" w:fill="auto"/>
                  <w:vAlign w:val="center"/>
                </w:tcPr>
                <w:p w14:paraId="2B390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w:t>
                  </w:r>
                </w:p>
              </w:tc>
              <w:tc>
                <w:tcPr>
                  <w:tcW w:w="942" w:type="dxa"/>
                  <w:vMerge w:val="restart"/>
                  <w:tcBorders>
                    <w:tl2br w:val="nil"/>
                    <w:tr2bl w:val="nil"/>
                  </w:tcBorders>
                  <w:shd w:val="clear" w:color="auto" w:fill="auto"/>
                  <w:vAlign w:val="center"/>
                </w:tcPr>
                <w:p w14:paraId="21C1E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288</w:t>
                  </w:r>
                </w:p>
              </w:tc>
              <w:tc>
                <w:tcPr>
                  <w:tcW w:w="1302" w:type="dxa"/>
                  <w:tcBorders>
                    <w:tl2br w:val="nil"/>
                    <w:tr2bl w:val="nil"/>
                  </w:tcBorders>
                  <w:shd w:val="clear" w:color="auto" w:fill="auto"/>
                  <w:vAlign w:val="center"/>
                </w:tcPr>
                <w:p w14:paraId="6C6B8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80" w:type="dxa"/>
                  <w:tcBorders>
                    <w:tl2br w:val="nil"/>
                    <w:tr2bl w:val="nil"/>
                  </w:tcBorders>
                  <w:shd w:val="clear" w:color="auto" w:fill="auto"/>
                  <w:vAlign w:val="center"/>
                </w:tcPr>
                <w:p w14:paraId="2846E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vMerge w:val="restart"/>
                  <w:tcBorders>
                    <w:tl2br w:val="nil"/>
                    <w:tr2bl w:val="nil"/>
                  </w:tcBorders>
                  <w:shd w:val="clear" w:color="auto" w:fill="auto"/>
                  <w:vAlign w:val="center"/>
                </w:tcPr>
                <w:p w14:paraId="0E805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288</w:t>
                  </w:r>
                </w:p>
              </w:tc>
              <w:tc>
                <w:tcPr>
                  <w:tcW w:w="1080" w:type="dxa"/>
                  <w:tcBorders>
                    <w:tl2br w:val="nil"/>
                    <w:tr2bl w:val="nil"/>
                  </w:tcBorders>
                  <w:shd w:val="clear" w:color="auto" w:fill="auto"/>
                  <w:vAlign w:val="center"/>
                </w:tcPr>
                <w:p w14:paraId="095F6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80" w:type="dxa"/>
                  <w:tcBorders>
                    <w:tl2br w:val="nil"/>
                    <w:tr2bl w:val="nil"/>
                  </w:tcBorders>
                  <w:shd w:val="clear" w:color="auto" w:fill="auto"/>
                  <w:vAlign w:val="center"/>
                </w:tcPr>
                <w:p w14:paraId="1A2CD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21E65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57C06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iCs w:val="0"/>
                      <w:color w:val="000000"/>
                      <w:sz w:val="21"/>
                      <w:szCs w:val="21"/>
                      <w:u w:val="none"/>
                    </w:rPr>
                  </w:pPr>
                </w:p>
              </w:tc>
              <w:tc>
                <w:tcPr>
                  <w:tcW w:w="996" w:type="dxa"/>
                  <w:tcBorders>
                    <w:tl2br w:val="nil"/>
                    <w:tr2bl w:val="nil"/>
                  </w:tcBorders>
                  <w:shd w:val="clear" w:color="auto" w:fill="auto"/>
                  <w:vAlign w:val="center"/>
                </w:tcPr>
                <w:p w14:paraId="0B6AD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w:t>
                  </w:r>
                </w:p>
              </w:tc>
              <w:tc>
                <w:tcPr>
                  <w:tcW w:w="942" w:type="dxa"/>
                  <w:vMerge w:val="continue"/>
                  <w:tcBorders>
                    <w:tl2br w:val="nil"/>
                    <w:tr2bl w:val="nil"/>
                  </w:tcBorders>
                  <w:shd w:val="clear" w:color="auto" w:fill="auto"/>
                  <w:vAlign w:val="center"/>
                </w:tcPr>
                <w:p w14:paraId="3B8DA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302" w:type="dxa"/>
                  <w:tcBorders>
                    <w:tl2br w:val="nil"/>
                    <w:tr2bl w:val="nil"/>
                  </w:tcBorders>
                  <w:shd w:val="clear" w:color="auto" w:fill="auto"/>
                  <w:vAlign w:val="center"/>
                </w:tcPr>
                <w:p w14:paraId="20D43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1080" w:type="dxa"/>
                  <w:tcBorders>
                    <w:tl2br w:val="nil"/>
                    <w:tr2bl w:val="nil"/>
                  </w:tcBorders>
                  <w:shd w:val="clear" w:color="auto" w:fill="auto"/>
                  <w:vAlign w:val="center"/>
                </w:tcPr>
                <w:p w14:paraId="05C93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0.1152</w:t>
                  </w:r>
                </w:p>
              </w:tc>
              <w:tc>
                <w:tcPr>
                  <w:tcW w:w="1080" w:type="dxa"/>
                  <w:vMerge w:val="continue"/>
                  <w:tcBorders>
                    <w:tl2br w:val="nil"/>
                    <w:tr2bl w:val="nil"/>
                  </w:tcBorders>
                  <w:shd w:val="clear" w:color="auto" w:fill="auto"/>
                  <w:vAlign w:val="center"/>
                </w:tcPr>
                <w:p w14:paraId="5C30B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080" w:type="dxa"/>
                  <w:tcBorders>
                    <w:tl2br w:val="nil"/>
                    <w:tr2bl w:val="nil"/>
                  </w:tcBorders>
                  <w:shd w:val="clear" w:color="auto" w:fill="auto"/>
                  <w:vAlign w:val="center"/>
                </w:tcPr>
                <w:p w14:paraId="54951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1080" w:type="dxa"/>
                  <w:tcBorders>
                    <w:tl2br w:val="nil"/>
                    <w:tr2bl w:val="nil"/>
                  </w:tcBorders>
                  <w:shd w:val="clear" w:color="auto" w:fill="auto"/>
                  <w:vAlign w:val="center"/>
                </w:tcPr>
                <w:p w14:paraId="6BFD4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0.09216</w:t>
                  </w:r>
                </w:p>
              </w:tc>
            </w:tr>
            <w:tr w14:paraId="083BB8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05710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iCs w:val="0"/>
                      <w:color w:val="000000"/>
                      <w:sz w:val="21"/>
                      <w:szCs w:val="21"/>
                      <w:u w:val="none"/>
                    </w:rPr>
                  </w:pPr>
                </w:p>
              </w:tc>
              <w:tc>
                <w:tcPr>
                  <w:tcW w:w="996" w:type="dxa"/>
                  <w:tcBorders>
                    <w:tl2br w:val="nil"/>
                    <w:tr2bl w:val="nil"/>
                  </w:tcBorders>
                  <w:shd w:val="clear" w:color="auto" w:fill="auto"/>
                  <w:vAlign w:val="center"/>
                </w:tcPr>
                <w:p w14:paraId="65445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p>
              </w:tc>
              <w:tc>
                <w:tcPr>
                  <w:tcW w:w="942" w:type="dxa"/>
                  <w:vMerge w:val="continue"/>
                  <w:tcBorders>
                    <w:tl2br w:val="nil"/>
                    <w:tr2bl w:val="nil"/>
                  </w:tcBorders>
                  <w:shd w:val="clear" w:color="auto" w:fill="auto"/>
                  <w:vAlign w:val="center"/>
                </w:tcPr>
                <w:p w14:paraId="2A840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302" w:type="dxa"/>
                  <w:tcBorders>
                    <w:tl2br w:val="nil"/>
                    <w:tr2bl w:val="nil"/>
                  </w:tcBorders>
                  <w:shd w:val="clear" w:color="auto" w:fill="auto"/>
                  <w:vAlign w:val="center"/>
                </w:tcPr>
                <w:p w14:paraId="4853F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080" w:type="dxa"/>
                  <w:tcBorders>
                    <w:tl2br w:val="nil"/>
                    <w:tr2bl w:val="nil"/>
                  </w:tcBorders>
                  <w:shd w:val="clear" w:color="auto" w:fill="auto"/>
                  <w:vAlign w:val="center"/>
                </w:tcPr>
                <w:p w14:paraId="78324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0.0576</w:t>
                  </w:r>
                </w:p>
              </w:tc>
              <w:tc>
                <w:tcPr>
                  <w:tcW w:w="1080" w:type="dxa"/>
                  <w:vMerge w:val="continue"/>
                  <w:tcBorders>
                    <w:tl2br w:val="nil"/>
                    <w:tr2bl w:val="nil"/>
                  </w:tcBorders>
                  <w:shd w:val="clear" w:color="auto" w:fill="auto"/>
                  <w:vAlign w:val="center"/>
                </w:tcPr>
                <w:p w14:paraId="523EA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080" w:type="dxa"/>
                  <w:tcBorders>
                    <w:tl2br w:val="nil"/>
                    <w:tr2bl w:val="nil"/>
                  </w:tcBorders>
                  <w:shd w:val="clear" w:color="auto" w:fill="auto"/>
                  <w:vAlign w:val="center"/>
                </w:tcPr>
                <w:p w14:paraId="1E4E2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1080" w:type="dxa"/>
                  <w:tcBorders>
                    <w:tl2br w:val="nil"/>
                    <w:tr2bl w:val="nil"/>
                  </w:tcBorders>
                  <w:shd w:val="clear" w:color="auto" w:fill="auto"/>
                  <w:vAlign w:val="center"/>
                </w:tcPr>
                <w:p w14:paraId="2EE41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0.04608</w:t>
                  </w:r>
                </w:p>
              </w:tc>
            </w:tr>
            <w:tr w14:paraId="02DB80C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0A4D1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iCs w:val="0"/>
                      <w:color w:val="000000"/>
                      <w:sz w:val="21"/>
                      <w:szCs w:val="21"/>
                      <w:u w:val="none"/>
                    </w:rPr>
                  </w:pPr>
                </w:p>
              </w:tc>
              <w:tc>
                <w:tcPr>
                  <w:tcW w:w="996" w:type="dxa"/>
                  <w:tcBorders>
                    <w:tl2br w:val="nil"/>
                    <w:tr2bl w:val="nil"/>
                  </w:tcBorders>
                  <w:shd w:val="clear" w:color="auto" w:fill="auto"/>
                  <w:vAlign w:val="center"/>
                </w:tcPr>
                <w:p w14:paraId="705EC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SS</w:t>
                  </w:r>
                </w:p>
              </w:tc>
              <w:tc>
                <w:tcPr>
                  <w:tcW w:w="942" w:type="dxa"/>
                  <w:vMerge w:val="continue"/>
                  <w:tcBorders>
                    <w:tl2br w:val="nil"/>
                    <w:tr2bl w:val="nil"/>
                  </w:tcBorders>
                  <w:shd w:val="clear" w:color="auto" w:fill="auto"/>
                  <w:vAlign w:val="center"/>
                </w:tcPr>
                <w:p w14:paraId="61498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302" w:type="dxa"/>
                  <w:tcBorders>
                    <w:tl2br w:val="nil"/>
                    <w:tr2bl w:val="nil"/>
                  </w:tcBorders>
                  <w:shd w:val="clear" w:color="auto" w:fill="auto"/>
                  <w:vAlign w:val="center"/>
                </w:tcPr>
                <w:p w14:paraId="70BF2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w:t>
                  </w:r>
                </w:p>
              </w:tc>
              <w:tc>
                <w:tcPr>
                  <w:tcW w:w="1080" w:type="dxa"/>
                  <w:tcBorders>
                    <w:tl2br w:val="nil"/>
                    <w:tr2bl w:val="nil"/>
                  </w:tcBorders>
                  <w:shd w:val="clear" w:color="auto" w:fill="auto"/>
                  <w:vAlign w:val="center"/>
                </w:tcPr>
                <w:p w14:paraId="0BC29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0.06336</w:t>
                  </w:r>
                </w:p>
              </w:tc>
              <w:tc>
                <w:tcPr>
                  <w:tcW w:w="1080" w:type="dxa"/>
                  <w:vMerge w:val="continue"/>
                  <w:tcBorders>
                    <w:tl2br w:val="nil"/>
                    <w:tr2bl w:val="nil"/>
                  </w:tcBorders>
                  <w:shd w:val="clear" w:color="auto" w:fill="auto"/>
                  <w:vAlign w:val="center"/>
                </w:tcPr>
                <w:p w14:paraId="26C30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080" w:type="dxa"/>
                  <w:tcBorders>
                    <w:tl2br w:val="nil"/>
                    <w:tr2bl w:val="nil"/>
                  </w:tcBorders>
                  <w:shd w:val="clear" w:color="auto" w:fill="auto"/>
                  <w:vAlign w:val="center"/>
                </w:tcPr>
                <w:p w14:paraId="2CB5A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w:t>
                  </w:r>
                </w:p>
              </w:tc>
              <w:tc>
                <w:tcPr>
                  <w:tcW w:w="1080" w:type="dxa"/>
                  <w:tcBorders>
                    <w:tl2br w:val="nil"/>
                    <w:tr2bl w:val="nil"/>
                  </w:tcBorders>
                  <w:shd w:val="clear" w:color="auto" w:fill="auto"/>
                  <w:vAlign w:val="center"/>
                </w:tcPr>
                <w:p w14:paraId="2AEC2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0.053856</w:t>
                  </w:r>
                </w:p>
              </w:tc>
            </w:tr>
            <w:tr w14:paraId="000016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3F1AF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iCs w:val="0"/>
                      <w:color w:val="000000"/>
                      <w:sz w:val="21"/>
                      <w:szCs w:val="21"/>
                      <w:u w:val="none"/>
                    </w:rPr>
                  </w:pPr>
                </w:p>
              </w:tc>
              <w:tc>
                <w:tcPr>
                  <w:tcW w:w="996" w:type="dxa"/>
                  <w:tcBorders>
                    <w:tl2br w:val="nil"/>
                    <w:tr2bl w:val="nil"/>
                  </w:tcBorders>
                  <w:shd w:val="clear" w:color="auto" w:fill="auto"/>
                  <w:vAlign w:val="center"/>
                </w:tcPr>
                <w:p w14:paraId="2CE36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942" w:type="dxa"/>
                  <w:vMerge w:val="continue"/>
                  <w:tcBorders>
                    <w:tl2br w:val="nil"/>
                    <w:tr2bl w:val="nil"/>
                  </w:tcBorders>
                  <w:shd w:val="clear" w:color="auto" w:fill="auto"/>
                  <w:vAlign w:val="center"/>
                </w:tcPr>
                <w:p w14:paraId="0C9B3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302" w:type="dxa"/>
                  <w:tcBorders>
                    <w:tl2br w:val="nil"/>
                    <w:tr2bl w:val="nil"/>
                  </w:tcBorders>
                  <w:shd w:val="clear" w:color="auto" w:fill="auto"/>
                  <w:vAlign w:val="center"/>
                </w:tcPr>
                <w:p w14:paraId="177FC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80" w:type="dxa"/>
                  <w:tcBorders>
                    <w:tl2br w:val="nil"/>
                    <w:tr2bl w:val="nil"/>
                  </w:tcBorders>
                  <w:shd w:val="clear" w:color="auto" w:fill="auto"/>
                  <w:vAlign w:val="center"/>
                </w:tcPr>
                <w:p w14:paraId="21BBA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0.0072</w:t>
                  </w:r>
                </w:p>
              </w:tc>
              <w:tc>
                <w:tcPr>
                  <w:tcW w:w="1080" w:type="dxa"/>
                  <w:vMerge w:val="continue"/>
                  <w:tcBorders>
                    <w:tl2br w:val="nil"/>
                    <w:tr2bl w:val="nil"/>
                  </w:tcBorders>
                  <w:shd w:val="clear" w:color="auto" w:fill="auto"/>
                  <w:vAlign w:val="center"/>
                </w:tcPr>
                <w:p w14:paraId="7F4E5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080" w:type="dxa"/>
                  <w:tcBorders>
                    <w:tl2br w:val="nil"/>
                    <w:tr2bl w:val="nil"/>
                  </w:tcBorders>
                  <w:shd w:val="clear" w:color="auto" w:fill="auto"/>
                  <w:vAlign w:val="center"/>
                </w:tcPr>
                <w:p w14:paraId="1625E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1080" w:type="dxa"/>
                  <w:tcBorders>
                    <w:tl2br w:val="nil"/>
                    <w:tr2bl w:val="nil"/>
                  </w:tcBorders>
                  <w:shd w:val="clear" w:color="auto" w:fill="auto"/>
                  <w:vAlign w:val="center"/>
                </w:tcPr>
                <w:p w14:paraId="6F665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0.00648</w:t>
                  </w:r>
                </w:p>
              </w:tc>
            </w:tr>
            <w:tr w14:paraId="58AC42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restart"/>
                  <w:tcBorders>
                    <w:tl2br w:val="nil"/>
                    <w:tr2bl w:val="nil"/>
                  </w:tcBorders>
                  <w:shd w:val="clear" w:color="auto" w:fill="auto"/>
                  <w:vAlign w:val="center"/>
                </w:tcPr>
                <w:p w14:paraId="7BBE8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工艺</w:t>
                  </w:r>
                  <w:r>
                    <w:rPr>
                      <w:rFonts w:hint="eastAsia" w:ascii="宋体" w:hAnsi="宋体" w:eastAsia="宋体" w:cs="宋体"/>
                      <w:i w:val="0"/>
                      <w:iCs w:val="0"/>
                      <w:color w:val="000000"/>
                      <w:kern w:val="0"/>
                      <w:sz w:val="21"/>
                      <w:szCs w:val="21"/>
                      <w:u w:val="none"/>
                      <w:lang w:val="en-US" w:eastAsia="zh-CN" w:bidi="ar"/>
                    </w:rPr>
                    <w:t>废水</w:t>
                  </w:r>
                </w:p>
              </w:tc>
              <w:tc>
                <w:tcPr>
                  <w:tcW w:w="996" w:type="dxa"/>
                  <w:tcBorders>
                    <w:tl2br w:val="nil"/>
                    <w:tr2bl w:val="nil"/>
                  </w:tcBorders>
                  <w:shd w:val="clear" w:color="auto" w:fill="auto"/>
                  <w:vAlign w:val="center"/>
                </w:tcPr>
                <w:p w14:paraId="0CB8E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w:t>
                  </w:r>
                </w:p>
              </w:tc>
              <w:tc>
                <w:tcPr>
                  <w:tcW w:w="942" w:type="dxa"/>
                  <w:vMerge w:val="restart"/>
                  <w:tcBorders>
                    <w:tl2br w:val="nil"/>
                    <w:tr2bl w:val="nil"/>
                  </w:tcBorders>
                  <w:shd w:val="clear" w:color="auto" w:fill="auto"/>
                  <w:vAlign w:val="center"/>
                </w:tcPr>
                <w:p w14:paraId="225B8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11541</w:t>
                  </w:r>
                </w:p>
              </w:tc>
              <w:tc>
                <w:tcPr>
                  <w:tcW w:w="1302" w:type="dxa"/>
                  <w:tcBorders>
                    <w:tl2br w:val="nil"/>
                    <w:tr2bl w:val="nil"/>
                  </w:tcBorders>
                  <w:shd w:val="clear" w:color="auto" w:fill="auto"/>
                  <w:vAlign w:val="center"/>
                </w:tcPr>
                <w:p w14:paraId="1FBB3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80" w:type="dxa"/>
                  <w:tcBorders>
                    <w:tl2br w:val="nil"/>
                    <w:tr2bl w:val="nil"/>
                  </w:tcBorders>
                  <w:shd w:val="clear" w:color="auto" w:fill="auto"/>
                  <w:vAlign w:val="center"/>
                </w:tcPr>
                <w:p w14:paraId="4F62E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vMerge w:val="restart"/>
                  <w:tcBorders>
                    <w:tl2br w:val="nil"/>
                    <w:tr2bl w:val="nil"/>
                  </w:tcBorders>
                  <w:shd w:val="clear" w:color="auto" w:fill="auto"/>
                  <w:vAlign w:val="center"/>
                </w:tcPr>
                <w:p w14:paraId="3D41A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11541</w:t>
                  </w:r>
                </w:p>
              </w:tc>
              <w:tc>
                <w:tcPr>
                  <w:tcW w:w="1080" w:type="dxa"/>
                  <w:tcBorders>
                    <w:tl2br w:val="nil"/>
                    <w:tr2bl w:val="nil"/>
                  </w:tcBorders>
                  <w:shd w:val="clear" w:color="auto" w:fill="auto"/>
                  <w:vAlign w:val="center"/>
                </w:tcPr>
                <w:p w14:paraId="23666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80" w:type="dxa"/>
                  <w:tcBorders>
                    <w:tl2br w:val="nil"/>
                    <w:tr2bl w:val="nil"/>
                  </w:tcBorders>
                  <w:shd w:val="clear" w:color="auto" w:fill="auto"/>
                  <w:vAlign w:val="center"/>
                </w:tcPr>
                <w:p w14:paraId="5A9F8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3F25C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05EEE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iCs w:val="0"/>
                      <w:color w:val="000000"/>
                      <w:sz w:val="21"/>
                      <w:szCs w:val="21"/>
                      <w:u w:val="none"/>
                    </w:rPr>
                  </w:pPr>
                </w:p>
              </w:tc>
              <w:tc>
                <w:tcPr>
                  <w:tcW w:w="996" w:type="dxa"/>
                  <w:tcBorders>
                    <w:tl2br w:val="nil"/>
                    <w:tr2bl w:val="nil"/>
                  </w:tcBorders>
                  <w:shd w:val="clear" w:color="auto" w:fill="auto"/>
                  <w:vAlign w:val="center"/>
                </w:tcPr>
                <w:p w14:paraId="38715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w:t>
                  </w:r>
                </w:p>
              </w:tc>
              <w:tc>
                <w:tcPr>
                  <w:tcW w:w="942" w:type="dxa"/>
                  <w:vMerge w:val="continue"/>
                  <w:tcBorders>
                    <w:tl2br w:val="nil"/>
                    <w:tr2bl w:val="nil"/>
                  </w:tcBorders>
                  <w:shd w:val="clear" w:color="auto" w:fill="auto"/>
                  <w:vAlign w:val="center"/>
                </w:tcPr>
                <w:p w14:paraId="4C8AA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302" w:type="dxa"/>
                  <w:tcBorders>
                    <w:tl2br w:val="nil"/>
                    <w:tr2bl w:val="nil"/>
                  </w:tcBorders>
                  <w:shd w:val="clear" w:color="auto" w:fill="auto"/>
                  <w:vAlign w:val="center"/>
                </w:tcPr>
                <w:p w14:paraId="64BB1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2500</w:t>
                  </w:r>
                </w:p>
              </w:tc>
              <w:tc>
                <w:tcPr>
                  <w:tcW w:w="1080" w:type="dxa"/>
                  <w:tcBorders>
                    <w:tl2br w:val="nil"/>
                    <w:tr2bl w:val="nil"/>
                  </w:tcBorders>
                  <w:shd w:val="clear" w:color="auto" w:fill="auto"/>
                  <w:vAlign w:val="center"/>
                </w:tcPr>
                <w:p w14:paraId="4D1D9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28.8525</w:t>
                  </w:r>
                </w:p>
              </w:tc>
              <w:tc>
                <w:tcPr>
                  <w:tcW w:w="1080" w:type="dxa"/>
                  <w:vMerge w:val="continue"/>
                  <w:tcBorders>
                    <w:tl2br w:val="nil"/>
                    <w:tr2bl w:val="nil"/>
                  </w:tcBorders>
                  <w:shd w:val="clear" w:color="auto" w:fill="auto"/>
                  <w:vAlign w:val="center"/>
                </w:tcPr>
                <w:p w14:paraId="5FD17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080" w:type="dxa"/>
                  <w:tcBorders>
                    <w:tl2br w:val="nil"/>
                    <w:tr2bl w:val="nil"/>
                  </w:tcBorders>
                  <w:shd w:val="clear" w:color="auto" w:fill="auto"/>
                  <w:vAlign w:val="center"/>
                </w:tcPr>
                <w:p w14:paraId="6FB54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w:t>
                  </w:r>
                </w:p>
              </w:tc>
              <w:tc>
                <w:tcPr>
                  <w:tcW w:w="1080" w:type="dxa"/>
                  <w:tcBorders>
                    <w:tl2br w:val="nil"/>
                    <w:tr2bl w:val="nil"/>
                  </w:tcBorders>
                  <w:shd w:val="clear" w:color="auto" w:fill="auto"/>
                  <w:vAlign w:val="center"/>
                </w:tcPr>
                <w:p w14:paraId="247CD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3.11607</w:t>
                  </w:r>
                </w:p>
              </w:tc>
            </w:tr>
            <w:tr w14:paraId="2B6C71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1B5F4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iCs w:val="0"/>
                      <w:color w:val="000000"/>
                      <w:sz w:val="21"/>
                      <w:szCs w:val="21"/>
                      <w:u w:val="none"/>
                    </w:rPr>
                  </w:pPr>
                </w:p>
              </w:tc>
              <w:tc>
                <w:tcPr>
                  <w:tcW w:w="996" w:type="dxa"/>
                  <w:tcBorders>
                    <w:tl2br w:val="nil"/>
                    <w:tr2bl w:val="nil"/>
                  </w:tcBorders>
                  <w:shd w:val="clear" w:color="auto" w:fill="auto"/>
                  <w:vAlign w:val="center"/>
                </w:tcPr>
                <w:p w14:paraId="6401D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p>
              </w:tc>
              <w:tc>
                <w:tcPr>
                  <w:tcW w:w="942" w:type="dxa"/>
                  <w:vMerge w:val="continue"/>
                  <w:tcBorders>
                    <w:tl2br w:val="nil"/>
                    <w:tr2bl w:val="nil"/>
                  </w:tcBorders>
                  <w:shd w:val="clear" w:color="auto" w:fill="auto"/>
                  <w:vAlign w:val="center"/>
                </w:tcPr>
                <w:p w14:paraId="7ED81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302" w:type="dxa"/>
                  <w:tcBorders>
                    <w:tl2br w:val="nil"/>
                    <w:tr2bl w:val="nil"/>
                  </w:tcBorders>
                  <w:shd w:val="clear" w:color="auto" w:fill="auto"/>
                  <w:vAlign w:val="center"/>
                </w:tcPr>
                <w:p w14:paraId="12E38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1080" w:type="dxa"/>
                  <w:tcBorders>
                    <w:tl2br w:val="nil"/>
                    <w:tr2bl w:val="nil"/>
                  </w:tcBorders>
                  <w:shd w:val="clear" w:color="auto" w:fill="auto"/>
                  <w:vAlign w:val="center"/>
                </w:tcPr>
                <w:p w14:paraId="0C790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11.541</w:t>
                  </w:r>
                </w:p>
              </w:tc>
              <w:tc>
                <w:tcPr>
                  <w:tcW w:w="1080" w:type="dxa"/>
                  <w:vMerge w:val="continue"/>
                  <w:tcBorders>
                    <w:tl2br w:val="nil"/>
                    <w:tr2bl w:val="nil"/>
                  </w:tcBorders>
                  <w:shd w:val="clear" w:color="auto" w:fill="auto"/>
                  <w:vAlign w:val="center"/>
                </w:tcPr>
                <w:p w14:paraId="137EB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080" w:type="dxa"/>
                  <w:tcBorders>
                    <w:tl2br w:val="nil"/>
                    <w:tr2bl w:val="nil"/>
                  </w:tcBorders>
                  <w:shd w:val="clear" w:color="auto" w:fill="auto"/>
                  <w:vAlign w:val="center"/>
                </w:tcPr>
                <w:p w14:paraId="63E21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080" w:type="dxa"/>
                  <w:tcBorders>
                    <w:tl2br w:val="nil"/>
                    <w:tr2bl w:val="nil"/>
                  </w:tcBorders>
                  <w:shd w:val="clear" w:color="auto" w:fill="auto"/>
                  <w:vAlign w:val="center"/>
                </w:tcPr>
                <w:p w14:paraId="239D5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1.246428</w:t>
                  </w:r>
                </w:p>
              </w:tc>
            </w:tr>
            <w:tr w14:paraId="0F73A4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0E75E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iCs w:val="0"/>
                      <w:color w:val="000000"/>
                      <w:sz w:val="21"/>
                      <w:szCs w:val="21"/>
                      <w:u w:val="none"/>
                    </w:rPr>
                  </w:pPr>
                </w:p>
              </w:tc>
              <w:tc>
                <w:tcPr>
                  <w:tcW w:w="996" w:type="dxa"/>
                  <w:tcBorders>
                    <w:tl2br w:val="nil"/>
                    <w:tr2bl w:val="nil"/>
                  </w:tcBorders>
                  <w:shd w:val="clear" w:color="auto" w:fill="auto"/>
                  <w:vAlign w:val="center"/>
                </w:tcPr>
                <w:p w14:paraId="19394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SS</w:t>
                  </w:r>
                </w:p>
              </w:tc>
              <w:tc>
                <w:tcPr>
                  <w:tcW w:w="942" w:type="dxa"/>
                  <w:vMerge w:val="continue"/>
                  <w:tcBorders>
                    <w:tl2br w:val="nil"/>
                    <w:tr2bl w:val="nil"/>
                  </w:tcBorders>
                  <w:shd w:val="clear" w:color="auto" w:fill="auto"/>
                  <w:vAlign w:val="center"/>
                </w:tcPr>
                <w:p w14:paraId="5329C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302" w:type="dxa"/>
                  <w:tcBorders>
                    <w:tl2br w:val="nil"/>
                    <w:tr2bl w:val="nil"/>
                  </w:tcBorders>
                  <w:shd w:val="clear" w:color="auto" w:fill="auto"/>
                  <w:vAlign w:val="center"/>
                </w:tcPr>
                <w:p w14:paraId="6512A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w:t>
                  </w:r>
                </w:p>
              </w:tc>
              <w:tc>
                <w:tcPr>
                  <w:tcW w:w="1080" w:type="dxa"/>
                  <w:tcBorders>
                    <w:tl2br w:val="nil"/>
                    <w:tr2bl w:val="nil"/>
                  </w:tcBorders>
                  <w:shd w:val="clear" w:color="auto" w:fill="auto"/>
                  <w:vAlign w:val="center"/>
                </w:tcPr>
                <w:p w14:paraId="00BE2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6.9246</w:t>
                  </w:r>
                </w:p>
              </w:tc>
              <w:tc>
                <w:tcPr>
                  <w:tcW w:w="1080" w:type="dxa"/>
                  <w:vMerge w:val="continue"/>
                  <w:tcBorders>
                    <w:tl2br w:val="nil"/>
                    <w:tr2bl w:val="nil"/>
                  </w:tcBorders>
                  <w:shd w:val="clear" w:color="auto" w:fill="auto"/>
                  <w:vAlign w:val="center"/>
                </w:tcPr>
                <w:p w14:paraId="590A7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080" w:type="dxa"/>
                  <w:tcBorders>
                    <w:tl2br w:val="nil"/>
                    <w:tr2bl w:val="nil"/>
                  </w:tcBorders>
                  <w:shd w:val="clear" w:color="auto" w:fill="auto"/>
                  <w:vAlign w:val="center"/>
                </w:tcPr>
                <w:p w14:paraId="16603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80" w:type="dxa"/>
                  <w:tcBorders>
                    <w:tl2br w:val="nil"/>
                    <w:tr2bl w:val="nil"/>
                  </w:tcBorders>
                  <w:shd w:val="clear" w:color="auto" w:fill="auto"/>
                  <w:vAlign w:val="center"/>
                </w:tcPr>
                <w:p w14:paraId="6D234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0.34623</w:t>
                  </w:r>
                </w:p>
              </w:tc>
            </w:tr>
            <w:tr w14:paraId="21B2F5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2F94A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iCs w:val="0"/>
                      <w:color w:val="000000"/>
                      <w:sz w:val="21"/>
                      <w:szCs w:val="21"/>
                      <w:u w:val="none"/>
                    </w:rPr>
                  </w:pPr>
                </w:p>
              </w:tc>
              <w:tc>
                <w:tcPr>
                  <w:tcW w:w="996" w:type="dxa"/>
                  <w:tcBorders>
                    <w:tl2br w:val="nil"/>
                    <w:tr2bl w:val="nil"/>
                  </w:tcBorders>
                  <w:shd w:val="clear" w:color="auto" w:fill="auto"/>
                  <w:vAlign w:val="center"/>
                </w:tcPr>
                <w:p w14:paraId="561B7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942" w:type="dxa"/>
                  <w:vMerge w:val="continue"/>
                  <w:tcBorders>
                    <w:tl2br w:val="nil"/>
                    <w:tr2bl w:val="nil"/>
                  </w:tcBorders>
                  <w:shd w:val="clear" w:color="auto" w:fill="auto"/>
                  <w:vAlign w:val="center"/>
                </w:tcPr>
                <w:p w14:paraId="7E88D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302" w:type="dxa"/>
                  <w:tcBorders>
                    <w:tl2br w:val="nil"/>
                    <w:tr2bl w:val="nil"/>
                  </w:tcBorders>
                  <w:shd w:val="clear" w:color="auto" w:fill="auto"/>
                  <w:vAlign w:val="center"/>
                </w:tcPr>
                <w:p w14:paraId="46F68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80" w:type="dxa"/>
                  <w:tcBorders>
                    <w:tl2br w:val="nil"/>
                    <w:tr2bl w:val="nil"/>
                  </w:tcBorders>
                  <w:shd w:val="clear" w:color="auto" w:fill="auto"/>
                  <w:vAlign w:val="center"/>
                </w:tcPr>
                <w:p w14:paraId="62D36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0.46164</w:t>
                  </w:r>
                </w:p>
              </w:tc>
              <w:tc>
                <w:tcPr>
                  <w:tcW w:w="1080" w:type="dxa"/>
                  <w:vMerge w:val="continue"/>
                  <w:tcBorders>
                    <w:tl2br w:val="nil"/>
                    <w:tr2bl w:val="nil"/>
                  </w:tcBorders>
                  <w:shd w:val="clear" w:color="auto" w:fill="auto"/>
                  <w:vAlign w:val="center"/>
                </w:tcPr>
                <w:p w14:paraId="5E48D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080" w:type="dxa"/>
                  <w:tcBorders>
                    <w:tl2br w:val="nil"/>
                    <w:tr2bl w:val="nil"/>
                  </w:tcBorders>
                  <w:shd w:val="clear" w:color="auto" w:fill="auto"/>
                  <w:vAlign w:val="center"/>
                </w:tcPr>
                <w:p w14:paraId="5492D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80" w:type="dxa"/>
                  <w:tcBorders>
                    <w:tl2br w:val="nil"/>
                    <w:tr2bl w:val="nil"/>
                  </w:tcBorders>
                  <w:shd w:val="clear" w:color="auto" w:fill="auto"/>
                  <w:vAlign w:val="center"/>
                </w:tcPr>
                <w:p w14:paraId="1CBC2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0.092328</w:t>
                  </w:r>
                </w:p>
              </w:tc>
            </w:tr>
            <w:tr w14:paraId="7C05F6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80" w:type="dxa"/>
                  <w:vMerge w:val="continue"/>
                  <w:tcBorders>
                    <w:tl2br w:val="nil"/>
                    <w:tr2bl w:val="nil"/>
                  </w:tcBorders>
                  <w:shd w:val="clear" w:color="auto" w:fill="auto"/>
                  <w:vAlign w:val="center"/>
                </w:tcPr>
                <w:p w14:paraId="1E155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iCs w:val="0"/>
                      <w:color w:val="000000"/>
                      <w:sz w:val="21"/>
                      <w:szCs w:val="21"/>
                      <w:u w:val="none"/>
                    </w:rPr>
                  </w:pPr>
                </w:p>
              </w:tc>
              <w:tc>
                <w:tcPr>
                  <w:tcW w:w="996" w:type="dxa"/>
                  <w:tcBorders>
                    <w:tl2br w:val="nil"/>
                    <w:tr2bl w:val="nil"/>
                  </w:tcBorders>
                  <w:shd w:val="clear" w:color="auto" w:fill="auto"/>
                  <w:vAlign w:val="center"/>
                </w:tcPr>
                <w:p w14:paraId="4CC52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0"/>
                      <w:kern w:val="0"/>
                      <w:sz w:val="21"/>
                      <w:szCs w:val="21"/>
                      <w:u w:val="none"/>
                      <w:lang w:val="en-US" w:eastAsia="zh-CN" w:bidi="ar"/>
                    </w:rPr>
                    <w:t>动植物油</w:t>
                  </w:r>
                </w:p>
              </w:tc>
              <w:tc>
                <w:tcPr>
                  <w:tcW w:w="942" w:type="dxa"/>
                  <w:vMerge w:val="continue"/>
                  <w:tcBorders>
                    <w:tl2br w:val="nil"/>
                    <w:tr2bl w:val="nil"/>
                  </w:tcBorders>
                  <w:shd w:val="clear" w:color="auto" w:fill="auto"/>
                  <w:vAlign w:val="center"/>
                </w:tcPr>
                <w:p w14:paraId="3735F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302" w:type="dxa"/>
                  <w:tcBorders>
                    <w:tl2br w:val="nil"/>
                    <w:tr2bl w:val="nil"/>
                  </w:tcBorders>
                  <w:shd w:val="clear" w:color="auto" w:fill="auto"/>
                  <w:vAlign w:val="center"/>
                </w:tcPr>
                <w:p w14:paraId="333F2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1080" w:type="dxa"/>
                  <w:tcBorders>
                    <w:tl2br w:val="nil"/>
                    <w:tr2bl w:val="nil"/>
                  </w:tcBorders>
                  <w:shd w:val="clear" w:color="auto" w:fill="auto"/>
                  <w:vAlign w:val="center"/>
                </w:tcPr>
                <w:p w14:paraId="38F58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3.4623</w:t>
                  </w:r>
                </w:p>
              </w:tc>
              <w:tc>
                <w:tcPr>
                  <w:tcW w:w="1080" w:type="dxa"/>
                  <w:vMerge w:val="continue"/>
                  <w:tcBorders>
                    <w:tl2br w:val="nil"/>
                    <w:tr2bl w:val="nil"/>
                  </w:tcBorders>
                  <w:shd w:val="clear" w:color="auto" w:fill="auto"/>
                  <w:vAlign w:val="center"/>
                </w:tcPr>
                <w:p w14:paraId="2FC52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default" w:ascii="Times New Roman" w:hAnsi="Times New Roman" w:eastAsia="宋体" w:cs="Times New Roman"/>
                      <w:i w:val="0"/>
                      <w:iCs w:val="0"/>
                      <w:color w:val="000000"/>
                      <w:sz w:val="21"/>
                      <w:szCs w:val="21"/>
                      <w:u w:val="none"/>
                    </w:rPr>
                  </w:pPr>
                </w:p>
              </w:tc>
              <w:tc>
                <w:tcPr>
                  <w:tcW w:w="1080" w:type="dxa"/>
                  <w:tcBorders>
                    <w:tl2br w:val="nil"/>
                    <w:tr2bl w:val="nil"/>
                  </w:tcBorders>
                  <w:shd w:val="clear" w:color="auto" w:fill="auto"/>
                  <w:vAlign w:val="center"/>
                </w:tcPr>
                <w:p w14:paraId="7195E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31.5</w:t>
                  </w:r>
                </w:p>
              </w:tc>
              <w:tc>
                <w:tcPr>
                  <w:tcW w:w="1080" w:type="dxa"/>
                  <w:tcBorders>
                    <w:tl2br w:val="nil"/>
                    <w:tr2bl w:val="nil"/>
                  </w:tcBorders>
                  <w:shd w:val="clear" w:color="auto" w:fill="auto"/>
                  <w:vAlign w:val="center"/>
                </w:tcPr>
                <w:p w14:paraId="7459D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0.363542</w:t>
                  </w:r>
                </w:p>
              </w:tc>
            </w:tr>
          </w:tbl>
          <w:p w14:paraId="15A42F5F">
            <w:pPr>
              <w:keepNext w:val="0"/>
              <w:keepLines w:val="0"/>
              <w:suppressLineNumbers w:val="0"/>
              <w:spacing w:before="0" w:beforeLines="0" w:beforeAutospacing="0" w:after="0" w:afterLines="0" w:afterAutospacing="0" w:line="360" w:lineRule="auto"/>
              <w:ind w:left="0" w:right="0"/>
              <w:jc w:val="center"/>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表</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4-</w:t>
            </w:r>
            <w:r>
              <w:rPr>
                <w:rFonts w:hint="eastAsia" w:cs="Times New Roman"/>
                <w:b/>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b/>
                <w:color w:val="000000" w:themeColor="text1"/>
                <w:sz w:val="24"/>
                <w:szCs w:val="24"/>
                <w:highlight w:val="none"/>
                <w14:textFill>
                  <w14:solidFill>
                    <w14:schemeClr w14:val="tx1"/>
                  </w14:solidFill>
                </w14:textFill>
              </w:rPr>
              <w:t xml:space="preserve">  废水间接排放口基本情况表</w:t>
            </w:r>
          </w:p>
          <w:tbl>
            <w:tblPr>
              <w:tblStyle w:val="33"/>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5"/>
              <w:gridCol w:w="594"/>
              <w:gridCol w:w="1063"/>
              <w:gridCol w:w="1020"/>
              <w:gridCol w:w="836"/>
              <w:gridCol w:w="903"/>
              <w:gridCol w:w="675"/>
              <w:gridCol w:w="879"/>
              <w:gridCol w:w="975"/>
              <w:gridCol w:w="1181"/>
            </w:tblGrid>
            <w:tr w14:paraId="07EE79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5" w:type="pct"/>
                  <w:vMerge w:val="restart"/>
                  <w:tcBorders>
                    <w:tl2br w:val="nil"/>
                    <w:tr2bl w:val="nil"/>
                  </w:tcBorders>
                  <w:noWrap w:val="0"/>
                  <w:vAlign w:val="center"/>
                </w:tcPr>
                <w:p w14:paraId="5A5912C5">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346" w:type="pct"/>
                  <w:vMerge w:val="restart"/>
                  <w:tcBorders>
                    <w:tl2br w:val="nil"/>
                    <w:tr2bl w:val="nil"/>
                  </w:tcBorders>
                  <w:noWrap w:val="0"/>
                  <w:vAlign w:val="center"/>
                </w:tcPr>
                <w:p w14:paraId="678FDEA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排放口编号</w:t>
                  </w:r>
                </w:p>
              </w:tc>
              <w:tc>
                <w:tcPr>
                  <w:tcW w:w="1213" w:type="pct"/>
                  <w:gridSpan w:val="2"/>
                  <w:tcBorders>
                    <w:tl2br w:val="nil"/>
                    <w:tr2bl w:val="nil"/>
                  </w:tcBorders>
                  <w:noWrap w:val="0"/>
                  <w:vAlign w:val="center"/>
                </w:tcPr>
                <w:p w14:paraId="2F07CD5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vertAlign w:val="superscript"/>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排放口地理坐标</w:t>
                  </w:r>
                </w:p>
              </w:tc>
              <w:tc>
                <w:tcPr>
                  <w:tcW w:w="487" w:type="pct"/>
                  <w:vMerge w:val="restart"/>
                  <w:tcBorders>
                    <w:tl2br w:val="nil"/>
                    <w:tr2bl w:val="nil"/>
                  </w:tcBorders>
                  <w:noWrap w:val="0"/>
                  <w:vAlign w:val="center"/>
                </w:tcPr>
                <w:p w14:paraId="3CC8D4C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废水排放量/（t/d）</w:t>
                  </w:r>
                </w:p>
              </w:tc>
              <w:tc>
                <w:tcPr>
                  <w:tcW w:w="526" w:type="pct"/>
                  <w:vMerge w:val="restart"/>
                  <w:tcBorders>
                    <w:tl2br w:val="nil"/>
                    <w:tr2bl w:val="nil"/>
                  </w:tcBorders>
                  <w:noWrap w:val="0"/>
                  <w:vAlign w:val="center"/>
                </w:tcPr>
                <w:p w14:paraId="2438ED8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排放</w:t>
                  </w:r>
                </w:p>
                <w:p w14:paraId="5372730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去向</w:t>
                  </w:r>
                </w:p>
              </w:tc>
              <w:tc>
                <w:tcPr>
                  <w:tcW w:w="393" w:type="pct"/>
                  <w:vMerge w:val="restart"/>
                  <w:tcBorders>
                    <w:tl2br w:val="nil"/>
                    <w:tr2bl w:val="nil"/>
                  </w:tcBorders>
                  <w:noWrap w:val="0"/>
                  <w:vAlign w:val="center"/>
                </w:tcPr>
                <w:p w14:paraId="57C51FFA">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间歇排放时段</w:t>
                  </w:r>
                </w:p>
              </w:tc>
              <w:tc>
                <w:tcPr>
                  <w:tcW w:w="1767" w:type="pct"/>
                  <w:gridSpan w:val="3"/>
                  <w:tcBorders>
                    <w:tl2br w:val="nil"/>
                    <w:tr2bl w:val="nil"/>
                  </w:tcBorders>
                  <w:noWrap w:val="0"/>
                  <w:vAlign w:val="center"/>
                </w:tcPr>
                <w:p w14:paraId="6FE7226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受纳污水处理厂信息</w:t>
                  </w:r>
                </w:p>
              </w:tc>
            </w:tr>
            <w:tr w14:paraId="193065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tcBorders>
                    <w:tl2br w:val="nil"/>
                    <w:tr2bl w:val="nil"/>
                  </w:tcBorders>
                  <w:noWrap w:val="0"/>
                  <w:vAlign w:val="center"/>
                </w:tcPr>
                <w:p w14:paraId="6AC2AE24">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346" w:type="pct"/>
                  <w:vMerge w:val="continue"/>
                  <w:tcBorders>
                    <w:tl2br w:val="nil"/>
                    <w:tr2bl w:val="nil"/>
                  </w:tcBorders>
                  <w:noWrap w:val="0"/>
                  <w:vAlign w:val="center"/>
                </w:tcPr>
                <w:p w14:paraId="79B7AAF1">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619" w:type="pct"/>
                  <w:tcBorders>
                    <w:tl2br w:val="nil"/>
                    <w:tr2bl w:val="nil"/>
                  </w:tcBorders>
                  <w:noWrap w:val="0"/>
                  <w:vAlign w:val="center"/>
                </w:tcPr>
                <w:p w14:paraId="2FF495F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经度</w:t>
                  </w:r>
                </w:p>
              </w:tc>
              <w:tc>
                <w:tcPr>
                  <w:tcW w:w="593" w:type="pct"/>
                  <w:tcBorders>
                    <w:tl2br w:val="nil"/>
                    <w:tr2bl w:val="nil"/>
                  </w:tcBorders>
                  <w:noWrap w:val="0"/>
                  <w:vAlign w:val="center"/>
                </w:tcPr>
                <w:p w14:paraId="13B87AF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纬度</w:t>
                  </w:r>
                </w:p>
              </w:tc>
              <w:tc>
                <w:tcPr>
                  <w:tcW w:w="487" w:type="pct"/>
                  <w:vMerge w:val="continue"/>
                  <w:tcBorders>
                    <w:tl2br w:val="nil"/>
                    <w:tr2bl w:val="nil"/>
                  </w:tcBorders>
                  <w:noWrap w:val="0"/>
                  <w:vAlign w:val="center"/>
                </w:tcPr>
                <w:p w14:paraId="0A95E22E">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526" w:type="pct"/>
                  <w:vMerge w:val="continue"/>
                  <w:tcBorders>
                    <w:tl2br w:val="nil"/>
                    <w:tr2bl w:val="nil"/>
                  </w:tcBorders>
                  <w:noWrap w:val="0"/>
                  <w:vAlign w:val="center"/>
                </w:tcPr>
                <w:p w14:paraId="1FAB506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393" w:type="pct"/>
                  <w:vMerge w:val="continue"/>
                  <w:tcBorders>
                    <w:tl2br w:val="nil"/>
                    <w:tr2bl w:val="nil"/>
                  </w:tcBorders>
                  <w:noWrap w:val="0"/>
                  <w:vAlign w:val="center"/>
                </w:tcPr>
                <w:p w14:paraId="329D09D1">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512" w:type="pct"/>
                  <w:tcBorders>
                    <w:tl2br w:val="nil"/>
                    <w:tr2bl w:val="nil"/>
                  </w:tcBorders>
                  <w:noWrap w:val="0"/>
                  <w:vAlign w:val="center"/>
                </w:tcPr>
                <w:p w14:paraId="18B175AA">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vertAlign w:val="superscript"/>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r>
                    <w:rPr>
                      <w:rFonts w:hint="default" w:ascii="Times New Roman" w:hAnsi="Times New Roman" w:eastAsia="宋体" w:cs="Times New Roman"/>
                      <w:b/>
                      <w:bCs/>
                      <w:color w:val="000000" w:themeColor="text1"/>
                      <w:sz w:val="21"/>
                      <w:szCs w:val="21"/>
                      <w:highlight w:val="none"/>
                      <w:vertAlign w:val="superscript"/>
                      <w14:textFill>
                        <w14:solidFill>
                          <w14:schemeClr w14:val="tx1"/>
                        </w14:solidFill>
                      </w14:textFill>
                    </w:rPr>
                    <w:t>b</w:t>
                  </w:r>
                </w:p>
              </w:tc>
              <w:tc>
                <w:tcPr>
                  <w:tcW w:w="568" w:type="pct"/>
                  <w:tcBorders>
                    <w:tl2br w:val="nil"/>
                    <w:tr2bl w:val="nil"/>
                  </w:tcBorders>
                  <w:noWrap w:val="0"/>
                  <w:vAlign w:val="center"/>
                </w:tcPr>
                <w:p w14:paraId="742586E4">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污染物种类</w:t>
                  </w:r>
                </w:p>
              </w:tc>
              <w:tc>
                <w:tcPr>
                  <w:tcW w:w="687" w:type="pct"/>
                  <w:tcBorders>
                    <w:tl2br w:val="nil"/>
                    <w:tr2bl w:val="nil"/>
                  </w:tcBorders>
                  <w:noWrap w:val="0"/>
                  <w:vAlign w:val="center"/>
                </w:tcPr>
                <w:p w14:paraId="35F4EE2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国家或地方污染物排放标准浓度/（mg/L）</w:t>
                  </w:r>
                </w:p>
              </w:tc>
            </w:tr>
            <w:tr w14:paraId="65287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65" w:type="pct"/>
                  <w:vMerge w:val="restart"/>
                  <w:tcBorders>
                    <w:tl2br w:val="nil"/>
                    <w:tr2bl w:val="nil"/>
                  </w:tcBorders>
                  <w:noWrap w:val="0"/>
                  <w:vAlign w:val="center"/>
                </w:tcPr>
                <w:p w14:paraId="077E7781">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346" w:type="pct"/>
                  <w:vMerge w:val="restart"/>
                  <w:tcBorders>
                    <w:tl2br w:val="nil"/>
                    <w:tr2bl w:val="nil"/>
                  </w:tcBorders>
                  <w:noWrap w:val="0"/>
                  <w:vAlign w:val="center"/>
                </w:tcPr>
                <w:p w14:paraId="1C958181">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厂区总排放口</w:t>
                  </w:r>
                </w:p>
              </w:tc>
              <w:tc>
                <w:tcPr>
                  <w:tcW w:w="619" w:type="pct"/>
                  <w:vMerge w:val="restart"/>
                  <w:tcBorders>
                    <w:tl2br w:val="nil"/>
                    <w:tr2bl w:val="nil"/>
                  </w:tcBorders>
                  <w:noWrap w:val="0"/>
                  <w:vAlign w:val="center"/>
                </w:tcPr>
                <w:p w14:paraId="191D503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东经115°0′2.56341″</w:t>
                  </w:r>
                </w:p>
              </w:tc>
              <w:tc>
                <w:tcPr>
                  <w:tcW w:w="593" w:type="pct"/>
                  <w:vMerge w:val="restart"/>
                  <w:tcBorders>
                    <w:tl2br w:val="nil"/>
                    <w:tr2bl w:val="nil"/>
                  </w:tcBorders>
                  <w:noWrap w:val="0"/>
                  <w:vAlign w:val="center"/>
                </w:tcPr>
                <w:p w14:paraId="056D75BC">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北纬36°20′38.81445″</w:t>
                  </w:r>
                </w:p>
              </w:tc>
              <w:tc>
                <w:tcPr>
                  <w:tcW w:w="487" w:type="pct"/>
                  <w:vMerge w:val="restart"/>
                  <w:tcBorders>
                    <w:tl2br w:val="nil"/>
                    <w:tr2bl w:val="nil"/>
                  </w:tcBorders>
                  <w:noWrap w:val="0"/>
                  <w:vAlign w:val="center"/>
                </w:tcPr>
                <w:p w14:paraId="1BD0624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4"/>
                      <w:highlight w:val="none"/>
                      <w:lang w:val="en-US" w:eastAsia="zh-CN"/>
                      <w14:textFill>
                        <w14:solidFill>
                          <w14:schemeClr w14:val="tx1"/>
                        </w14:solidFill>
                      </w14:textFill>
                    </w:rPr>
                    <w:t>39.43</w:t>
                  </w:r>
                </w:p>
              </w:tc>
              <w:tc>
                <w:tcPr>
                  <w:tcW w:w="526" w:type="pct"/>
                  <w:vMerge w:val="restart"/>
                  <w:tcBorders>
                    <w:tl2br w:val="nil"/>
                    <w:tr2bl w:val="nil"/>
                  </w:tcBorders>
                  <w:noWrap w:val="0"/>
                  <w:vAlign w:val="center"/>
                </w:tcPr>
                <w:p w14:paraId="6FD08430">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魏县经济开发区污水处理有限公司</w:t>
                  </w:r>
                </w:p>
              </w:tc>
              <w:tc>
                <w:tcPr>
                  <w:tcW w:w="393" w:type="pct"/>
                  <w:vMerge w:val="restart"/>
                  <w:tcBorders>
                    <w:tl2br w:val="nil"/>
                    <w:tr2bl w:val="nil"/>
                  </w:tcBorders>
                  <w:noWrap w:val="0"/>
                  <w:vAlign w:val="center"/>
                </w:tcPr>
                <w:p w14:paraId="383651D4">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512" w:type="pct"/>
                  <w:vMerge w:val="restart"/>
                  <w:tcBorders>
                    <w:tl2br w:val="nil"/>
                    <w:tr2bl w:val="nil"/>
                  </w:tcBorders>
                  <w:noWrap w:val="0"/>
                  <w:vAlign w:val="center"/>
                </w:tcPr>
                <w:p w14:paraId="3B73DC71">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魏县经济开发区污水处理有限公司</w:t>
                  </w:r>
                </w:p>
              </w:tc>
              <w:tc>
                <w:tcPr>
                  <w:tcW w:w="568" w:type="pct"/>
                  <w:tcBorders>
                    <w:tl2br w:val="nil"/>
                    <w:tr2bl w:val="nil"/>
                  </w:tcBorders>
                  <w:noWrap w:val="0"/>
                  <w:vAlign w:val="center"/>
                </w:tcPr>
                <w:p w14:paraId="7947CE83">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COD</w:t>
                  </w:r>
                </w:p>
              </w:tc>
              <w:tc>
                <w:tcPr>
                  <w:tcW w:w="687" w:type="pct"/>
                  <w:tcBorders>
                    <w:tl2br w:val="nil"/>
                    <w:tr2bl w:val="nil"/>
                  </w:tcBorders>
                  <w:noWrap w:val="0"/>
                  <w:vAlign w:val="center"/>
                </w:tcPr>
                <w:p w14:paraId="10B491E5">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w:t>
                  </w:r>
                </w:p>
              </w:tc>
            </w:tr>
            <w:tr w14:paraId="31DAFD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65" w:type="pct"/>
                  <w:vMerge w:val="continue"/>
                  <w:tcBorders>
                    <w:tl2br w:val="nil"/>
                    <w:tr2bl w:val="nil"/>
                  </w:tcBorders>
                  <w:noWrap w:val="0"/>
                  <w:vAlign w:val="center"/>
                </w:tcPr>
                <w:p w14:paraId="63FC0B3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46" w:type="pct"/>
                  <w:vMerge w:val="continue"/>
                  <w:tcBorders>
                    <w:tl2br w:val="nil"/>
                    <w:tr2bl w:val="nil"/>
                  </w:tcBorders>
                  <w:noWrap w:val="0"/>
                  <w:vAlign w:val="center"/>
                </w:tcPr>
                <w:p w14:paraId="0CDA8111">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19" w:type="pct"/>
                  <w:vMerge w:val="continue"/>
                  <w:tcBorders>
                    <w:tl2br w:val="nil"/>
                    <w:tr2bl w:val="nil"/>
                  </w:tcBorders>
                  <w:noWrap w:val="0"/>
                  <w:vAlign w:val="center"/>
                </w:tcPr>
                <w:p w14:paraId="291D401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93" w:type="pct"/>
                  <w:vMerge w:val="continue"/>
                  <w:tcBorders>
                    <w:tl2br w:val="nil"/>
                    <w:tr2bl w:val="nil"/>
                  </w:tcBorders>
                  <w:noWrap w:val="0"/>
                  <w:vAlign w:val="center"/>
                </w:tcPr>
                <w:p w14:paraId="74AE6A99">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87" w:type="pct"/>
                  <w:vMerge w:val="continue"/>
                  <w:tcBorders>
                    <w:tl2br w:val="nil"/>
                    <w:tr2bl w:val="nil"/>
                  </w:tcBorders>
                  <w:noWrap w:val="0"/>
                  <w:vAlign w:val="center"/>
                </w:tcPr>
                <w:p w14:paraId="4C5B6701">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4"/>
                      <w:highlight w:val="none"/>
                      <w:lang w:val="en-US" w:eastAsia="zh-CN"/>
                      <w14:textFill>
                        <w14:solidFill>
                          <w14:schemeClr w14:val="tx1"/>
                        </w14:solidFill>
                      </w14:textFill>
                    </w:rPr>
                  </w:pPr>
                </w:p>
              </w:tc>
              <w:tc>
                <w:tcPr>
                  <w:tcW w:w="526" w:type="pct"/>
                  <w:vMerge w:val="continue"/>
                  <w:tcBorders>
                    <w:tl2br w:val="nil"/>
                    <w:tr2bl w:val="nil"/>
                  </w:tcBorders>
                  <w:noWrap w:val="0"/>
                  <w:vAlign w:val="center"/>
                </w:tcPr>
                <w:p w14:paraId="2F598AE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393" w:type="pct"/>
                  <w:vMerge w:val="continue"/>
                  <w:tcBorders>
                    <w:tl2br w:val="nil"/>
                    <w:tr2bl w:val="nil"/>
                  </w:tcBorders>
                  <w:noWrap w:val="0"/>
                  <w:vAlign w:val="center"/>
                </w:tcPr>
                <w:p w14:paraId="209D77D9">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12" w:type="pct"/>
                  <w:vMerge w:val="continue"/>
                  <w:tcBorders>
                    <w:tl2br w:val="nil"/>
                    <w:tr2bl w:val="nil"/>
                  </w:tcBorders>
                  <w:noWrap w:val="0"/>
                  <w:vAlign w:val="center"/>
                </w:tcPr>
                <w:p w14:paraId="2F21A18D">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568" w:type="pct"/>
                  <w:tcBorders>
                    <w:tl2br w:val="nil"/>
                    <w:tr2bl w:val="nil"/>
                  </w:tcBorders>
                  <w:noWrap w:val="0"/>
                  <w:vAlign w:val="center"/>
                </w:tcPr>
                <w:p w14:paraId="3A310E9D">
                  <w:pPr>
                    <w:keepNext w:val="0"/>
                    <w:keepLines w:val="0"/>
                    <w:suppressLineNumbers w:val="0"/>
                    <w:spacing w:before="0" w:beforeLines="0" w:beforeAutospacing="0" w:after="0" w:afterLines="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氨氮</w:t>
                  </w:r>
                </w:p>
              </w:tc>
              <w:tc>
                <w:tcPr>
                  <w:tcW w:w="687" w:type="pct"/>
                  <w:tcBorders>
                    <w:tl2br w:val="nil"/>
                    <w:tr2bl w:val="nil"/>
                  </w:tcBorders>
                  <w:noWrap w:val="0"/>
                  <w:vAlign w:val="center"/>
                </w:tcPr>
                <w:p w14:paraId="0C3591D8">
                  <w:pPr>
                    <w:keepNext w:val="0"/>
                    <w:keepLines w:val="0"/>
                    <w:suppressLineNumbers w:val="0"/>
                    <w:spacing w:before="0" w:beforeLines="0" w:beforeAutospacing="0" w:after="0" w:afterLines="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w:t>
                  </w:r>
                  <w:r>
                    <w:rPr>
                      <w:rFonts w:hint="eastAsia" w:cs="Times New Roman"/>
                      <w:color w:val="000000" w:themeColor="text1"/>
                      <w:sz w:val="21"/>
                      <w:szCs w:val="21"/>
                      <w:highlight w:val="none"/>
                      <w:lang w:val="en-US" w:eastAsia="zh-CN"/>
                      <w14:textFill>
                        <w14:solidFill>
                          <w14:schemeClr w14:val="tx1"/>
                        </w14:solidFill>
                      </w14:textFill>
                    </w:rPr>
                    <w:t>（2.5）</w:t>
                  </w:r>
                </w:p>
              </w:tc>
            </w:tr>
            <w:tr w14:paraId="1720EA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5" w:type="pct"/>
                  <w:vMerge w:val="continue"/>
                  <w:tcBorders>
                    <w:tl2br w:val="nil"/>
                    <w:tr2bl w:val="nil"/>
                  </w:tcBorders>
                  <w:noWrap w:val="0"/>
                  <w:vAlign w:val="center"/>
                </w:tcPr>
                <w:p w14:paraId="0E27460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46" w:type="pct"/>
                  <w:vMerge w:val="continue"/>
                  <w:tcBorders>
                    <w:tl2br w:val="nil"/>
                    <w:tr2bl w:val="nil"/>
                  </w:tcBorders>
                  <w:noWrap w:val="0"/>
                  <w:vAlign w:val="center"/>
                </w:tcPr>
                <w:p w14:paraId="1E33A166">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19" w:type="pct"/>
                  <w:vMerge w:val="continue"/>
                  <w:tcBorders>
                    <w:tl2br w:val="nil"/>
                    <w:tr2bl w:val="nil"/>
                  </w:tcBorders>
                  <w:noWrap w:val="0"/>
                  <w:vAlign w:val="center"/>
                </w:tcPr>
                <w:p w14:paraId="4006296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93" w:type="pct"/>
                  <w:vMerge w:val="continue"/>
                  <w:tcBorders>
                    <w:tl2br w:val="nil"/>
                    <w:tr2bl w:val="nil"/>
                  </w:tcBorders>
                  <w:noWrap w:val="0"/>
                  <w:vAlign w:val="center"/>
                </w:tcPr>
                <w:p w14:paraId="595DD969">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87" w:type="pct"/>
                  <w:vMerge w:val="continue"/>
                  <w:tcBorders>
                    <w:tl2br w:val="nil"/>
                    <w:tr2bl w:val="nil"/>
                  </w:tcBorders>
                  <w:noWrap w:val="0"/>
                  <w:vAlign w:val="center"/>
                </w:tcPr>
                <w:p w14:paraId="4564A0C3">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4"/>
                      <w:highlight w:val="none"/>
                      <w:lang w:val="en-US" w:eastAsia="zh-CN"/>
                      <w14:textFill>
                        <w14:solidFill>
                          <w14:schemeClr w14:val="tx1"/>
                        </w14:solidFill>
                      </w14:textFill>
                    </w:rPr>
                  </w:pPr>
                </w:p>
              </w:tc>
              <w:tc>
                <w:tcPr>
                  <w:tcW w:w="526" w:type="pct"/>
                  <w:vMerge w:val="continue"/>
                  <w:tcBorders>
                    <w:tl2br w:val="nil"/>
                    <w:tr2bl w:val="nil"/>
                  </w:tcBorders>
                  <w:noWrap w:val="0"/>
                  <w:vAlign w:val="center"/>
                </w:tcPr>
                <w:p w14:paraId="7034264A">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393" w:type="pct"/>
                  <w:vMerge w:val="continue"/>
                  <w:tcBorders>
                    <w:tl2br w:val="nil"/>
                    <w:tr2bl w:val="nil"/>
                  </w:tcBorders>
                  <w:noWrap w:val="0"/>
                  <w:vAlign w:val="center"/>
                </w:tcPr>
                <w:p w14:paraId="49FEB0C1">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12" w:type="pct"/>
                  <w:vMerge w:val="continue"/>
                  <w:tcBorders>
                    <w:tl2br w:val="nil"/>
                    <w:tr2bl w:val="nil"/>
                  </w:tcBorders>
                  <w:noWrap w:val="0"/>
                  <w:vAlign w:val="center"/>
                </w:tcPr>
                <w:p w14:paraId="008006E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568" w:type="pct"/>
                  <w:tcBorders>
                    <w:tl2br w:val="nil"/>
                    <w:tr2bl w:val="nil"/>
                  </w:tcBorders>
                  <w:noWrap w:val="0"/>
                  <w:vAlign w:val="center"/>
                </w:tcPr>
                <w:p w14:paraId="52C0B3B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pH</w:t>
                  </w:r>
                </w:p>
              </w:tc>
              <w:tc>
                <w:tcPr>
                  <w:tcW w:w="687" w:type="pct"/>
                  <w:tcBorders>
                    <w:tl2br w:val="nil"/>
                    <w:tr2bl w:val="nil"/>
                  </w:tcBorders>
                  <w:noWrap w:val="0"/>
                  <w:vAlign w:val="center"/>
                </w:tcPr>
                <w:p w14:paraId="5D63370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6-9</w:t>
                  </w:r>
                </w:p>
              </w:tc>
            </w:tr>
            <w:tr w14:paraId="28F34B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65" w:type="pct"/>
                  <w:vMerge w:val="continue"/>
                  <w:tcBorders>
                    <w:tl2br w:val="nil"/>
                    <w:tr2bl w:val="nil"/>
                  </w:tcBorders>
                  <w:noWrap w:val="0"/>
                  <w:vAlign w:val="center"/>
                </w:tcPr>
                <w:p w14:paraId="78BD34E7">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46" w:type="pct"/>
                  <w:vMerge w:val="continue"/>
                  <w:tcBorders>
                    <w:tl2br w:val="nil"/>
                    <w:tr2bl w:val="nil"/>
                  </w:tcBorders>
                  <w:noWrap w:val="0"/>
                  <w:vAlign w:val="center"/>
                </w:tcPr>
                <w:p w14:paraId="321E7F63">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19" w:type="pct"/>
                  <w:vMerge w:val="continue"/>
                  <w:tcBorders>
                    <w:tl2br w:val="nil"/>
                    <w:tr2bl w:val="nil"/>
                  </w:tcBorders>
                  <w:noWrap w:val="0"/>
                  <w:vAlign w:val="center"/>
                </w:tcPr>
                <w:p w14:paraId="2310E315">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93" w:type="pct"/>
                  <w:vMerge w:val="continue"/>
                  <w:tcBorders>
                    <w:tl2br w:val="nil"/>
                    <w:tr2bl w:val="nil"/>
                  </w:tcBorders>
                  <w:noWrap w:val="0"/>
                  <w:vAlign w:val="center"/>
                </w:tcPr>
                <w:p w14:paraId="5C35556A">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87" w:type="pct"/>
                  <w:vMerge w:val="continue"/>
                  <w:tcBorders>
                    <w:tl2br w:val="nil"/>
                    <w:tr2bl w:val="nil"/>
                  </w:tcBorders>
                  <w:noWrap w:val="0"/>
                  <w:vAlign w:val="center"/>
                </w:tcPr>
                <w:p w14:paraId="1E27A685">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4"/>
                      <w:highlight w:val="none"/>
                      <w:lang w:val="en-US" w:eastAsia="zh-CN"/>
                      <w14:textFill>
                        <w14:solidFill>
                          <w14:schemeClr w14:val="tx1"/>
                        </w14:solidFill>
                      </w14:textFill>
                    </w:rPr>
                  </w:pPr>
                </w:p>
              </w:tc>
              <w:tc>
                <w:tcPr>
                  <w:tcW w:w="526" w:type="pct"/>
                  <w:vMerge w:val="continue"/>
                  <w:tcBorders>
                    <w:tl2br w:val="nil"/>
                    <w:tr2bl w:val="nil"/>
                  </w:tcBorders>
                  <w:noWrap w:val="0"/>
                  <w:vAlign w:val="center"/>
                </w:tcPr>
                <w:p w14:paraId="677222E9">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393" w:type="pct"/>
                  <w:vMerge w:val="continue"/>
                  <w:tcBorders>
                    <w:tl2br w:val="nil"/>
                    <w:tr2bl w:val="nil"/>
                  </w:tcBorders>
                  <w:noWrap w:val="0"/>
                  <w:vAlign w:val="center"/>
                </w:tcPr>
                <w:p w14:paraId="0EC4A187">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12" w:type="pct"/>
                  <w:vMerge w:val="continue"/>
                  <w:tcBorders>
                    <w:tl2br w:val="nil"/>
                    <w:tr2bl w:val="nil"/>
                  </w:tcBorders>
                  <w:noWrap w:val="0"/>
                  <w:vAlign w:val="center"/>
                </w:tcPr>
                <w:p w14:paraId="3BA96662">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568" w:type="pct"/>
                  <w:tcBorders>
                    <w:tl2br w:val="nil"/>
                    <w:tr2bl w:val="nil"/>
                  </w:tcBorders>
                  <w:noWrap w:val="0"/>
                  <w:vAlign w:val="center"/>
                </w:tcPr>
                <w:p w14:paraId="4B4A078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BOD</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5</w:t>
                  </w:r>
                </w:p>
              </w:tc>
              <w:tc>
                <w:tcPr>
                  <w:tcW w:w="687" w:type="pct"/>
                  <w:tcBorders>
                    <w:tl2br w:val="nil"/>
                    <w:tr2bl w:val="nil"/>
                  </w:tcBorders>
                  <w:noWrap w:val="0"/>
                  <w:vAlign w:val="center"/>
                </w:tcPr>
                <w:p w14:paraId="1B6103F7">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14:paraId="11357A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tcBorders>
                    <w:tl2br w:val="nil"/>
                    <w:tr2bl w:val="nil"/>
                  </w:tcBorders>
                  <w:noWrap w:val="0"/>
                  <w:vAlign w:val="center"/>
                </w:tcPr>
                <w:p w14:paraId="28D01FC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46" w:type="pct"/>
                  <w:vMerge w:val="continue"/>
                  <w:tcBorders>
                    <w:tl2br w:val="nil"/>
                    <w:tr2bl w:val="nil"/>
                  </w:tcBorders>
                  <w:noWrap w:val="0"/>
                  <w:vAlign w:val="center"/>
                </w:tcPr>
                <w:p w14:paraId="5428B271">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9" w:type="pct"/>
                  <w:vMerge w:val="continue"/>
                  <w:tcBorders>
                    <w:tl2br w:val="nil"/>
                    <w:tr2bl w:val="nil"/>
                  </w:tcBorders>
                  <w:noWrap w:val="0"/>
                  <w:vAlign w:val="center"/>
                </w:tcPr>
                <w:p w14:paraId="0CE5091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4"/>
                      <w:highlight w:val="none"/>
                      <w14:textFill>
                        <w14:solidFill>
                          <w14:schemeClr w14:val="tx1"/>
                        </w14:solidFill>
                      </w14:textFill>
                    </w:rPr>
                  </w:pPr>
                </w:p>
              </w:tc>
              <w:tc>
                <w:tcPr>
                  <w:tcW w:w="593" w:type="pct"/>
                  <w:vMerge w:val="continue"/>
                  <w:tcBorders>
                    <w:tl2br w:val="nil"/>
                    <w:tr2bl w:val="nil"/>
                  </w:tcBorders>
                  <w:noWrap w:val="0"/>
                  <w:vAlign w:val="center"/>
                </w:tcPr>
                <w:p w14:paraId="2D90FEA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4"/>
                      <w:highlight w:val="none"/>
                      <w14:textFill>
                        <w14:solidFill>
                          <w14:schemeClr w14:val="tx1"/>
                        </w14:solidFill>
                      </w14:textFill>
                    </w:rPr>
                  </w:pPr>
                </w:p>
              </w:tc>
              <w:tc>
                <w:tcPr>
                  <w:tcW w:w="487" w:type="pct"/>
                  <w:vMerge w:val="continue"/>
                  <w:tcBorders>
                    <w:tl2br w:val="nil"/>
                    <w:tr2bl w:val="nil"/>
                  </w:tcBorders>
                  <w:noWrap w:val="0"/>
                  <w:vAlign w:val="center"/>
                </w:tcPr>
                <w:p w14:paraId="161C6E89">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26" w:type="pct"/>
                  <w:vMerge w:val="continue"/>
                  <w:tcBorders>
                    <w:tl2br w:val="nil"/>
                    <w:tr2bl w:val="nil"/>
                  </w:tcBorders>
                  <w:noWrap w:val="0"/>
                  <w:vAlign w:val="center"/>
                </w:tcPr>
                <w:p w14:paraId="31B23986">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3" w:type="pct"/>
                  <w:vMerge w:val="continue"/>
                  <w:tcBorders>
                    <w:tl2br w:val="nil"/>
                    <w:tr2bl w:val="nil"/>
                  </w:tcBorders>
                  <w:noWrap w:val="0"/>
                  <w:vAlign w:val="center"/>
                </w:tcPr>
                <w:p w14:paraId="365329F4">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12" w:type="pct"/>
                  <w:vMerge w:val="continue"/>
                  <w:tcBorders>
                    <w:tl2br w:val="nil"/>
                    <w:tr2bl w:val="nil"/>
                  </w:tcBorders>
                  <w:noWrap w:val="0"/>
                  <w:vAlign w:val="center"/>
                </w:tcPr>
                <w:p w14:paraId="30F1809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68" w:type="pct"/>
                  <w:tcBorders>
                    <w:tl2br w:val="nil"/>
                    <w:tr2bl w:val="nil"/>
                  </w:tcBorders>
                  <w:noWrap w:val="0"/>
                  <w:vAlign w:val="center"/>
                </w:tcPr>
                <w:p w14:paraId="76DD33B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SS</w:t>
                  </w:r>
                </w:p>
              </w:tc>
              <w:tc>
                <w:tcPr>
                  <w:tcW w:w="687" w:type="pct"/>
                  <w:tcBorders>
                    <w:tl2br w:val="nil"/>
                    <w:tr2bl w:val="nil"/>
                  </w:tcBorders>
                  <w:noWrap w:val="0"/>
                  <w:vAlign w:val="center"/>
                </w:tcPr>
                <w:p w14:paraId="72886C3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14:paraId="6F4C2B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tcBorders>
                    <w:tl2br w:val="nil"/>
                    <w:tr2bl w:val="nil"/>
                  </w:tcBorders>
                  <w:noWrap w:val="0"/>
                  <w:vAlign w:val="center"/>
                </w:tcPr>
                <w:p w14:paraId="0B6E1D3C">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46" w:type="pct"/>
                  <w:vMerge w:val="continue"/>
                  <w:tcBorders>
                    <w:tl2br w:val="nil"/>
                    <w:tr2bl w:val="nil"/>
                  </w:tcBorders>
                  <w:noWrap w:val="0"/>
                  <w:vAlign w:val="center"/>
                </w:tcPr>
                <w:p w14:paraId="11A1071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9" w:type="pct"/>
                  <w:vMerge w:val="continue"/>
                  <w:tcBorders>
                    <w:tl2br w:val="nil"/>
                    <w:tr2bl w:val="nil"/>
                  </w:tcBorders>
                  <w:noWrap w:val="0"/>
                  <w:vAlign w:val="center"/>
                </w:tcPr>
                <w:p w14:paraId="25B5882C">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4"/>
                      <w:highlight w:val="none"/>
                      <w14:textFill>
                        <w14:solidFill>
                          <w14:schemeClr w14:val="tx1"/>
                        </w14:solidFill>
                      </w14:textFill>
                    </w:rPr>
                  </w:pPr>
                </w:p>
              </w:tc>
              <w:tc>
                <w:tcPr>
                  <w:tcW w:w="593" w:type="pct"/>
                  <w:vMerge w:val="continue"/>
                  <w:tcBorders>
                    <w:tl2br w:val="nil"/>
                    <w:tr2bl w:val="nil"/>
                  </w:tcBorders>
                  <w:noWrap w:val="0"/>
                  <w:vAlign w:val="center"/>
                </w:tcPr>
                <w:p w14:paraId="1692919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4"/>
                      <w:highlight w:val="none"/>
                      <w14:textFill>
                        <w14:solidFill>
                          <w14:schemeClr w14:val="tx1"/>
                        </w14:solidFill>
                      </w14:textFill>
                    </w:rPr>
                  </w:pPr>
                </w:p>
              </w:tc>
              <w:tc>
                <w:tcPr>
                  <w:tcW w:w="487" w:type="pct"/>
                  <w:vMerge w:val="continue"/>
                  <w:tcBorders>
                    <w:tl2br w:val="nil"/>
                    <w:tr2bl w:val="nil"/>
                  </w:tcBorders>
                  <w:noWrap w:val="0"/>
                  <w:vAlign w:val="center"/>
                </w:tcPr>
                <w:p w14:paraId="1C5CA6FE">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26" w:type="pct"/>
                  <w:vMerge w:val="continue"/>
                  <w:tcBorders>
                    <w:tl2br w:val="nil"/>
                    <w:tr2bl w:val="nil"/>
                  </w:tcBorders>
                  <w:noWrap w:val="0"/>
                  <w:vAlign w:val="center"/>
                </w:tcPr>
                <w:p w14:paraId="5DBDA295">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3" w:type="pct"/>
                  <w:vMerge w:val="continue"/>
                  <w:tcBorders>
                    <w:tl2br w:val="nil"/>
                    <w:tr2bl w:val="nil"/>
                  </w:tcBorders>
                  <w:noWrap w:val="0"/>
                  <w:vAlign w:val="center"/>
                </w:tcPr>
                <w:p w14:paraId="31A389A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12" w:type="pct"/>
                  <w:vMerge w:val="continue"/>
                  <w:tcBorders>
                    <w:tl2br w:val="nil"/>
                    <w:tr2bl w:val="nil"/>
                  </w:tcBorders>
                  <w:noWrap w:val="0"/>
                  <w:vAlign w:val="center"/>
                </w:tcPr>
                <w:p w14:paraId="42EAA1D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68" w:type="pct"/>
                  <w:tcBorders>
                    <w:tl2br w:val="nil"/>
                    <w:tr2bl w:val="nil"/>
                  </w:tcBorders>
                  <w:noWrap w:val="0"/>
                  <w:vAlign w:val="center"/>
                </w:tcPr>
                <w:p w14:paraId="0E755F5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spacing w:val="-20"/>
                      <w:sz w:val="21"/>
                      <w:highlight w:val="none"/>
                      <w:lang w:val="en-US" w:eastAsia="zh-CN"/>
                      <w14:textFill>
                        <w14:solidFill>
                          <w14:schemeClr w14:val="tx1"/>
                        </w14:solidFill>
                      </w14:textFill>
                    </w:rPr>
                    <w:t>动植物油</w:t>
                  </w:r>
                </w:p>
              </w:tc>
              <w:tc>
                <w:tcPr>
                  <w:tcW w:w="687" w:type="pct"/>
                  <w:tcBorders>
                    <w:tl2br w:val="nil"/>
                    <w:tr2bl w:val="nil"/>
                  </w:tcBorders>
                  <w:noWrap w:val="0"/>
                  <w:vAlign w:val="center"/>
                </w:tcPr>
                <w:p w14:paraId="02E16CE3">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100</w:t>
                  </w:r>
                </w:p>
              </w:tc>
            </w:tr>
          </w:tbl>
          <w:p w14:paraId="3E7A1B48">
            <w:pPr>
              <w:pStyle w:val="10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21"/>
                <w:highlight w:val="none"/>
                <w14:textFill>
                  <w14:solidFill>
                    <w14:schemeClr w14:val="tx1"/>
                  </w14:solidFill>
                </w14:textFill>
              </w:rPr>
            </w:pPr>
            <w:r>
              <w:rPr>
                <w:rFonts w:hint="default" w:ascii="Times New Roman" w:hAnsi="Times New Roman" w:eastAsia="宋体" w:cs="Times New Roman"/>
                <w:color w:val="000000" w:themeColor="text1"/>
                <w:sz w:val="24"/>
                <w:szCs w:val="21"/>
                <w:highlight w:val="none"/>
                <w14:textFill>
                  <w14:solidFill>
                    <w14:schemeClr w14:val="tx1"/>
                  </w14:solidFill>
                </w14:textFill>
              </w:rPr>
              <w:t>(</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1"/>
                <w:highlight w:val="none"/>
                <w14:textFill>
                  <w14:solidFill>
                    <w14:schemeClr w14:val="tx1"/>
                  </w14:solidFill>
                </w14:textFill>
              </w:rPr>
              <w:t>)依托水污染处理设施的可行性</w:t>
            </w:r>
          </w:p>
          <w:p w14:paraId="1286C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1"/>
                <w:highlight w:val="none"/>
                <w:lang w:eastAsia="zh-CN"/>
                <w14:textFill>
                  <w14:solidFill>
                    <w14:schemeClr w14:val="tx1"/>
                  </w14:solidFill>
                </w14:textFill>
              </w:rPr>
              <w:t>魏县经济开发区污水处理有限公司位于本项目</w:t>
            </w:r>
            <w:r>
              <w:rPr>
                <w:rFonts w:hint="eastAsia" w:cs="Times New Roman"/>
                <w:color w:val="000000" w:themeColor="text1"/>
                <w:sz w:val="24"/>
                <w:szCs w:val="21"/>
                <w:highlight w:val="none"/>
                <w:lang w:eastAsia="zh-CN"/>
                <w14:textFill>
                  <w14:solidFill>
                    <w14:schemeClr w14:val="tx1"/>
                  </w14:solidFill>
                </w14:textFill>
              </w:rPr>
              <w:t>南部</w:t>
            </w:r>
            <w:r>
              <w:rPr>
                <w:rFonts w:hint="default" w:ascii="Times New Roman" w:hAnsi="Times New Roman" w:eastAsia="宋体" w:cs="Times New Roman"/>
                <w:color w:val="000000" w:themeColor="text1"/>
                <w:sz w:val="24"/>
                <w:szCs w:val="21"/>
                <w:highlight w:val="none"/>
                <w:lang w:eastAsia="zh-CN"/>
                <w14:textFill>
                  <w14:solidFill>
                    <w14:schemeClr w14:val="tx1"/>
                  </w14:solidFill>
                </w14:textFill>
              </w:rPr>
              <w:t>，出水水质满足</w:t>
            </w:r>
            <w:r>
              <w:rPr>
                <w:rFonts w:hint="default" w:ascii="Times New Roman" w:hAnsi="Times New Roman" w:eastAsia="宋体" w:cs="Times New Roman"/>
                <w:color w:val="000000" w:themeColor="text1"/>
                <w:sz w:val="24"/>
                <w14:textFill>
                  <w14:solidFill>
                    <w14:schemeClr w14:val="tx1"/>
                  </w14:solidFill>
                </w14:textFill>
              </w:rPr>
              <w:t>《城镇污水处理厂污染物排放标准》(GB18918-2002)表1中一级A标准和邯郸市水污染物暂行排放限值</w:t>
            </w:r>
            <w:r>
              <w:rPr>
                <w:rFonts w:hint="default" w:ascii="Times New Roman" w:hAnsi="Times New Roman" w:eastAsia="宋体" w:cs="Times New Roman"/>
                <w:color w:val="000000" w:themeColor="text1"/>
                <w:sz w:val="24"/>
                <w:lang w:val="en-US" w:eastAsia="zh-CN"/>
                <w14:textFill>
                  <w14:solidFill>
                    <w14:schemeClr w14:val="tx1"/>
                  </w14:solidFill>
                </w14:textFill>
              </w:rPr>
              <w:t>A标</w:t>
            </w:r>
            <w:r>
              <w:rPr>
                <w:rFonts w:hint="default" w:ascii="Times New Roman" w:hAnsi="Times New Roman" w:eastAsia="宋体" w:cs="Times New Roman"/>
                <w:color w:val="000000" w:themeColor="text1"/>
                <w:sz w:val="24"/>
                <w:szCs w:val="21"/>
                <w:highlight w:val="none"/>
                <w:lang w:eastAsia="zh-CN"/>
                <w14:textFill>
                  <w14:solidFill>
                    <w14:schemeClr w14:val="tx1"/>
                  </w14:solidFill>
                </w14:textFill>
              </w:rPr>
              <w:t>，进水水质须满足《污水综合排放标准》（GB8978-1996）三级标准要求。</w:t>
            </w:r>
          </w:p>
          <w:p w14:paraId="3ABDF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污水处理工艺流程为“粗格栅及提升泵房+细格栅及曝气沉砂池+酸化沉淀池+A</w:t>
            </w:r>
            <w:r>
              <w:rPr>
                <w:rFonts w:hint="default"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O池+二沉池+中间提升泵站+臭氧接触氧化+曝气生物滤池+高密度沉淀池+纤维转盘滤池+紫外消毒池的处理工艺”，废水经处理后部分回用于市政道路洒水、绿化及魏县德尚环保公司除渣系统冷却用水，污水处理厂现状建有1座1000m</w:t>
            </w:r>
            <w:r>
              <w:rPr>
                <w:rFonts w:hint="default"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中水回用池，现状中水回用量约为1400m</w:t>
            </w:r>
            <w:r>
              <w:rPr>
                <w:rFonts w:hint="default"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/d，剩余部分达到《城镇污水处理厂污染物排放标准》（GB18918-2002）表1中一级A标准后外排魏大馆渠(入河排污口编号：RHWS-130434001)。</w:t>
            </w:r>
          </w:p>
          <w:p w14:paraId="5EFF1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1"/>
                <w:highlight w:val="none"/>
                <w:lang w:eastAsia="zh-CN"/>
                <w14:textFill>
                  <w14:solidFill>
                    <w14:schemeClr w14:val="tx1"/>
                  </w14:solidFill>
                </w14:textFill>
              </w:rPr>
              <w:t>本项目</w:t>
            </w:r>
            <w:r>
              <w:rPr>
                <w:rFonts w:hint="eastAsia" w:cs="Times New Roman"/>
                <w:color w:val="000000" w:themeColor="text1"/>
                <w:sz w:val="24"/>
                <w:szCs w:val="21"/>
                <w:highlight w:val="none"/>
                <w:lang w:val="en-US" w:eastAsia="zh-CN"/>
                <w14:textFill>
                  <w14:solidFill>
                    <w14:schemeClr w14:val="tx1"/>
                  </w14:solidFill>
                </w14:textFill>
              </w:rPr>
              <w:t>生产</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废水经厂区污水处理</w:t>
            </w:r>
            <w:r>
              <w:rPr>
                <w:rFonts w:hint="eastAsia" w:cs="Times New Roman"/>
                <w:color w:val="000000" w:themeColor="text1"/>
                <w:sz w:val="24"/>
                <w:szCs w:val="21"/>
                <w:highlight w:val="none"/>
                <w:lang w:val="en-US" w:eastAsia="zh-CN"/>
                <w14:textFill>
                  <w14:solidFill>
                    <w14:schemeClr w14:val="tx1"/>
                  </w14:solidFill>
                </w14:textFill>
              </w:rPr>
              <w:t>站采用</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w:t>
            </w:r>
            <w:r>
              <w:rPr>
                <w:rFonts w:hint="eastAsia" w:cs="Times New Roman"/>
                <w:color w:val="000000" w:themeColor="text1"/>
                <w:sz w:val="24"/>
                <w:szCs w:val="21"/>
                <w:highlight w:val="none"/>
                <w:lang w:val="en-US" w:eastAsia="zh-CN"/>
                <w14:textFill>
                  <w14:solidFill>
                    <w14:schemeClr w14:val="tx1"/>
                  </w14:solidFill>
                </w14:textFill>
              </w:rPr>
              <w:t>格栅+沉淀+调节+破乳+絮凝+气浮+A/O+沉淀</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w:t>
            </w:r>
            <w:r>
              <w:rPr>
                <w:rFonts w:hint="eastAsia" w:cs="Times New Roman"/>
                <w:color w:val="000000" w:themeColor="text1"/>
                <w:sz w:val="24"/>
                <w:szCs w:val="21"/>
                <w:highlight w:val="none"/>
                <w:lang w:val="en-US" w:eastAsia="zh-CN"/>
                <w14:textFill>
                  <w14:solidFill>
                    <w14:schemeClr w14:val="tx1"/>
                  </w14:solidFill>
                </w14:textFill>
              </w:rPr>
              <w:t>处理工艺，处理后废水</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达到《污水综合排放标准》（GB8978-1996）表4三级标准，同时满足魏县经济开发区污水处理有限公司进水水质要求后排入魏县经济开发区污水处理有限公司深度处理；</w:t>
            </w:r>
            <w:r>
              <w:rPr>
                <w:rFonts w:hint="eastAsia" w:cs="Times New Roman"/>
                <w:color w:val="000000" w:themeColor="text1"/>
                <w:sz w:val="24"/>
                <w:szCs w:val="21"/>
                <w:highlight w:val="none"/>
                <w:lang w:val="en-US" w:eastAsia="zh-CN"/>
                <w14:textFill>
                  <w14:solidFill>
                    <w14:schemeClr w14:val="tx1"/>
                  </w14:solidFill>
                </w14:textFill>
              </w:rPr>
              <w:t>生活废水</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经化粪池处理后</w:t>
            </w:r>
            <w:r>
              <w:rPr>
                <w:rFonts w:hint="eastAsia" w:cs="Times New Roman"/>
                <w:color w:val="000000" w:themeColor="text1"/>
                <w:sz w:val="24"/>
                <w:szCs w:val="21"/>
                <w:highlight w:val="none"/>
                <w:lang w:val="en-US" w:eastAsia="zh-CN"/>
                <w14:textFill>
                  <w14:solidFill>
                    <w14:schemeClr w14:val="tx1"/>
                  </w14:solidFill>
                </w14:textFill>
              </w:rPr>
              <w:t>，直接</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排入园区污水管网，最终进入污水处理厂集中处理。</w:t>
            </w:r>
            <w:r>
              <w:rPr>
                <w:rFonts w:hint="default" w:ascii="Times New Roman" w:hAnsi="Times New Roman" w:eastAsia="宋体" w:cs="Times New Roman"/>
                <w:color w:val="000000" w:themeColor="text1"/>
                <w:sz w:val="24"/>
                <w:szCs w:val="21"/>
                <w:highlight w:val="none"/>
                <w:lang w:eastAsia="zh-CN"/>
                <w14:textFill>
                  <w14:solidFill>
                    <w14:schemeClr w14:val="tx1"/>
                  </w14:solidFill>
                </w14:textFill>
              </w:rPr>
              <w:t>全厂总排水量为</w:t>
            </w:r>
            <w:r>
              <w:rPr>
                <w:rFonts w:hint="eastAsia" w:cs="Times New Roman"/>
                <w:color w:val="000000" w:themeColor="text1"/>
                <w:sz w:val="24"/>
                <w:szCs w:val="21"/>
                <w:highlight w:val="none"/>
                <w:lang w:val="en-US" w:eastAsia="zh-CN"/>
                <w14:textFill>
                  <w14:solidFill>
                    <w14:schemeClr w14:val="tx1"/>
                  </w14:solidFill>
                </w14:textFill>
              </w:rPr>
              <w:t>39.43</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1"/>
                <w:highlight w:val="none"/>
                <w:lang w:eastAsia="zh-CN"/>
                <w14:textFill>
                  <w14:solidFill>
                    <w14:schemeClr w14:val="tx1"/>
                  </w14:solidFill>
                </w14:textFill>
              </w:rPr>
              <w:t>魏县经济开发区污水处理有限公司的处理工艺和处理能力</w:t>
            </w:r>
            <w:r>
              <w:rPr>
                <w:rFonts w:hint="eastAsia" w:cs="Times New Roman"/>
                <w:color w:val="000000" w:themeColor="text1"/>
                <w:sz w:val="24"/>
                <w:szCs w:val="21"/>
                <w:highlight w:val="none"/>
                <w:lang w:eastAsia="zh-CN"/>
                <w14:textFill>
                  <w14:solidFill>
                    <w14:schemeClr w14:val="tx1"/>
                  </w14:solidFill>
                </w14:textFill>
              </w:rPr>
              <w:t>，均</w:t>
            </w:r>
            <w:r>
              <w:rPr>
                <w:rFonts w:hint="default" w:ascii="Times New Roman" w:hAnsi="Times New Roman" w:eastAsia="宋体" w:cs="Times New Roman"/>
                <w:color w:val="000000" w:themeColor="text1"/>
                <w:sz w:val="24"/>
                <w:szCs w:val="21"/>
                <w:highlight w:val="none"/>
                <w:lang w:eastAsia="zh-CN"/>
                <w14:textFill>
                  <w14:solidFill>
                    <w14:schemeClr w14:val="tx1"/>
                  </w14:solidFill>
                </w14:textFill>
              </w:rPr>
              <w:t>可满足本项目废水进一步处理的需求，因此依托魏县经济开发区污水处理有限公司进一步处理可行。</w:t>
            </w:r>
          </w:p>
          <w:p w14:paraId="7D788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0"/>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t>排污口设置及监测计划</w:t>
            </w:r>
          </w:p>
          <w:p w14:paraId="725A0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t>根据《排污单位自行监测技术指南 总则》（HJ819-2017）</w:t>
            </w:r>
            <w:r>
              <w:rPr>
                <w:rFonts w:hint="eastAsia" w:cs="Times New Roman"/>
                <w:color w:val="000000" w:themeColor="text1"/>
                <w:spacing w:val="0"/>
                <w:sz w:val="24"/>
                <w:highlight w:val="none"/>
                <w:lang w:eastAsia="zh-CN"/>
                <w14:textFill>
                  <w14:solidFill>
                    <w14:schemeClr w14:val="tx1"/>
                  </w14:solidFill>
                </w14:textFill>
              </w:rPr>
              <w:t>、</w:t>
            </w:r>
            <w:r>
              <w:rPr>
                <w:rFonts w:hint="eastAsia" w:cs="Times New Roman"/>
                <w:color w:val="000000" w:themeColor="text1"/>
                <w:spacing w:val="0"/>
                <w:sz w:val="24"/>
                <w:highlight w:val="none"/>
                <w:lang w:val="en-US" w:eastAsia="zh-CN"/>
                <w14:textFill>
                  <w14:solidFill>
                    <w14:schemeClr w14:val="tx1"/>
                  </w14:solidFill>
                </w14:textFill>
              </w:rPr>
              <w:t>根据《排污单位自行监测技术指南 农副食品加工业》（HJ986—2018）</w:t>
            </w:r>
            <w:r>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t>，监测指标及监测频次要求详见表</w:t>
            </w:r>
            <w:r>
              <w:rPr>
                <w:rFonts w:hint="eastAsia" w:cs="Times New Roman"/>
                <w:color w:val="000000" w:themeColor="text1"/>
                <w:spacing w:val="0"/>
                <w:sz w:val="24"/>
                <w:highlight w:val="none"/>
                <w:lang w:val="en-US" w:eastAsia="zh-CN"/>
                <w14:textFill>
                  <w14:solidFill>
                    <w14:schemeClr w14:val="tx1"/>
                  </w14:solidFill>
                </w14:textFill>
              </w:rPr>
              <w:t>4-11</w:t>
            </w:r>
            <w:r>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t>。</w:t>
            </w:r>
          </w:p>
          <w:p w14:paraId="3B8C0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宋体" w:cs="Times New Roman"/>
                <w:b/>
                <w:bCs/>
                <w:color w:val="000000" w:themeColor="text1"/>
                <w:sz w:val="4"/>
                <w:szCs w:val="24"/>
                <w:highlight w:val="none"/>
                <w14:textFill>
                  <w14:solidFill>
                    <w14:schemeClr w14:val="tx1"/>
                  </w14:solidFill>
                </w14:textFill>
              </w:rPr>
            </w:pPr>
            <w:r>
              <w:rPr>
                <w:rFonts w:hint="default" w:ascii="Times New Roman" w:hAnsi="Times New Roman" w:eastAsia="宋体" w:cs="Times New Roman"/>
                <w:b/>
                <w:bCs/>
                <w:color w:val="000000" w:themeColor="text1"/>
                <w:spacing w:val="0"/>
                <w:sz w:val="24"/>
                <w:highlight w:val="none"/>
                <w:lang w:eastAsia="zh-CN"/>
                <w14:textFill>
                  <w14:solidFill>
                    <w14:schemeClr w14:val="tx1"/>
                  </w14:solidFill>
                </w14:textFill>
              </w:rPr>
              <w:t>表</w:t>
            </w:r>
            <w:r>
              <w:rPr>
                <w:rFonts w:hint="default" w:ascii="Times New Roman" w:hAnsi="Times New Roman" w:eastAsia="宋体" w:cs="Times New Roman"/>
                <w:b/>
                <w:bCs/>
                <w:color w:val="000000" w:themeColor="text1"/>
                <w:spacing w:val="0"/>
                <w:sz w:val="24"/>
                <w:highlight w:val="none"/>
                <w:lang w:val="en-US" w:eastAsia="zh-CN"/>
                <w14:textFill>
                  <w14:solidFill>
                    <w14:schemeClr w14:val="tx1"/>
                  </w14:solidFill>
                </w14:textFill>
              </w:rPr>
              <w:t>4-</w:t>
            </w:r>
            <w:r>
              <w:rPr>
                <w:rFonts w:hint="eastAsia" w:ascii="Times New Roman" w:hAnsi="Times New Roman" w:eastAsia="宋体" w:cs="Times New Roman"/>
                <w:b/>
                <w:bCs/>
                <w:color w:val="000000" w:themeColor="text1"/>
                <w:spacing w:val="0"/>
                <w:sz w:val="24"/>
                <w:highlight w:val="none"/>
                <w:lang w:val="en-US" w:eastAsia="zh-CN"/>
                <w14:textFill>
                  <w14:solidFill>
                    <w14:schemeClr w14:val="tx1"/>
                  </w14:solidFill>
                </w14:textFill>
              </w:rPr>
              <w:t>1</w:t>
            </w:r>
            <w:r>
              <w:rPr>
                <w:rFonts w:hint="eastAsia" w:cs="Times New Roman"/>
                <w:b/>
                <w:bCs/>
                <w:color w:val="000000" w:themeColor="text1"/>
                <w:spacing w:val="0"/>
                <w:sz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pacing w:val="0"/>
                <w:sz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pacing w:val="0"/>
                <w:sz w:val="24"/>
                <w:highlight w:val="none"/>
                <w:lang w:eastAsia="zh-CN"/>
                <w14:textFill>
                  <w14:solidFill>
                    <w14:schemeClr w14:val="tx1"/>
                  </w14:solidFill>
                </w14:textFill>
              </w:rPr>
              <w:t xml:space="preserve"> 项目废水排放口监测要求一览表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1341"/>
              <w:gridCol w:w="1743"/>
              <w:gridCol w:w="3720"/>
              <w:gridCol w:w="1085"/>
            </w:tblGrid>
            <w:tr w14:paraId="04B84DE1">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05" w:type="pct"/>
                  <w:tcBorders>
                    <w:tl2br w:val="nil"/>
                    <w:tr2bl w:val="nil"/>
                  </w:tcBorders>
                  <w:noWrap w:val="0"/>
                  <w:vAlign w:val="center"/>
                </w:tcPr>
                <w:p w14:paraId="342397E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序号</w:t>
                  </w:r>
                </w:p>
              </w:tc>
              <w:tc>
                <w:tcPr>
                  <w:tcW w:w="781" w:type="pct"/>
                  <w:tcBorders>
                    <w:tl2br w:val="nil"/>
                    <w:tr2bl w:val="nil"/>
                  </w:tcBorders>
                  <w:noWrap w:val="0"/>
                  <w:vAlign w:val="center"/>
                </w:tcPr>
                <w:p w14:paraId="7C60C52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监测点位</w:t>
                  </w:r>
                </w:p>
              </w:tc>
              <w:tc>
                <w:tcPr>
                  <w:tcW w:w="1015" w:type="pct"/>
                  <w:tcBorders>
                    <w:tl2br w:val="nil"/>
                    <w:tr2bl w:val="nil"/>
                  </w:tcBorders>
                  <w:noWrap w:val="0"/>
                  <w:vAlign w:val="center"/>
                </w:tcPr>
                <w:p w14:paraId="2054267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监测指标</w:t>
                  </w:r>
                </w:p>
              </w:tc>
              <w:tc>
                <w:tcPr>
                  <w:tcW w:w="2166" w:type="pct"/>
                  <w:tcBorders>
                    <w:tl2br w:val="nil"/>
                    <w:tr2bl w:val="nil"/>
                  </w:tcBorders>
                  <w:noWrap w:val="0"/>
                  <w:vAlign w:val="center"/>
                </w:tcPr>
                <w:p w14:paraId="7C3D1A4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执行标准</w:t>
                  </w:r>
                </w:p>
              </w:tc>
              <w:tc>
                <w:tcPr>
                  <w:tcW w:w="631" w:type="pct"/>
                  <w:tcBorders>
                    <w:tl2br w:val="nil"/>
                    <w:tr2bl w:val="nil"/>
                  </w:tcBorders>
                  <w:noWrap w:val="0"/>
                  <w:vAlign w:val="center"/>
                </w:tcPr>
                <w:p w14:paraId="3CD9B24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监测频次</w:t>
                  </w:r>
                </w:p>
              </w:tc>
            </w:tr>
            <w:tr w14:paraId="29368CE9">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05" w:type="pct"/>
                  <w:tcBorders>
                    <w:tl2br w:val="nil"/>
                    <w:tr2bl w:val="nil"/>
                  </w:tcBorders>
                  <w:noWrap w:val="0"/>
                  <w:vAlign w:val="center"/>
                </w:tcPr>
                <w:p w14:paraId="71C7ED8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w:t>
                  </w:r>
                </w:p>
              </w:tc>
              <w:tc>
                <w:tcPr>
                  <w:tcW w:w="781" w:type="pct"/>
                  <w:tcBorders>
                    <w:tl2br w:val="nil"/>
                    <w:tr2bl w:val="nil"/>
                  </w:tcBorders>
                  <w:noWrap w:val="0"/>
                  <w:vAlign w:val="center"/>
                </w:tcPr>
                <w:p w14:paraId="75A85EA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污水排放口</w:t>
                  </w:r>
                </w:p>
              </w:tc>
              <w:tc>
                <w:tcPr>
                  <w:tcW w:w="1015" w:type="pct"/>
                  <w:tcBorders>
                    <w:tl2br w:val="nil"/>
                    <w:tr2bl w:val="nil"/>
                  </w:tcBorders>
                  <w:noWrap w:val="0"/>
                  <w:vAlign w:val="center"/>
                </w:tcPr>
                <w:p w14:paraId="6F380096">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pH</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COD、BOD</w:t>
                  </w:r>
                  <w:r>
                    <w:rPr>
                      <w:rFonts w:hint="default" w:ascii="Times New Roman" w:hAnsi="Times New Roman" w:eastAsia="宋体" w:cs="Times New Roman"/>
                      <w:color w:val="000000" w:themeColor="text1"/>
                      <w:highlight w:val="none"/>
                      <w:vertAlign w:val="subscript"/>
                      <w14:textFill>
                        <w14:solidFill>
                          <w14:schemeClr w14:val="tx1"/>
                        </w14:solidFill>
                      </w14:textFill>
                    </w:rPr>
                    <w:t>5</w:t>
                  </w:r>
                  <w:r>
                    <w:rPr>
                      <w:rFonts w:hint="default" w:ascii="Times New Roman" w:hAnsi="Times New Roman" w:eastAsia="宋体" w:cs="Times New Roman"/>
                      <w:color w:val="000000" w:themeColor="text1"/>
                      <w:highlight w:val="none"/>
                      <w14:textFill>
                        <w14:solidFill>
                          <w14:schemeClr w14:val="tx1"/>
                        </w14:solidFill>
                      </w14:textFill>
                    </w:rPr>
                    <w:t>、SS</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NH</w:t>
                  </w:r>
                  <w:r>
                    <w:rPr>
                      <w:rFonts w:hint="default" w:ascii="Times New Roman" w:hAnsi="Times New Roman" w:eastAsia="宋体" w:cs="Times New Roman"/>
                      <w:color w:val="000000" w:themeColor="text1"/>
                      <w:highlight w:val="none"/>
                      <w:vertAlign w:val="sub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-N</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动植物油</w:t>
                  </w:r>
                </w:p>
              </w:tc>
              <w:tc>
                <w:tcPr>
                  <w:tcW w:w="2166" w:type="pct"/>
                  <w:tcBorders>
                    <w:tl2br w:val="nil"/>
                    <w:tr2bl w:val="nil"/>
                  </w:tcBorders>
                  <w:noWrap w:val="0"/>
                  <w:vAlign w:val="center"/>
                </w:tcPr>
                <w:p w14:paraId="0833A6A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《污水综合排放标准》（GB8978-1996）表4三级标准同时满足魏县经济开发区污水处理有限公司的进水水质要求</w:t>
                  </w:r>
                </w:p>
              </w:tc>
              <w:tc>
                <w:tcPr>
                  <w:tcW w:w="631" w:type="pct"/>
                  <w:tcBorders>
                    <w:tl2br w:val="nil"/>
                    <w:tr2bl w:val="nil"/>
                  </w:tcBorders>
                  <w:noWrap w:val="0"/>
                  <w:vAlign w:val="center"/>
                </w:tcPr>
                <w:p w14:paraId="28BBB4B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highlight w:val="none"/>
                      <w14:textFill>
                        <w14:solidFill>
                          <w14:schemeClr w14:val="tx1"/>
                        </w14:solidFill>
                      </w14:textFill>
                    </w:rPr>
                    <w:t>次/</w:t>
                  </w:r>
                  <w:r>
                    <w:rPr>
                      <w:rFonts w:hint="eastAsia" w:cs="Times New Roman"/>
                      <w:color w:val="000000" w:themeColor="text1"/>
                      <w:highlight w:val="none"/>
                      <w:lang w:eastAsia="zh-CN"/>
                      <w14:textFill>
                        <w14:solidFill>
                          <w14:schemeClr w14:val="tx1"/>
                        </w14:solidFill>
                      </w14:textFill>
                    </w:rPr>
                    <w:t>季度</w:t>
                  </w:r>
                </w:p>
              </w:tc>
            </w:tr>
          </w:tbl>
          <w:p w14:paraId="77D72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本项目建成后不会对周边水环境造成影响。</w:t>
            </w:r>
          </w:p>
          <w:p w14:paraId="41D977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bidi="ar-SA"/>
                <w14:textFill>
                  <w14:solidFill>
                    <w14:schemeClr w14:val="tx1"/>
                  </w14:solidFill>
                </w14:textFill>
              </w:rPr>
              <w:t>三、噪声</w:t>
            </w:r>
          </w:p>
          <w:p w14:paraId="2A7C0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bidi="ar-SA"/>
                <w14:textFill>
                  <w14:solidFill>
                    <w14:schemeClr w14:val="tx1"/>
                  </w14:solidFill>
                </w14:textFill>
              </w:rPr>
              <w:t>1、噪声排放及治理</w:t>
            </w:r>
          </w:p>
          <w:p w14:paraId="554B8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本项目产生的噪声主要来源于各生产工序设备运行时产生的噪声，参考《环境噪声与振动控制工程技术导则》（HJ2034-2013）、《污染源源强核算技术指南农副食品加工工业-淀粉工业》（HJ996.2-2018），结合本项目实际情况，各声源源强见表</w:t>
            </w:r>
            <w:r>
              <w:rPr>
                <w:rFonts w:hint="eastAsia" w:cs="Times New Roman"/>
                <w:b w:val="0"/>
                <w:bCs w:val="0"/>
                <w:color w:val="000000" w:themeColor="text1"/>
                <w:sz w:val="24"/>
                <w:szCs w:val="24"/>
                <w:highlight w:val="none"/>
                <w:lang w:val="en-US" w:eastAsia="zh-CN" w:bidi="ar-SA"/>
                <w14:textFill>
                  <w14:solidFill>
                    <w14:schemeClr w14:val="tx1"/>
                  </w14:solidFill>
                </w14:textFill>
              </w:rPr>
              <w:t>4-12</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w:t>
            </w:r>
          </w:p>
          <w:p w14:paraId="1552A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center"/>
              <w:textAlignment w:val="auto"/>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w:t>
            </w:r>
            <w:r>
              <w:rPr>
                <w:rFonts w:hint="default" w:ascii="Times New Roman" w:hAnsi="Times New Roman" w:eastAsia="宋体" w:cs="Times New Roman"/>
                <w:b/>
                <w:color w:val="000000" w:themeColor="text1"/>
                <w:sz w:val="24"/>
                <w:lang w:val="en-US" w:eastAsia="zh-CN"/>
                <w14:textFill>
                  <w14:solidFill>
                    <w14:schemeClr w14:val="tx1"/>
                  </w14:solidFill>
                </w14:textFill>
              </w:rPr>
              <w:t>4-1</w:t>
            </w:r>
            <w:r>
              <w:rPr>
                <w:rFonts w:hint="eastAsia" w:cs="Times New Roman"/>
                <w:b/>
                <w:color w:val="000000" w:themeColor="text1"/>
                <w:sz w:val="24"/>
                <w:lang w:val="en-US" w:eastAsia="zh-CN"/>
                <w14:textFill>
                  <w14:solidFill>
                    <w14:schemeClr w14:val="tx1"/>
                  </w14:solidFill>
                </w14:textFill>
              </w:rPr>
              <w:t>2</w:t>
            </w:r>
            <w:r>
              <w:rPr>
                <w:rFonts w:hint="default" w:ascii="Times New Roman" w:hAnsi="Times New Roman" w:eastAsia="宋体" w:cs="Times New Roman"/>
                <w:b/>
                <w:color w:val="000000" w:themeColor="text1"/>
                <w:sz w:val="24"/>
                <w14:textFill>
                  <w14:solidFill>
                    <w14:schemeClr w14:val="tx1"/>
                  </w14:solidFill>
                </w14:textFill>
              </w:rPr>
              <w:t xml:space="preserve">  设备噪声声级值表（室内声源）</w:t>
            </w:r>
          </w:p>
          <w:tbl>
            <w:tblPr>
              <w:tblStyle w:val="33"/>
              <w:tblW w:w="4994"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75"/>
              <w:gridCol w:w="450"/>
              <w:gridCol w:w="780"/>
              <w:gridCol w:w="587"/>
              <w:gridCol w:w="900"/>
              <w:gridCol w:w="1137"/>
              <w:gridCol w:w="975"/>
              <w:gridCol w:w="675"/>
              <w:gridCol w:w="700"/>
              <w:gridCol w:w="642"/>
              <w:gridCol w:w="757"/>
            </w:tblGrid>
            <w:tr w14:paraId="03039DC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vMerge w:val="restart"/>
                  <w:tcBorders>
                    <w:tl2br w:val="nil"/>
                    <w:tr2bl w:val="nil"/>
                  </w:tcBorders>
                  <w:noWrap w:val="0"/>
                  <w:vAlign w:val="center"/>
                </w:tcPr>
                <w:p w14:paraId="7AF43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声源</w:t>
                  </w:r>
                </w:p>
                <w:p w14:paraId="10ED6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名称</w:t>
                  </w:r>
                </w:p>
              </w:tc>
              <w:tc>
                <w:tcPr>
                  <w:tcW w:w="262" w:type="pct"/>
                  <w:vMerge w:val="restart"/>
                  <w:tcBorders>
                    <w:tl2br w:val="nil"/>
                    <w:tr2bl w:val="nil"/>
                  </w:tcBorders>
                  <w:noWrap w:val="0"/>
                  <w:vAlign w:val="center"/>
                </w:tcPr>
                <w:p w14:paraId="7DBA9D7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数量</w:t>
                  </w:r>
                  <w:r>
                    <w:rPr>
                      <w:rFonts w:hint="default" w:ascii="Times New Roman" w:hAnsi="Times New Roman" w:eastAsia="宋体" w:cs="Times New Roman"/>
                      <w:b/>
                      <w:bCs/>
                      <w:color w:val="000000" w:themeColor="text1"/>
                      <w:spacing w:val="-20"/>
                      <w:szCs w:val="21"/>
                      <w14:textFill>
                        <w14:solidFill>
                          <w14:schemeClr w14:val="tx1"/>
                        </w14:solidFill>
                      </w14:textFill>
                    </w:rPr>
                    <w:t>台</w:t>
                  </w:r>
                </w:p>
              </w:tc>
              <w:tc>
                <w:tcPr>
                  <w:tcW w:w="454" w:type="pct"/>
                  <w:vMerge w:val="restart"/>
                  <w:tcBorders>
                    <w:tl2br w:val="nil"/>
                    <w:tr2bl w:val="nil"/>
                  </w:tcBorders>
                  <w:noWrap w:val="0"/>
                  <w:vAlign w:val="center"/>
                </w:tcPr>
                <w:p w14:paraId="71511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p>
                <w:p w14:paraId="543FD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声源</w:t>
                  </w:r>
                </w:p>
                <w:p w14:paraId="2C8CE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源强</w:t>
                  </w:r>
                </w:p>
                <w:p w14:paraId="06CD6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20"/>
                      <w:sz w:val="21"/>
                      <w:szCs w:val="21"/>
                      <w14:textFill>
                        <w14:solidFill>
                          <w14:schemeClr w14:val="tx1"/>
                        </w14:solidFill>
                      </w14:textFill>
                    </w:rPr>
                    <w:t>dB（A）</w:t>
                  </w:r>
                </w:p>
              </w:tc>
              <w:tc>
                <w:tcPr>
                  <w:tcW w:w="342" w:type="pct"/>
                  <w:vMerge w:val="restart"/>
                  <w:tcBorders>
                    <w:tl2br w:val="nil"/>
                    <w:tr2bl w:val="nil"/>
                  </w:tcBorders>
                  <w:noWrap w:val="0"/>
                  <w:vAlign w:val="center"/>
                </w:tcPr>
                <w:p w14:paraId="31158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控制</w:t>
                  </w:r>
                </w:p>
                <w:p w14:paraId="3DF38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措施</w:t>
                  </w:r>
                </w:p>
              </w:tc>
              <w:tc>
                <w:tcPr>
                  <w:tcW w:w="524" w:type="pct"/>
                  <w:vMerge w:val="restart"/>
                  <w:tcBorders>
                    <w:tl2br w:val="nil"/>
                    <w:tr2bl w:val="nil"/>
                  </w:tcBorders>
                  <w:noWrap w:val="0"/>
                  <w:vAlign w:val="center"/>
                </w:tcPr>
                <w:p w14:paraId="214B111F">
                  <w:pPr>
                    <w:keepNext w:val="0"/>
                    <w:keepLines w:val="0"/>
                    <w:suppressLineNumbers w:val="0"/>
                    <w:spacing w:before="0" w:beforeAutospacing="0" w:after="0" w:afterAutospacing="0" w:line="240" w:lineRule="exact"/>
                    <w:ind w:left="0" w:right="0"/>
                    <w:jc w:val="center"/>
                    <w:rPr>
                      <w:rFonts w:hint="eastAsia" w:eastAsia="Times New Roman"/>
                      <w:b/>
                      <w:bCs/>
                      <w:color w:val="auto"/>
                      <w:szCs w:val="21"/>
                    </w:rPr>
                  </w:pPr>
                  <w:r>
                    <w:rPr>
                      <w:rFonts w:hint="eastAsia"/>
                      <w:b/>
                      <w:bCs/>
                      <w:color w:val="auto"/>
                      <w:szCs w:val="21"/>
                    </w:rPr>
                    <w:t>空间相对位置</w:t>
                  </w:r>
                  <w:r>
                    <w:rPr>
                      <w:rFonts w:hint="eastAsia" w:eastAsia="Times New Roman"/>
                      <w:b/>
                      <w:bCs/>
                      <w:color w:val="auto"/>
                      <w:szCs w:val="21"/>
                    </w:rPr>
                    <w:t>/m</w:t>
                  </w:r>
                </w:p>
                <w:p w14:paraId="278B6A3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b/>
                      <w:bCs/>
                      <w:color w:val="auto"/>
                      <w:szCs w:val="21"/>
                    </w:rPr>
                    <w:t>（</w:t>
                  </w:r>
                  <w:r>
                    <w:rPr>
                      <w:rFonts w:hint="eastAsia" w:eastAsia="Times New Roman"/>
                      <w:b/>
                      <w:bCs/>
                      <w:color w:val="auto"/>
                      <w:szCs w:val="21"/>
                    </w:rPr>
                    <w:t>X</w:t>
                  </w:r>
                  <w:r>
                    <w:rPr>
                      <w:rFonts w:hint="eastAsia"/>
                      <w:b/>
                      <w:bCs/>
                      <w:color w:val="auto"/>
                      <w:szCs w:val="21"/>
                    </w:rPr>
                    <w:t>，</w:t>
                  </w:r>
                  <w:r>
                    <w:rPr>
                      <w:rFonts w:hint="eastAsia" w:eastAsia="Times New Roman"/>
                      <w:b/>
                      <w:bCs/>
                      <w:color w:val="auto"/>
                      <w:szCs w:val="21"/>
                    </w:rPr>
                    <w:t>Y</w:t>
                  </w:r>
                  <w:r>
                    <w:rPr>
                      <w:rFonts w:hint="eastAsia"/>
                      <w:b/>
                      <w:bCs/>
                      <w:color w:val="auto"/>
                      <w:szCs w:val="21"/>
                    </w:rPr>
                    <w:t>，</w:t>
                  </w:r>
                  <w:r>
                    <w:rPr>
                      <w:rFonts w:hint="eastAsia" w:eastAsia="Times New Roman"/>
                      <w:b/>
                      <w:bCs/>
                      <w:color w:val="auto"/>
                      <w:szCs w:val="21"/>
                    </w:rPr>
                    <w:t>Z</w:t>
                  </w:r>
                  <w:r>
                    <w:rPr>
                      <w:rFonts w:hint="eastAsia"/>
                      <w:b/>
                      <w:bCs/>
                      <w:color w:val="auto"/>
                      <w:szCs w:val="21"/>
                    </w:rPr>
                    <w:t>）</w:t>
                  </w:r>
                </w:p>
              </w:tc>
              <w:tc>
                <w:tcPr>
                  <w:tcW w:w="662" w:type="pct"/>
                  <w:vMerge w:val="restart"/>
                  <w:tcBorders>
                    <w:tl2br w:val="nil"/>
                    <w:tr2bl w:val="nil"/>
                  </w:tcBorders>
                  <w:noWrap w:val="0"/>
                  <w:vAlign w:val="center"/>
                </w:tcPr>
                <w:p w14:paraId="0280C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距室内边界距离（m）</w:t>
                  </w:r>
                </w:p>
              </w:tc>
              <w:tc>
                <w:tcPr>
                  <w:tcW w:w="568" w:type="pct"/>
                  <w:vMerge w:val="restart"/>
                  <w:tcBorders>
                    <w:tl2br w:val="nil"/>
                    <w:tr2bl w:val="nil"/>
                  </w:tcBorders>
                  <w:noWrap w:val="0"/>
                  <w:vAlign w:val="center"/>
                </w:tcPr>
                <w:p w14:paraId="4672F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室内</w:t>
                  </w:r>
                </w:p>
                <w:p w14:paraId="31ECC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边界</w:t>
                  </w:r>
                </w:p>
                <w:p w14:paraId="4ABB2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声级</w:t>
                  </w:r>
                </w:p>
                <w:p w14:paraId="58621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393" w:type="pct"/>
                  <w:vMerge w:val="restart"/>
                  <w:tcBorders>
                    <w:tl2br w:val="nil"/>
                    <w:tr2bl w:val="nil"/>
                  </w:tcBorders>
                  <w:noWrap w:val="0"/>
                  <w:vAlign w:val="center"/>
                </w:tcPr>
                <w:p w14:paraId="3A264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运行时段</w:t>
                  </w:r>
                </w:p>
              </w:tc>
              <w:tc>
                <w:tcPr>
                  <w:tcW w:w="408" w:type="pct"/>
                  <w:vMerge w:val="restart"/>
                  <w:tcBorders>
                    <w:tl2br w:val="nil"/>
                    <w:tr2bl w:val="nil"/>
                  </w:tcBorders>
                  <w:noWrap w:val="0"/>
                  <w:vAlign w:val="center"/>
                </w:tcPr>
                <w:p w14:paraId="4ABEF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建筑物损失</w:t>
                  </w:r>
                </w:p>
              </w:tc>
              <w:tc>
                <w:tcPr>
                  <w:tcW w:w="815" w:type="pct"/>
                  <w:gridSpan w:val="2"/>
                  <w:tcBorders>
                    <w:tl2br w:val="nil"/>
                    <w:tr2bl w:val="nil"/>
                  </w:tcBorders>
                  <w:noWrap w:val="0"/>
                  <w:vAlign w:val="center"/>
                </w:tcPr>
                <w:p w14:paraId="35DD2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建筑物外</w:t>
                  </w:r>
                </w:p>
              </w:tc>
            </w:tr>
            <w:tr w14:paraId="6B20D45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vMerge w:val="continue"/>
                  <w:tcBorders>
                    <w:tl2br w:val="nil"/>
                    <w:tr2bl w:val="nil"/>
                  </w:tcBorders>
                  <w:noWrap w:val="0"/>
                  <w:vAlign w:val="center"/>
                </w:tcPr>
                <w:p w14:paraId="1B738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2" w:type="pct"/>
                  <w:vMerge w:val="continue"/>
                  <w:tcBorders>
                    <w:tl2br w:val="nil"/>
                    <w:tr2bl w:val="nil"/>
                  </w:tcBorders>
                  <w:noWrap w:val="0"/>
                  <w:vAlign w:val="center"/>
                </w:tcPr>
                <w:p w14:paraId="1FB7C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54" w:type="pct"/>
                  <w:vMerge w:val="continue"/>
                  <w:tcBorders>
                    <w:tl2br w:val="nil"/>
                    <w:tr2bl w:val="nil"/>
                  </w:tcBorders>
                  <w:noWrap w:val="0"/>
                  <w:vAlign w:val="center"/>
                </w:tcPr>
                <w:p w14:paraId="239FC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42" w:type="pct"/>
                  <w:vMerge w:val="continue"/>
                  <w:tcBorders>
                    <w:tl2br w:val="nil"/>
                    <w:tr2bl w:val="nil"/>
                  </w:tcBorders>
                  <w:noWrap w:val="0"/>
                  <w:vAlign w:val="center"/>
                </w:tcPr>
                <w:p w14:paraId="3FF57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vMerge w:val="continue"/>
                  <w:tcBorders>
                    <w:tl2br w:val="nil"/>
                    <w:tr2bl w:val="nil"/>
                  </w:tcBorders>
                  <w:noWrap w:val="0"/>
                  <w:vAlign w:val="center"/>
                </w:tcPr>
                <w:p w14:paraId="748E4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62" w:type="pct"/>
                  <w:vMerge w:val="continue"/>
                  <w:tcBorders>
                    <w:tl2br w:val="nil"/>
                    <w:tr2bl w:val="nil"/>
                  </w:tcBorders>
                  <w:noWrap w:val="0"/>
                  <w:vAlign w:val="center"/>
                </w:tcPr>
                <w:p w14:paraId="394CE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568" w:type="pct"/>
                  <w:vMerge w:val="continue"/>
                  <w:tcBorders>
                    <w:tl2br w:val="nil"/>
                    <w:tr2bl w:val="nil"/>
                  </w:tcBorders>
                  <w:noWrap w:val="0"/>
                  <w:vAlign w:val="center"/>
                </w:tcPr>
                <w:p w14:paraId="46924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93" w:type="pct"/>
                  <w:vMerge w:val="continue"/>
                  <w:tcBorders>
                    <w:tl2br w:val="nil"/>
                    <w:tr2bl w:val="nil"/>
                  </w:tcBorders>
                  <w:noWrap w:val="0"/>
                  <w:vAlign w:val="center"/>
                </w:tcPr>
                <w:p w14:paraId="093EB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32E46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74" w:type="pct"/>
                  <w:tcBorders>
                    <w:tl2br w:val="nil"/>
                    <w:tr2bl w:val="nil"/>
                  </w:tcBorders>
                  <w:noWrap w:val="0"/>
                  <w:vAlign w:val="center"/>
                </w:tcPr>
                <w:p w14:paraId="4899E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声压级</w:t>
                  </w:r>
                </w:p>
                <w:p w14:paraId="28206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441" w:type="pct"/>
                  <w:tcBorders>
                    <w:tl2br w:val="nil"/>
                    <w:tr2bl w:val="nil"/>
                  </w:tcBorders>
                  <w:noWrap w:val="0"/>
                  <w:vAlign w:val="center"/>
                </w:tcPr>
                <w:p w14:paraId="179F8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距离m</w:t>
                  </w:r>
                </w:p>
              </w:tc>
            </w:tr>
            <w:tr w14:paraId="63A6EC8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095271B9">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进料&amp;混合机</w:t>
                  </w:r>
                </w:p>
              </w:tc>
              <w:tc>
                <w:tcPr>
                  <w:tcW w:w="262" w:type="pct"/>
                  <w:tcBorders>
                    <w:tl2br w:val="nil"/>
                    <w:tr2bl w:val="nil"/>
                  </w:tcBorders>
                  <w:shd w:val="clear" w:color="auto" w:fill="auto"/>
                  <w:noWrap w:val="0"/>
                  <w:vAlign w:val="center"/>
                </w:tcPr>
                <w:p w14:paraId="2BD2F42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02C5702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olor w:val="000000"/>
                      <w:szCs w:val="21"/>
                      <w:lang w:val="en-US" w:eastAsia="zh-CN"/>
                    </w:rPr>
                    <w:t>75</w:t>
                  </w:r>
                  <w:r>
                    <w:rPr>
                      <w:rFonts w:hint="eastAsia"/>
                      <w:color w:val="000000"/>
                      <w:szCs w:val="21"/>
                    </w:rPr>
                    <w:t>/1</w:t>
                  </w:r>
                </w:p>
              </w:tc>
              <w:tc>
                <w:tcPr>
                  <w:tcW w:w="342" w:type="pct"/>
                  <w:vMerge w:val="restart"/>
                  <w:tcBorders>
                    <w:tl2br w:val="nil"/>
                    <w:tr2bl w:val="nil"/>
                  </w:tcBorders>
                  <w:noWrap w:val="0"/>
                  <w:vAlign w:val="center"/>
                </w:tcPr>
                <w:p w14:paraId="7E8BB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低噪设备基础减振厂房隔声距离衰减</w:t>
                  </w:r>
                </w:p>
              </w:tc>
              <w:tc>
                <w:tcPr>
                  <w:tcW w:w="524" w:type="pct"/>
                  <w:tcBorders>
                    <w:tl2br w:val="nil"/>
                    <w:tr2bl w:val="nil"/>
                  </w:tcBorders>
                  <w:noWrap w:val="0"/>
                  <w:vAlign w:val="center"/>
                </w:tcPr>
                <w:p w14:paraId="7217D7D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36,36,1</w:t>
                  </w:r>
                </w:p>
              </w:tc>
              <w:tc>
                <w:tcPr>
                  <w:tcW w:w="662" w:type="pct"/>
                  <w:tcBorders>
                    <w:tl2br w:val="nil"/>
                    <w:tr2bl w:val="nil"/>
                  </w:tcBorders>
                  <w:noWrap w:val="0"/>
                  <w:vAlign w:val="center"/>
                </w:tcPr>
                <w:p w14:paraId="505EFC7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3</w:t>
                  </w:r>
                </w:p>
              </w:tc>
              <w:tc>
                <w:tcPr>
                  <w:tcW w:w="568" w:type="pct"/>
                  <w:tcBorders>
                    <w:tl2br w:val="nil"/>
                    <w:tr2bl w:val="nil"/>
                  </w:tcBorders>
                  <w:noWrap w:val="0"/>
                  <w:vAlign w:val="center"/>
                </w:tcPr>
                <w:p w14:paraId="25D471C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65.5 </w:t>
                  </w:r>
                </w:p>
              </w:tc>
              <w:tc>
                <w:tcPr>
                  <w:tcW w:w="393" w:type="pct"/>
                  <w:vMerge w:val="restart"/>
                  <w:tcBorders>
                    <w:tl2br w:val="nil"/>
                    <w:tr2bl w:val="nil"/>
                  </w:tcBorders>
                  <w:noWrap w:val="0"/>
                  <w:vAlign w:val="center"/>
                </w:tcPr>
                <w:p w14:paraId="108F3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昼间</w:t>
                  </w:r>
                </w:p>
              </w:tc>
              <w:tc>
                <w:tcPr>
                  <w:tcW w:w="408" w:type="pct"/>
                  <w:vMerge w:val="restart"/>
                  <w:tcBorders>
                    <w:tl2br w:val="nil"/>
                    <w:tr2bl w:val="nil"/>
                  </w:tcBorders>
                  <w:noWrap w:val="0"/>
                  <w:vAlign w:val="center"/>
                </w:tcPr>
                <w:p w14:paraId="5E4E8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21</w:t>
                  </w:r>
                </w:p>
              </w:tc>
              <w:tc>
                <w:tcPr>
                  <w:tcW w:w="642" w:type="dxa"/>
                  <w:tcBorders>
                    <w:tl2br w:val="nil"/>
                    <w:tr2bl w:val="nil"/>
                  </w:tcBorders>
                  <w:noWrap w:val="0"/>
                  <w:vAlign w:val="center"/>
                </w:tcPr>
                <w:p w14:paraId="75763F4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44.5</w:t>
                  </w:r>
                </w:p>
              </w:tc>
              <w:tc>
                <w:tcPr>
                  <w:tcW w:w="441" w:type="pct"/>
                  <w:vMerge w:val="restart"/>
                  <w:tcBorders>
                    <w:tl2br w:val="nil"/>
                    <w:tr2bl w:val="nil"/>
                  </w:tcBorders>
                  <w:noWrap w:val="0"/>
                  <w:vAlign w:val="center"/>
                </w:tcPr>
                <w:p w14:paraId="50A8E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东1</w:t>
                  </w:r>
                </w:p>
                <w:p w14:paraId="3C4F9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南1</w:t>
                  </w:r>
                </w:p>
                <w:p w14:paraId="416B6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西1</w:t>
                  </w:r>
                </w:p>
                <w:p w14:paraId="69E6C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北1</w:t>
                  </w:r>
                </w:p>
              </w:tc>
            </w:tr>
            <w:tr w14:paraId="7B3D023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0FAFD40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卸料站</w:t>
                  </w:r>
                </w:p>
              </w:tc>
              <w:tc>
                <w:tcPr>
                  <w:tcW w:w="262" w:type="pct"/>
                  <w:tcBorders>
                    <w:tl2br w:val="nil"/>
                    <w:tr2bl w:val="nil"/>
                  </w:tcBorders>
                  <w:shd w:val="clear" w:color="auto" w:fill="auto"/>
                  <w:noWrap w:val="0"/>
                  <w:vAlign w:val="center"/>
                </w:tcPr>
                <w:p w14:paraId="2194526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64A82AD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Cs w:val="21"/>
                      <w:lang w:val="en-US" w:eastAsia="zh-CN"/>
                    </w:rPr>
                    <w:t>70</w:t>
                  </w:r>
                  <w:r>
                    <w:rPr>
                      <w:rFonts w:hint="eastAsia"/>
                      <w:color w:val="000000"/>
                      <w:szCs w:val="21"/>
                    </w:rPr>
                    <w:t>/1</w:t>
                  </w:r>
                </w:p>
              </w:tc>
              <w:tc>
                <w:tcPr>
                  <w:tcW w:w="342" w:type="pct"/>
                  <w:vMerge w:val="continue"/>
                  <w:tcBorders>
                    <w:tl2br w:val="nil"/>
                    <w:tr2bl w:val="nil"/>
                  </w:tcBorders>
                  <w:noWrap w:val="0"/>
                  <w:vAlign w:val="center"/>
                </w:tcPr>
                <w:p w14:paraId="6A123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040FBBC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7,39,1</w:t>
                  </w:r>
                </w:p>
              </w:tc>
              <w:tc>
                <w:tcPr>
                  <w:tcW w:w="662" w:type="pct"/>
                  <w:tcBorders>
                    <w:tl2br w:val="nil"/>
                    <w:tr2bl w:val="nil"/>
                  </w:tcBorders>
                  <w:noWrap w:val="0"/>
                  <w:vAlign w:val="center"/>
                </w:tcPr>
                <w:p w14:paraId="575AD1B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w:t>
                  </w:r>
                </w:p>
              </w:tc>
              <w:tc>
                <w:tcPr>
                  <w:tcW w:w="568" w:type="pct"/>
                  <w:tcBorders>
                    <w:tl2br w:val="nil"/>
                    <w:tr2bl w:val="nil"/>
                  </w:tcBorders>
                  <w:noWrap w:val="0"/>
                  <w:vAlign w:val="center"/>
                </w:tcPr>
                <w:p w14:paraId="051270E1">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70.0 </w:t>
                  </w:r>
                </w:p>
              </w:tc>
              <w:tc>
                <w:tcPr>
                  <w:tcW w:w="393" w:type="pct"/>
                  <w:vMerge w:val="continue"/>
                  <w:tcBorders>
                    <w:tl2br w:val="nil"/>
                    <w:tr2bl w:val="nil"/>
                  </w:tcBorders>
                  <w:noWrap w:val="0"/>
                  <w:vAlign w:val="center"/>
                </w:tcPr>
                <w:p w14:paraId="52200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239F1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52520C9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49</w:t>
                  </w:r>
                </w:p>
              </w:tc>
              <w:tc>
                <w:tcPr>
                  <w:tcW w:w="441" w:type="pct"/>
                  <w:vMerge w:val="continue"/>
                  <w:tcBorders>
                    <w:tl2br w:val="nil"/>
                    <w:tr2bl w:val="nil"/>
                  </w:tcBorders>
                  <w:noWrap w:val="0"/>
                  <w:vAlign w:val="center"/>
                </w:tcPr>
                <w:p w14:paraId="4CA97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130230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3E9E2A3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真空上料系统</w:t>
                  </w:r>
                </w:p>
              </w:tc>
              <w:tc>
                <w:tcPr>
                  <w:tcW w:w="262" w:type="pct"/>
                  <w:tcBorders>
                    <w:tl2br w:val="nil"/>
                    <w:tr2bl w:val="nil"/>
                  </w:tcBorders>
                  <w:shd w:val="clear" w:color="auto" w:fill="auto"/>
                  <w:noWrap w:val="0"/>
                  <w:vAlign w:val="center"/>
                </w:tcPr>
                <w:p w14:paraId="7694FEA7">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04BE7F7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olor w:val="000000"/>
                      <w:szCs w:val="21"/>
                      <w:lang w:val="en-US" w:eastAsia="zh-CN"/>
                    </w:rPr>
                    <w:t>80</w:t>
                  </w:r>
                  <w:r>
                    <w:rPr>
                      <w:rFonts w:hint="eastAsia"/>
                      <w:color w:val="000000"/>
                      <w:szCs w:val="21"/>
                    </w:rPr>
                    <w:t>/1</w:t>
                  </w:r>
                </w:p>
              </w:tc>
              <w:tc>
                <w:tcPr>
                  <w:tcW w:w="342" w:type="pct"/>
                  <w:vMerge w:val="continue"/>
                  <w:tcBorders>
                    <w:tl2br w:val="nil"/>
                    <w:tr2bl w:val="nil"/>
                  </w:tcBorders>
                  <w:noWrap w:val="0"/>
                  <w:vAlign w:val="center"/>
                </w:tcPr>
                <w:p w14:paraId="17597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09C5CFA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10,34,1</w:t>
                  </w:r>
                </w:p>
              </w:tc>
              <w:tc>
                <w:tcPr>
                  <w:tcW w:w="662" w:type="pct"/>
                  <w:tcBorders>
                    <w:tl2br w:val="nil"/>
                    <w:tr2bl w:val="nil"/>
                  </w:tcBorders>
                  <w:noWrap w:val="0"/>
                  <w:vAlign w:val="center"/>
                </w:tcPr>
                <w:p w14:paraId="3AE975B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5</w:t>
                  </w:r>
                </w:p>
              </w:tc>
              <w:tc>
                <w:tcPr>
                  <w:tcW w:w="568" w:type="pct"/>
                  <w:tcBorders>
                    <w:tl2br w:val="nil"/>
                    <w:tr2bl w:val="nil"/>
                  </w:tcBorders>
                  <w:noWrap w:val="0"/>
                  <w:vAlign w:val="center"/>
                </w:tcPr>
                <w:p w14:paraId="316F1EE5">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66.0 </w:t>
                  </w:r>
                </w:p>
              </w:tc>
              <w:tc>
                <w:tcPr>
                  <w:tcW w:w="393" w:type="pct"/>
                  <w:vMerge w:val="continue"/>
                  <w:tcBorders>
                    <w:tl2br w:val="nil"/>
                    <w:tr2bl w:val="nil"/>
                  </w:tcBorders>
                  <w:noWrap w:val="0"/>
                  <w:vAlign w:val="center"/>
                </w:tcPr>
                <w:p w14:paraId="0317A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5C33D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48C1DBB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45</w:t>
                  </w:r>
                </w:p>
              </w:tc>
              <w:tc>
                <w:tcPr>
                  <w:tcW w:w="441" w:type="pct"/>
                  <w:vMerge w:val="continue"/>
                  <w:tcBorders>
                    <w:tl2br w:val="nil"/>
                    <w:tr2bl w:val="nil"/>
                  </w:tcBorders>
                  <w:noWrap w:val="0"/>
                  <w:vAlign w:val="center"/>
                </w:tcPr>
                <w:p w14:paraId="4AD80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4E710C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417CAEB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批次混合机</w:t>
                  </w:r>
                </w:p>
              </w:tc>
              <w:tc>
                <w:tcPr>
                  <w:tcW w:w="262" w:type="pct"/>
                  <w:tcBorders>
                    <w:tl2br w:val="nil"/>
                    <w:tr2bl w:val="nil"/>
                  </w:tcBorders>
                  <w:shd w:val="clear" w:color="auto" w:fill="auto"/>
                  <w:noWrap w:val="0"/>
                  <w:vAlign w:val="center"/>
                </w:tcPr>
                <w:p w14:paraId="5BABDBF4">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61EB4D5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olor w:val="000000"/>
                      <w:szCs w:val="21"/>
                      <w:lang w:val="en-US" w:eastAsia="zh-CN"/>
                    </w:rPr>
                    <w:t>85</w:t>
                  </w:r>
                  <w:r>
                    <w:rPr>
                      <w:rFonts w:hint="eastAsia"/>
                      <w:color w:val="000000"/>
                      <w:szCs w:val="21"/>
                    </w:rPr>
                    <w:t>/1</w:t>
                  </w:r>
                </w:p>
              </w:tc>
              <w:tc>
                <w:tcPr>
                  <w:tcW w:w="342" w:type="pct"/>
                  <w:vMerge w:val="continue"/>
                  <w:tcBorders>
                    <w:tl2br w:val="nil"/>
                    <w:tr2bl w:val="nil"/>
                  </w:tcBorders>
                  <w:noWrap w:val="0"/>
                  <w:vAlign w:val="center"/>
                </w:tcPr>
                <w:p w14:paraId="0F77D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514C780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10,39,1</w:t>
                  </w:r>
                </w:p>
              </w:tc>
              <w:tc>
                <w:tcPr>
                  <w:tcW w:w="662" w:type="pct"/>
                  <w:tcBorders>
                    <w:tl2br w:val="nil"/>
                    <w:tr2bl w:val="nil"/>
                  </w:tcBorders>
                  <w:noWrap w:val="0"/>
                  <w:vAlign w:val="center"/>
                </w:tcPr>
                <w:p w14:paraId="28AC5FC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w:t>
                  </w:r>
                </w:p>
              </w:tc>
              <w:tc>
                <w:tcPr>
                  <w:tcW w:w="568" w:type="pct"/>
                  <w:tcBorders>
                    <w:tl2br w:val="nil"/>
                    <w:tr2bl w:val="nil"/>
                  </w:tcBorders>
                  <w:noWrap w:val="0"/>
                  <w:vAlign w:val="center"/>
                </w:tcPr>
                <w:p w14:paraId="47EAB49D">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85.0 </w:t>
                  </w:r>
                </w:p>
              </w:tc>
              <w:tc>
                <w:tcPr>
                  <w:tcW w:w="393" w:type="pct"/>
                  <w:vMerge w:val="continue"/>
                  <w:tcBorders>
                    <w:tl2br w:val="nil"/>
                    <w:tr2bl w:val="nil"/>
                  </w:tcBorders>
                  <w:noWrap w:val="0"/>
                  <w:vAlign w:val="center"/>
                </w:tcPr>
                <w:p w14:paraId="3B7A7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49421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2FB33BB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64</w:t>
                  </w:r>
                </w:p>
              </w:tc>
              <w:tc>
                <w:tcPr>
                  <w:tcW w:w="441" w:type="pct"/>
                  <w:vMerge w:val="continue"/>
                  <w:tcBorders>
                    <w:tl2br w:val="nil"/>
                    <w:tr2bl w:val="nil"/>
                  </w:tcBorders>
                  <w:noWrap w:val="0"/>
                  <w:vAlign w:val="center"/>
                </w:tcPr>
                <w:p w14:paraId="0CB8A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0B444F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0E582DA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挤压</w:t>
                  </w:r>
                  <w:r>
                    <w:rPr>
                      <w:rFonts w:hint="eastAsia" w:ascii="Times New Roman" w:hAnsi="Times New Roman" w:eastAsia="宋体" w:cs="Times New Roman"/>
                      <w:i w:val="0"/>
                      <w:iCs w:val="0"/>
                      <w:color w:val="000000"/>
                      <w:kern w:val="0"/>
                      <w:sz w:val="21"/>
                      <w:szCs w:val="21"/>
                      <w:u w:val="none"/>
                      <w:lang w:val="en-US" w:eastAsia="zh-CN" w:bidi="ar"/>
                    </w:rPr>
                    <w:t>机</w:t>
                  </w:r>
                </w:p>
              </w:tc>
              <w:tc>
                <w:tcPr>
                  <w:tcW w:w="262" w:type="pct"/>
                  <w:tcBorders>
                    <w:tl2br w:val="nil"/>
                    <w:tr2bl w:val="nil"/>
                  </w:tcBorders>
                  <w:shd w:val="clear" w:color="auto" w:fill="auto"/>
                  <w:noWrap w:val="0"/>
                  <w:vAlign w:val="center"/>
                </w:tcPr>
                <w:p w14:paraId="1A8C6FFD">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529C38A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olor w:val="000000"/>
                      <w:szCs w:val="21"/>
                      <w:lang w:val="en-US" w:eastAsia="zh-CN"/>
                    </w:rPr>
                    <w:t>80</w:t>
                  </w:r>
                  <w:r>
                    <w:rPr>
                      <w:rFonts w:hint="eastAsia"/>
                      <w:color w:val="000000"/>
                      <w:szCs w:val="21"/>
                    </w:rPr>
                    <w:t>/1</w:t>
                  </w:r>
                </w:p>
              </w:tc>
              <w:tc>
                <w:tcPr>
                  <w:tcW w:w="342" w:type="pct"/>
                  <w:vMerge w:val="continue"/>
                  <w:tcBorders>
                    <w:tl2br w:val="nil"/>
                    <w:tr2bl w:val="nil"/>
                  </w:tcBorders>
                  <w:noWrap w:val="0"/>
                  <w:vAlign w:val="center"/>
                </w:tcPr>
                <w:p w14:paraId="6EB93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0AC641C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9,-29,1</w:t>
                  </w:r>
                </w:p>
              </w:tc>
              <w:tc>
                <w:tcPr>
                  <w:tcW w:w="662" w:type="pct"/>
                  <w:tcBorders>
                    <w:tl2br w:val="nil"/>
                    <w:tr2bl w:val="nil"/>
                  </w:tcBorders>
                  <w:noWrap w:val="0"/>
                  <w:vAlign w:val="center"/>
                </w:tcPr>
                <w:p w14:paraId="4B0B9ED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w:t>
                  </w:r>
                </w:p>
              </w:tc>
              <w:tc>
                <w:tcPr>
                  <w:tcW w:w="568" w:type="pct"/>
                  <w:tcBorders>
                    <w:tl2br w:val="nil"/>
                    <w:tr2bl w:val="nil"/>
                  </w:tcBorders>
                  <w:noWrap w:val="0"/>
                  <w:vAlign w:val="center"/>
                </w:tcPr>
                <w:p w14:paraId="3D4BA003">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60.0 </w:t>
                  </w:r>
                </w:p>
              </w:tc>
              <w:tc>
                <w:tcPr>
                  <w:tcW w:w="393" w:type="pct"/>
                  <w:vMerge w:val="continue"/>
                  <w:tcBorders>
                    <w:tl2br w:val="nil"/>
                    <w:tr2bl w:val="nil"/>
                  </w:tcBorders>
                  <w:noWrap w:val="0"/>
                  <w:vAlign w:val="center"/>
                </w:tcPr>
                <w:p w14:paraId="44AE2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7F4AD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2C678D0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39</w:t>
                  </w:r>
                </w:p>
              </w:tc>
              <w:tc>
                <w:tcPr>
                  <w:tcW w:w="441" w:type="pct"/>
                  <w:vMerge w:val="continue"/>
                  <w:tcBorders>
                    <w:tl2br w:val="nil"/>
                    <w:tr2bl w:val="nil"/>
                  </w:tcBorders>
                  <w:noWrap w:val="0"/>
                  <w:vAlign w:val="center"/>
                </w:tcPr>
                <w:p w14:paraId="2712B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5DA8CA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2E00F469">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管绞龙</w:t>
                  </w:r>
                </w:p>
              </w:tc>
              <w:tc>
                <w:tcPr>
                  <w:tcW w:w="262" w:type="pct"/>
                  <w:tcBorders>
                    <w:tl2br w:val="nil"/>
                    <w:tr2bl w:val="nil"/>
                  </w:tcBorders>
                  <w:shd w:val="clear" w:color="auto" w:fill="auto"/>
                  <w:noWrap w:val="0"/>
                  <w:vAlign w:val="center"/>
                </w:tcPr>
                <w:p w14:paraId="77B34BD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62397E2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Cs w:val="21"/>
                      <w:lang w:val="en-US" w:eastAsia="zh-CN"/>
                    </w:rPr>
                    <w:t>85</w:t>
                  </w:r>
                  <w:r>
                    <w:rPr>
                      <w:rFonts w:hint="eastAsia"/>
                      <w:color w:val="000000"/>
                      <w:szCs w:val="21"/>
                    </w:rPr>
                    <w:t>/1</w:t>
                  </w:r>
                </w:p>
              </w:tc>
              <w:tc>
                <w:tcPr>
                  <w:tcW w:w="342" w:type="pct"/>
                  <w:vMerge w:val="continue"/>
                  <w:tcBorders>
                    <w:tl2br w:val="nil"/>
                    <w:tr2bl w:val="nil"/>
                  </w:tcBorders>
                  <w:noWrap w:val="0"/>
                  <w:vAlign w:val="center"/>
                </w:tcPr>
                <w:p w14:paraId="40B71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248E140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12,-29,1</w:t>
                  </w:r>
                </w:p>
              </w:tc>
              <w:tc>
                <w:tcPr>
                  <w:tcW w:w="662" w:type="pct"/>
                  <w:tcBorders>
                    <w:tl2br w:val="nil"/>
                    <w:tr2bl w:val="nil"/>
                  </w:tcBorders>
                  <w:noWrap w:val="0"/>
                  <w:vAlign w:val="center"/>
                </w:tcPr>
                <w:p w14:paraId="2A4E117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w:t>
                  </w:r>
                </w:p>
              </w:tc>
              <w:tc>
                <w:tcPr>
                  <w:tcW w:w="568" w:type="pct"/>
                  <w:tcBorders>
                    <w:tl2br w:val="nil"/>
                    <w:tr2bl w:val="nil"/>
                  </w:tcBorders>
                  <w:noWrap w:val="0"/>
                  <w:vAlign w:val="center"/>
                </w:tcPr>
                <w:p w14:paraId="026BEA16">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65.0 </w:t>
                  </w:r>
                </w:p>
              </w:tc>
              <w:tc>
                <w:tcPr>
                  <w:tcW w:w="393" w:type="pct"/>
                  <w:vMerge w:val="continue"/>
                  <w:tcBorders>
                    <w:tl2br w:val="nil"/>
                    <w:tr2bl w:val="nil"/>
                  </w:tcBorders>
                  <w:noWrap w:val="0"/>
                  <w:vAlign w:val="center"/>
                </w:tcPr>
                <w:p w14:paraId="2EA5B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2825C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5744272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44</w:t>
                  </w:r>
                </w:p>
              </w:tc>
              <w:tc>
                <w:tcPr>
                  <w:tcW w:w="441" w:type="pct"/>
                  <w:vMerge w:val="continue"/>
                  <w:tcBorders>
                    <w:tl2br w:val="nil"/>
                    <w:tr2bl w:val="nil"/>
                  </w:tcBorders>
                  <w:noWrap w:val="0"/>
                  <w:vAlign w:val="center"/>
                </w:tcPr>
                <w:p w14:paraId="17871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F999AE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51F4828F">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单层预调质器</w:t>
                  </w:r>
                </w:p>
              </w:tc>
              <w:tc>
                <w:tcPr>
                  <w:tcW w:w="262" w:type="pct"/>
                  <w:tcBorders>
                    <w:tl2br w:val="nil"/>
                    <w:tr2bl w:val="nil"/>
                  </w:tcBorders>
                  <w:shd w:val="clear" w:color="auto" w:fill="auto"/>
                  <w:noWrap w:val="0"/>
                  <w:vAlign w:val="center"/>
                </w:tcPr>
                <w:p w14:paraId="2339F67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1405411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kern w:val="2"/>
                      <w:sz w:val="21"/>
                      <w:szCs w:val="21"/>
                      <w:lang w:val="en-US"/>
                      <w14:textFill>
                        <w14:solidFill>
                          <w14:schemeClr w14:val="tx1"/>
                        </w14:solidFill>
                      </w14:textFill>
                    </w:rPr>
                  </w:pPr>
                  <w:r>
                    <w:rPr>
                      <w:rFonts w:hint="eastAsia"/>
                      <w:color w:val="000000"/>
                      <w:szCs w:val="21"/>
                      <w:lang w:val="en-US" w:eastAsia="zh-CN"/>
                    </w:rPr>
                    <w:t>81</w:t>
                  </w:r>
                  <w:r>
                    <w:rPr>
                      <w:rFonts w:hint="eastAsia"/>
                      <w:color w:val="000000"/>
                      <w:szCs w:val="21"/>
                    </w:rPr>
                    <w:t>/1</w:t>
                  </w:r>
                </w:p>
              </w:tc>
              <w:tc>
                <w:tcPr>
                  <w:tcW w:w="342" w:type="pct"/>
                  <w:vMerge w:val="continue"/>
                  <w:tcBorders>
                    <w:tl2br w:val="nil"/>
                    <w:tr2bl w:val="nil"/>
                  </w:tcBorders>
                  <w:noWrap w:val="0"/>
                  <w:vAlign w:val="center"/>
                </w:tcPr>
                <w:p w14:paraId="155BF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6DA6049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15,-29,1</w:t>
                  </w:r>
                </w:p>
              </w:tc>
              <w:tc>
                <w:tcPr>
                  <w:tcW w:w="662" w:type="pct"/>
                  <w:tcBorders>
                    <w:tl2br w:val="nil"/>
                    <w:tr2bl w:val="nil"/>
                  </w:tcBorders>
                  <w:noWrap w:val="0"/>
                  <w:vAlign w:val="center"/>
                </w:tcPr>
                <w:p w14:paraId="43DBA28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w:t>
                  </w:r>
                </w:p>
              </w:tc>
              <w:tc>
                <w:tcPr>
                  <w:tcW w:w="568" w:type="pct"/>
                  <w:tcBorders>
                    <w:tl2br w:val="nil"/>
                    <w:tr2bl w:val="nil"/>
                  </w:tcBorders>
                  <w:noWrap w:val="0"/>
                  <w:vAlign w:val="center"/>
                </w:tcPr>
                <w:p w14:paraId="04F7B9A5">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61.0 </w:t>
                  </w:r>
                </w:p>
              </w:tc>
              <w:tc>
                <w:tcPr>
                  <w:tcW w:w="393" w:type="pct"/>
                  <w:vMerge w:val="continue"/>
                  <w:tcBorders>
                    <w:tl2br w:val="nil"/>
                    <w:tr2bl w:val="nil"/>
                  </w:tcBorders>
                  <w:noWrap w:val="0"/>
                  <w:vAlign w:val="center"/>
                </w:tcPr>
                <w:p w14:paraId="498F9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35BC9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5B741E1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40</w:t>
                  </w:r>
                </w:p>
              </w:tc>
              <w:tc>
                <w:tcPr>
                  <w:tcW w:w="441" w:type="pct"/>
                  <w:vMerge w:val="continue"/>
                  <w:tcBorders>
                    <w:tl2br w:val="nil"/>
                    <w:tr2bl w:val="nil"/>
                  </w:tcBorders>
                  <w:noWrap w:val="0"/>
                  <w:vAlign w:val="center"/>
                </w:tcPr>
                <w:p w14:paraId="6A2DE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79A05B3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58CB2752">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双螺杆挤压机</w:t>
                  </w:r>
                </w:p>
              </w:tc>
              <w:tc>
                <w:tcPr>
                  <w:tcW w:w="262" w:type="pct"/>
                  <w:tcBorders>
                    <w:tl2br w:val="nil"/>
                    <w:tr2bl w:val="nil"/>
                  </w:tcBorders>
                  <w:shd w:val="clear" w:color="auto" w:fill="auto"/>
                  <w:noWrap w:val="0"/>
                  <w:vAlign w:val="center"/>
                </w:tcPr>
                <w:p w14:paraId="658DC3E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40AA574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color w:val="000000"/>
                      <w:szCs w:val="21"/>
                      <w:lang w:val="en-US" w:eastAsia="zh-CN"/>
                    </w:rPr>
                    <w:t>75</w:t>
                  </w:r>
                  <w:r>
                    <w:rPr>
                      <w:rFonts w:hint="eastAsia"/>
                      <w:color w:val="000000"/>
                      <w:szCs w:val="21"/>
                    </w:rPr>
                    <w:t>/1</w:t>
                  </w:r>
                </w:p>
              </w:tc>
              <w:tc>
                <w:tcPr>
                  <w:tcW w:w="342" w:type="pct"/>
                  <w:vMerge w:val="continue"/>
                  <w:tcBorders>
                    <w:tl2br w:val="nil"/>
                    <w:tr2bl w:val="nil"/>
                  </w:tcBorders>
                  <w:noWrap w:val="0"/>
                  <w:vAlign w:val="center"/>
                </w:tcPr>
                <w:p w14:paraId="66D15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021DDBD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18,-29,1</w:t>
                  </w:r>
                </w:p>
              </w:tc>
              <w:tc>
                <w:tcPr>
                  <w:tcW w:w="662" w:type="pct"/>
                  <w:tcBorders>
                    <w:tl2br w:val="nil"/>
                    <w:tr2bl w:val="nil"/>
                  </w:tcBorders>
                  <w:noWrap w:val="0"/>
                  <w:vAlign w:val="center"/>
                </w:tcPr>
                <w:p w14:paraId="51CB620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w:t>
                  </w:r>
                </w:p>
              </w:tc>
              <w:tc>
                <w:tcPr>
                  <w:tcW w:w="568" w:type="pct"/>
                  <w:tcBorders>
                    <w:tl2br w:val="nil"/>
                    <w:tr2bl w:val="nil"/>
                  </w:tcBorders>
                  <w:noWrap w:val="0"/>
                  <w:vAlign w:val="center"/>
                </w:tcPr>
                <w:p w14:paraId="3B7F5603">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55.0 </w:t>
                  </w:r>
                </w:p>
              </w:tc>
              <w:tc>
                <w:tcPr>
                  <w:tcW w:w="393" w:type="pct"/>
                  <w:vMerge w:val="continue"/>
                  <w:tcBorders>
                    <w:tl2br w:val="nil"/>
                    <w:tr2bl w:val="nil"/>
                  </w:tcBorders>
                  <w:noWrap w:val="0"/>
                  <w:vAlign w:val="center"/>
                </w:tcPr>
                <w:p w14:paraId="78177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2F874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7438938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34</w:t>
                  </w:r>
                </w:p>
              </w:tc>
              <w:tc>
                <w:tcPr>
                  <w:tcW w:w="441" w:type="pct"/>
                  <w:vMerge w:val="continue"/>
                  <w:tcBorders>
                    <w:tl2br w:val="nil"/>
                    <w:tr2bl w:val="nil"/>
                  </w:tcBorders>
                  <w:noWrap w:val="0"/>
                  <w:vAlign w:val="center"/>
                </w:tcPr>
                <w:p w14:paraId="07B0E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54CB9B6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7AA0D707">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挤压机控制系统</w:t>
                  </w:r>
                </w:p>
              </w:tc>
              <w:tc>
                <w:tcPr>
                  <w:tcW w:w="262" w:type="pct"/>
                  <w:tcBorders>
                    <w:tl2br w:val="nil"/>
                    <w:tr2bl w:val="nil"/>
                  </w:tcBorders>
                  <w:shd w:val="clear" w:color="auto" w:fill="auto"/>
                  <w:noWrap w:val="0"/>
                  <w:vAlign w:val="center"/>
                </w:tcPr>
                <w:p w14:paraId="4E6DF65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072C02C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kern w:val="2"/>
                      <w:sz w:val="21"/>
                      <w:szCs w:val="21"/>
                      <w:lang w:val="en-US"/>
                      <w14:textFill>
                        <w14:solidFill>
                          <w14:schemeClr w14:val="tx1"/>
                        </w14:solidFill>
                      </w14:textFill>
                    </w:rPr>
                  </w:pPr>
                  <w:r>
                    <w:rPr>
                      <w:rFonts w:hint="eastAsia"/>
                      <w:color w:val="000000"/>
                      <w:szCs w:val="21"/>
                      <w:lang w:val="en-US" w:eastAsia="zh-CN"/>
                    </w:rPr>
                    <w:t>80</w:t>
                  </w:r>
                  <w:r>
                    <w:rPr>
                      <w:rFonts w:hint="eastAsia"/>
                      <w:color w:val="000000"/>
                      <w:szCs w:val="21"/>
                    </w:rPr>
                    <w:t>/1</w:t>
                  </w:r>
                </w:p>
              </w:tc>
              <w:tc>
                <w:tcPr>
                  <w:tcW w:w="342" w:type="pct"/>
                  <w:vMerge w:val="continue"/>
                  <w:tcBorders>
                    <w:tl2br w:val="nil"/>
                    <w:tr2bl w:val="nil"/>
                  </w:tcBorders>
                  <w:noWrap w:val="0"/>
                  <w:vAlign w:val="center"/>
                </w:tcPr>
                <w:p w14:paraId="21103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4D1FEEC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5,-29,1</w:t>
                  </w:r>
                </w:p>
              </w:tc>
              <w:tc>
                <w:tcPr>
                  <w:tcW w:w="662" w:type="pct"/>
                  <w:tcBorders>
                    <w:tl2br w:val="nil"/>
                    <w:tr2bl w:val="nil"/>
                  </w:tcBorders>
                  <w:noWrap w:val="0"/>
                  <w:vAlign w:val="center"/>
                </w:tcPr>
                <w:p w14:paraId="1BF5575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w:t>
                  </w:r>
                </w:p>
              </w:tc>
              <w:tc>
                <w:tcPr>
                  <w:tcW w:w="568" w:type="pct"/>
                  <w:tcBorders>
                    <w:tl2br w:val="nil"/>
                    <w:tr2bl w:val="nil"/>
                  </w:tcBorders>
                  <w:noWrap w:val="0"/>
                  <w:vAlign w:val="center"/>
                </w:tcPr>
                <w:p w14:paraId="79E2A03A">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60.0 </w:t>
                  </w:r>
                </w:p>
              </w:tc>
              <w:tc>
                <w:tcPr>
                  <w:tcW w:w="393" w:type="pct"/>
                  <w:vMerge w:val="continue"/>
                  <w:tcBorders>
                    <w:tl2br w:val="nil"/>
                    <w:tr2bl w:val="nil"/>
                  </w:tcBorders>
                  <w:noWrap w:val="0"/>
                  <w:vAlign w:val="center"/>
                </w:tcPr>
                <w:p w14:paraId="58E94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59BAF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32EAC1C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39</w:t>
                  </w:r>
                </w:p>
              </w:tc>
              <w:tc>
                <w:tcPr>
                  <w:tcW w:w="441" w:type="pct"/>
                  <w:vMerge w:val="continue"/>
                  <w:tcBorders>
                    <w:tl2br w:val="nil"/>
                    <w:tr2bl w:val="nil"/>
                  </w:tcBorders>
                  <w:noWrap w:val="0"/>
                  <w:vAlign w:val="center"/>
                </w:tcPr>
                <w:p w14:paraId="5B3E2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5AF842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218CAE4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添加系统</w:t>
                  </w:r>
                </w:p>
              </w:tc>
              <w:tc>
                <w:tcPr>
                  <w:tcW w:w="262" w:type="pct"/>
                  <w:tcBorders>
                    <w:tl2br w:val="nil"/>
                    <w:tr2bl w:val="nil"/>
                  </w:tcBorders>
                  <w:shd w:val="clear" w:color="auto" w:fill="auto"/>
                  <w:noWrap w:val="0"/>
                  <w:vAlign w:val="center"/>
                </w:tcPr>
                <w:p w14:paraId="29AD8A0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1CD2A5B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kern w:val="2"/>
                      <w:sz w:val="21"/>
                      <w:szCs w:val="21"/>
                      <w:lang w:val="en-US"/>
                      <w14:textFill>
                        <w14:solidFill>
                          <w14:schemeClr w14:val="tx1"/>
                        </w14:solidFill>
                      </w14:textFill>
                    </w:rPr>
                  </w:pPr>
                  <w:r>
                    <w:rPr>
                      <w:rFonts w:hint="eastAsia"/>
                      <w:color w:val="000000"/>
                      <w:szCs w:val="21"/>
                      <w:lang w:val="en-US" w:eastAsia="zh-CN"/>
                    </w:rPr>
                    <w:t>85</w:t>
                  </w:r>
                  <w:r>
                    <w:rPr>
                      <w:rFonts w:hint="eastAsia"/>
                      <w:color w:val="000000"/>
                      <w:szCs w:val="21"/>
                    </w:rPr>
                    <w:t>/1</w:t>
                  </w:r>
                </w:p>
              </w:tc>
              <w:tc>
                <w:tcPr>
                  <w:tcW w:w="342" w:type="pct"/>
                  <w:vMerge w:val="continue"/>
                  <w:tcBorders>
                    <w:tl2br w:val="nil"/>
                    <w:tr2bl w:val="nil"/>
                  </w:tcBorders>
                  <w:noWrap w:val="0"/>
                  <w:vAlign w:val="center"/>
                </w:tcPr>
                <w:p w14:paraId="2FF48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31AD63E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0,-29,1</w:t>
                  </w:r>
                </w:p>
              </w:tc>
              <w:tc>
                <w:tcPr>
                  <w:tcW w:w="662" w:type="pct"/>
                  <w:tcBorders>
                    <w:tl2br w:val="nil"/>
                    <w:tr2bl w:val="nil"/>
                  </w:tcBorders>
                  <w:noWrap w:val="0"/>
                  <w:vAlign w:val="center"/>
                </w:tcPr>
                <w:p w14:paraId="1E90F93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w:t>
                  </w:r>
                </w:p>
              </w:tc>
              <w:tc>
                <w:tcPr>
                  <w:tcW w:w="568" w:type="pct"/>
                  <w:tcBorders>
                    <w:tl2br w:val="nil"/>
                    <w:tr2bl w:val="nil"/>
                  </w:tcBorders>
                  <w:noWrap w:val="0"/>
                  <w:vAlign w:val="center"/>
                </w:tcPr>
                <w:p w14:paraId="3F4FF9BA">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65.0 </w:t>
                  </w:r>
                </w:p>
              </w:tc>
              <w:tc>
                <w:tcPr>
                  <w:tcW w:w="393" w:type="pct"/>
                  <w:vMerge w:val="continue"/>
                  <w:tcBorders>
                    <w:tl2br w:val="nil"/>
                    <w:tr2bl w:val="nil"/>
                  </w:tcBorders>
                  <w:noWrap w:val="0"/>
                  <w:vAlign w:val="center"/>
                </w:tcPr>
                <w:p w14:paraId="02391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41BA3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2E857B9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44</w:t>
                  </w:r>
                </w:p>
              </w:tc>
              <w:tc>
                <w:tcPr>
                  <w:tcW w:w="441" w:type="pct"/>
                  <w:vMerge w:val="continue"/>
                  <w:tcBorders>
                    <w:tl2br w:val="nil"/>
                    <w:tr2bl w:val="nil"/>
                  </w:tcBorders>
                  <w:noWrap w:val="0"/>
                  <w:vAlign w:val="center"/>
                </w:tcPr>
                <w:p w14:paraId="31E36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254373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2BC39A25">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碱液添加罐</w:t>
                  </w:r>
                </w:p>
              </w:tc>
              <w:tc>
                <w:tcPr>
                  <w:tcW w:w="262" w:type="pct"/>
                  <w:tcBorders>
                    <w:tl2br w:val="nil"/>
                    <w:tr2bl w:val="nil"/>
                  </w:tcBorders>
                  <w:shd w:val="clear" w:color="auto" w:fill="auto"/>
                  <w:noWrap w:val="0"/>
                  <w:vAlign w:val="center"/>
                </w:tcPr>
                <w:p w14:paraId="27ED3B1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4393889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color w:val="000000"/>
                      <w:szCs w:val="21"/>
                      <w:lang w:val="en-US" w:eastAsia="zh-CN"/>
                    </w:rPr>
                    <w:t>75/1</w:t>
                  </w:r>
                </w:p>
              </w:tc>
              <w:tc>
                <w:tcPr>
                  <w:tcW w:w="342" w:type="pct"/>
                  <w:vMerge w:val="continue"/>
                  <w:tcBorders>
                    <w:tl2br w:val="nil"/>
                    <w:tr2bl w:val="nil"/>
                  </w:tcBorders>
                  <w:noWrap w:val="0"/>
                  <w:vAlign w:val="center"/>
                </w:tcPr>
                <w:p w14:paraId="38F06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2AB6C3F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-10,-29,1</w:t>
                  </w:r>
                </w:p>
              </w:tc>
              <w:tc>
                <w:tcPr>
                  <w:tcW w:w="662" w:type="pct"/>
                  <w:tcBorders>
                    <w:tl2br w:val="nil"/>
                    <w:tr2bl w:val="nil"/>
                  </w:tcBorders>
                  <w:noWrap w:val="0"/>
                  <w:vAlign w:val="center"/>
                </w:tcPr>
                <w:p w14:paraId="49F9B1F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w:t>
                  </w:r>
                </w:p>
              </w:tc>
              <w:tc>
                <w:tcPr>
                  <w:tcW w:w="568" w:type="pct"/>
                  <w:tcBorders>
                    <w:tl2br w:val="nil"/>
                    <w:tr2bl w:val="nil"/>
                  </w:tcBorders>
                  <w:noWrap w:val="0"/>
                  <w:vAlign w:val="center"/>
                </w:tcPr>
                <w:p w14:paraId="3EC365B2">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55.0 </w:t>
                  </w:r>
                </w:p>
              </w:tc>
              <w:tc>
                <w:tcPr>
                  <w:tcW w:w="393" w:type="pct"/>
                  <w:vMerge w:val="continue"/>
                  <w:tcBorders>
                    <w:tl2br w:val="nil"/>
                    <w:tr2bl w:val="nil"/>
                  </w:tcBorders>
                  <w:noWrap w:val="0"/>
                  <w:vAlign w:val="center"/>
                </w:tcPr>
                <w:p w14:paraId="1F8BB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2FE4C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6148229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34</w:t>
                  </w:r>
                </w:p>
              </w:tc>
              <w:tc>
                <w:tcPr>
                  <w:tcW w:w="441" w:type="pct"/>
                  <w:vMerge w:val="continue"/>
                  <w:tcBorders>
                    <w:tl2br w:val="nil"/>
                    <w:tr2bl w:val="nil"/>
                  </w:tcBorders>
                  <w:noWrap w:val="0"/>
                  <w:vAlign w:val="center"/>
                </w:tcPr>
                <w:p w14:paraId="421FE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998D29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31922CC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初效过滤器</w:t>
                  </w:r>
                </w:p>
              </w:tc>
              <w:tc>
                <w:tcPr>
                  <w:tcW w:w="262" w:type="pct"/>
                  <w:tcBorders>
                    <w:tl2br w:val="nil"/>
                    <w:tr2bl w:val="nil"/>
                  </w:tcBorders>
                  <w:shd w:val="clear" w:color="auto" w:fill="auto"/>
                  <w:noWrap w:val="0"/>
                  <w:vAlign w:val="center"/>
                </w:tcPr>
                <w:p w14:paraId="24CACAD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3C607CF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szCs w:val="21"/>
                      <w:lang w:val="en-US" w:eastAsia="zh-CN"/>
                    </w:rPr>
                    <w:t>75</w:t>
                  </w:r>
                  <w:r>
                    <w:rPr>
                      <w:rFonts w:hint="eastAsia"/>
                      <w:color w:val="000000"/>
                      <w:szCs w:val="21"/>
                    </w:rPr>
                    <w:t>/1</w:t>
                  </w:r>
                </w:p>
              </w:tc>
              <w:tc>
                <w:tcPr>
                  <w:tcW w:w="342" w:type="pct"/>
                  <w:vMerge w:val="continue"/>
                  <w:tcBorders>
                    <w:tl2br w:val="nil"/>
                    <w:tr2bl w:val="nil"/>
                  </w:tcBorders>
                  <w:noWrap w:val="0"/>
                  <w:vAlign w:val="center"/>
                </w:tcPr>
                <w:p w14:paraId="6BBD4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p>
              </w:tc>
              <w:tc>
                <w:tcPr>
                  <w:tcW w:w="524" w:type="pct"/>
                  <w:tcBorders>
                    <w:tl2br w:val="nil"/>
                    <w:tr2bl w:val="nil"/>
                  </w:tcBorders>
                  <w:noWrap w:val="0"/>
                  <w:vAlign w:val="center"/>
                </w:tcPr>
                <w:p w14:paraId="656C604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olor w:val="000000"/>
                      <w:szCs w:val="21"/>
                      <w:lang w:val="en-US" w:eastAsia="zh-CN"/>
                    </w:rPr>
                    <w:t>-19,-34,1</w:t>
                  </w:r>
                </w:p>
              </w:tc>
              <w:tc>
                <w:tcPr>
                  <w:tcW w:w="662" w:type="pct"/>
                  <w:tcBorders>
                    <w:tl2br w:val="nil"/>
                    <w:tr2bl w:val="nil"/>
                  </w:tcBorders>
                  <w:noWrap w:val="0"/>
                  <w:vAlign w:val="center"/>
                </w:tcPr>
                <w:p w14:paraId="6CFFF29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Cs w:val="21"/>
                      <w:lang w:val="en-US" w:eastAsia="zh-CN"/>
                    </w:rPr>
                    <w:t>5</w:t>
                  </w:r>
                </w:p>
              </w:tc>
              <w:tc>
                <w:tcPr>
                  <w:tcW w:w="568" w:type="pct"/>
                  <w:tcBorders>
                    <w:tl2br w:val="nil"/>
                    <w:tr2bl w:val="nil"/>
                  </w:tcBorders>
                  <w:noWrap w:val="0"/>
                  <w:vAlign w:val="center"/>
                </w:tcPr>
                <w:p w14:paraId="0C83C5D6">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61.0 </w:t>
                  </w:r>
                </w:p>
              </w:tc>
              <w:tc>
                <w:tcPr>
                  <w:tcW w:w="393" w:type="pct"/>
                  <w:vMerge w:val="continue"/>
                  <w:tcBorders>
                    <w:tl2br w:val="nil"/>
                    <w:tr2bl w:val="nil"/>
                  </w:tcBorders>
                  <w:noWrap w:val="0"/>
                  <w:vAlign w:val="center"/>
                </w:tcPr>
                <w:p w14:paraId="28C34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30AEC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1B524AE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40</w:t>
                  </w:r>
                </w:p>
              </w:tc>
              <w:tc>
                <w:tcPr>
                  <w:tcW w:w="441" w:type="pct"/>
                  <w:vMerge w:val="continue"/>
                  <w:tcBorders>
                    <w:tl2br w:val="nil"/>
                    <w:tr2bl w:val="nil"/>
                  </w:tcBorders>
                  <w:noWrap w:val="0"/>
                  <w:vAlign w:val="center"/>
                </w:tcPr>
                <w:p w14:paraId="29EDA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E0725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1CA5BCD0">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风机</w:t>
                  </w:r>
                </w:p>
              </w:tc>
              <w:tc>
                <w:tcPr>
                  <w:tcW w:w="262" w:type="pct"/>
                  <w:tcBorders>
                    <w:tl2br w:val="nil"/>
                    <w:tr2bl w:val="nil"/>
                  </w:tcBorders>
                  <w:shd w:val="clear" w:color="auto" w:fill="auto"/>
                  <w:noWrap w:val="0"/>
                  <w:vAlign w:val="center"/>
                </w:tcPr>
                <w:p w14:paraId="6E95D61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7C2489B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szCs w:val="21"/>
                      <w:lang w:val="en-US" w:eastAsia="zh-CN"/>
                    </w:rPr>
                    <w:t>75/1</w:t>
                  </w:r>
                </w:p>
              </w:tc>
              <w:tc>
                <w:tcPr>
                  <w:tcW w:w="342" w:type="pct"/>
                  <w:vMerge w:val="continue"/>
                  <w:tcBorders>
                    <w:tl2br w:val="nil"/>
                    <w:tr2bl w:val="nil"/>
                  </w:tcBorders>
                  <w:noWrap w:val="0"/>
                  <w:vAlign w:val="center"/>
                </w:tcPr>
                <w:p w14:paraId="758A8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p>
              </w:tc>
              <w:tc>
                <w:tcPr>
                  <w:tcW w:w="524" w:type="pct"/>
                  <w:tcBorders>
                    <w:tl2br w:val="nil"/>
                    <w:tr2bl w:val="nil"/>
                  </w:tcBorders>
                  <w:noWrap w:val="0"/>
                  <w:vAlign w:val="center"/>
                </w:tcPr>
                <w:p w14:paraId="637B566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olor w:val="000000"/>
                      <w:szCs w:val="21"/>
                      <w:lang w:val="en-US" w:eastAsia="zh-CN"/>
                    </w:rPr>
                    <w:t>5,-17,1</w:t>
                  </w:r>
                </w:p>
              </w:tc>
              <w:tc>
                <w:tcPr>
                  <w:tcW w:w="662" w:type="pct"/>
                  <w:tcBorders>
                    <w:tl2br w:val="nil"/>
                    <w:tr2bl w:val="nil"/>
                  </w:tcBorders>
                  <w:noWrap w:val="0"/>
                  <w:vAlign w:val="center"/>
                </w:tcPr>
                <w:p w14:paraId="5BDB315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Cs w:val="21"/>
                      <w:lang w:val="en-US" w:eastAsia="zh-CN"/>
                    </w:rPr>
                    <w:t>22</w:t>
                  </w:r>
                </w:p>
              </w:tc>
              <w:tc>
                <w:tcPr>
                  <w:tcW w:w="568" w:type="pct"/>
                  <w:tcBorders>
                    <w:tl2br w:val="nil"/>
                    <w:tr2bl w:val="nil"/>
                  </w:tcBorders>
                  <w:noWrap w:val="0"/>
                  <w:vAlign w:val="center"/>
                </w:tcPr>
                <w:p w14:paraId="283D7DCF">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48.2 </w:t>
                  </w:r>
                </w:p>
              </w:tc>
              <w:tc>
                <w:tcPr>
                  <w:tcW w:w="393" w:type="pct"/>
                  <w:vMerge w:val="continue"/>
                  <w:tcBorders>
                    <w:tl2br w:val="nil"/>
                    <w:tr2bl w:val="nil"/>
                  </w:tcBorders>
                  <w:noWrap w:val="0"/>
                  <w:vAlign w:val="center"/>
                </w:tcPr>
                <w:p w14:paraId="74758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1E1DF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044F247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27.2</w:t>
                  </w:r>
                </w:p>
              </w:tc>
              <w:tc>
                <w:tcPr>
                  <w:tcW w:w="441" w:type="pct"/>
                  <w:vMerge w:val="continue"/>
                  <w:tcBorders>
                    <w:tl2br w:val="nil"/>
                    <w:tr2bl w:val="nil"/>
                  </w:tcBorders>
                  <w:noWrap w:val="0"/>
                  <w:vAlign w:val="center"/>
                </w:tcPr>
                <w:p w14:paraId="53C5A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0A30AB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7C49EE4C">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蒸汽换热器</w:t>
                  </w:r>
                </w:p>
              </w:tc>
              <w:tc>
                <w:tcPr>
                  <w:tcW w:w="262" w:type="pct"/>
                  <w:tcBorders>
                    <w:tl2br w:val="nil"/>
                    <w:tr2bl w:val="nil"/>
                  </w:tcBorders>
                  <w:shd w:val="clear" w:color="auto" w:fill="auto"/>
                  <w:noWrap w:val="0"/>
                  <w:vAlign w:val="center"/>
                </w:tcPr>
                <w:p w14:paraId="470BB7F9">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136A448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olor w:val="000000"/>
                      <w:szCs w:val="21"/>
                      <w:lang w:val="en-US" w:eastAsia="zh-CN"/>
                    </w:rPr>
                    <w:t>85</w:t>
                  </w:r>
                  <w:r>
                    <w:rPr>
                      <w:rFonts w:hint="eastAsia"/>
                      <w:color w:val="000000"/>
                      <w:szCs w:val="21"/>
                    </w:rPr>
                    <w:t>/1</w:t>
                  </w:r>
                </w:p>
              </w:tc>
              <w:tc>
                <w:tcPr>
                  <w:tcW w:w="342" w:type="pct"/>
                  <w:vMerge w:val="continue"/>
                  <w:tcBorders>
                    <w:tl2br w:val="nil"/>
                    <w:tr2bl w:val="nil"/>
                  </w:tcBorders>
                  <w:noWrap w:val="0"/>
                  <w:vAlign w:val="center"/>
                </w:tcPr>
                <w:p w14:paraId="15582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262364B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7,-17,1</w:t>
                  </w:r>
                </w:p>
              </w:tc>
              <w:tc>
                <w:tcPr>
                  <w:tcW w:w="662" w:type="pct"/>
                  <w:tcBorders>
                    <w:tl2br w:val="nil"/>
                    <w:tr2bl w:val="nil"/>
                  </w:tcBorders>
                  <w:noWrap w:val="0"/>
                  <w:vAlign w:val="center"/>
                </w:tcPr>
                <w:p w14:paraId="69CEF72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Cs w:val="21"/>
                      <w:lang w:val="en-US" w:eastAsia="zh-CN"/>
                    </w:rPr>
                    <w:t>22</w:t>
                  </w:r>
                </w:p>
              </w:tc>
              <w:tc>
                <w:tcPr>
                  <w:tcW w:w="568" w:type="pct"/>
                  <w:tcBorders>
                    <w:tl2br w:val="nil"/>
                    <w:tr2bl w:val="nil"/>
                  </w:tcBorders>
                  <w:noWrap w:val="0"/>
                  <w:vAlign w:val="center"/>
                </w:tcPr>
                <w:p w14:paraId="5FD13FB3">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58.2 </w:t>
                  </w:r>
                </w:p>
              </w:tc>
              <w:tc>
                <w:tcPr>
                  <w:tcW w:w="393" w:type="pct"/>
                  <w:vMerge w:val="continue"/>
                  <w:tcBorders>
                    <w:tl2br w:val="nil"/>
                    <w:tr2bl w:val="nil"/>
                  </w:tcBorders>
                  <w:noWrap w:val="0"/>
                  <w:vAlign w:val="center"/>
                </w:tcPr>
                <w:p w14:paraId="75A3D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2784F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4CA0DBF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37.2</w:t>
                  </w:r>
                </w:p>
              </w:tc>
              <w:tc>
                <w:tcPr>
                  <w:tcW w:w="441" w:type="pct"/>
                  <w:vMerge w:val="continue"/>
                  <w:tcBorders>
                    <w:tl2br w:val="nil"/>
                    <w:tr2bl w:val="nil"/>
                  </w:tcBorders>
                  <w:noWrap w:val="0"/>
                  <w:vAlign w:val="center"/>
                </w:tcPr>
                <w:p w14:paraId="0E7F3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4EB62FA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31727C5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高压风机</w:t>
                  </w:r>
                </w:p>
              </w:tc>
              <w:tc>
                <w:tcPr>
                  <w:tcW w:w="262" w:type="pct"/>
                  <w:tcBorders>
                    <w:tl2br w:val="nil"/>
                    <w:tr2bl w:val="nil"/>
                  </w:tcBorders>
                  <w:shd w:val="clear" w:color="auto" w:fill="auto"/>
                  <w:noWrap w:val="0"/>
                  <w:vAlign w:val="center"/>
                </w:tcPr>
                <w:p w14:paraId="6105CAE0">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shd w:val="clear" w:color="auto" w:fill="auto"/>
                  <w:noWrap w:val="0"/>
                  <w:vAlign w:val="center"/>
                </w:tcPr>
                <w:p w14:paraId="004845B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szCs w:val="21"/>
                      <w:lang w:val="en-US" w:eastAsia="zh-CN"/>
                    </w:rPr>
                    <w:t>85</w:t>
                  </w:r>
                  <w:r>
                    <w:rPr>
                      <w:rFonts w:hint="eastAsia"/>
                      <w:color w:val="000000"/>
                      <w:szCs w:val="21"/>
                    </w:rPr>
                    <w:t>/1</w:t>
                  </w:r>
                </w:p>
              </w:tc>
              <w:tc>
                <w:tcPr>
                  <w:tcW w:w="342" w:type="pct"/>
                  <w:vMerge w:val="continue"/>
                  <w:tcBorders>
                    <w:tl2br w:val="nil"/>
                    <w:tr2bl w:val="nil"/>
                  </w:tcBorders>
                  <w:noWrap w:val="0"/>
                  <w:vAlign w:val="center"/>
                </w:tcPr>
                <w:p w14:paraId="6E420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3387284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9,-17,1</w:t>
                  </w:r>
                </w:p>
              </w:tc>
              <w:tc>
                <w:tcPr>
                  <w:tcW w:w="662" w:type="pct"/>
                  <w:tcBorders>
                    <w:tl2br w:val="nil"/>
                    <w:tr2bl w:val="nil"/>
                  </w:tcBorders>
                  <w:noWrap w:val="0"/>
                  <w:vAlign w:val="center"/>
                </w:tcPr>
                <w:p w14:paraId="3CAFB19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22</w:t>
                  </w:r>
                </w:p>
              </w:tc>
              <w:tc>
                <w:tcPr>
                  <w:tcW w:w="568" w:type="pct"/>
                  <w:tcBorders>
                    <w:tl2br w:val="nil"/>
                    <w:tr2bl w:val="nil"/>
                  </w:tcBorders>
                  <w:noWrap w:val="0"/>
                  <w:vAlign w:val="center"/>
                </w:tcPr>
                <w:p w14:paraId="2A33FC29">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58.2 </w:t>
                  </w:r>
                </w:p>
              </w:tc>
              <w:tc>
                <w:tcPr>
                  <w:tcW w:w="393" w:type="pct"/>
                  <w:vMerge w:val="continue"/>
                  <w:tcBorders>
                    <w:tl2br w:val="nil"/>
                    <w:tr2bl w:val="nil"/>
                  </w:tcBorders>
                  <w:noWrap w:val="0"/>
                  <w:vAlign w:val="center"/>
                </w:tcPr>
                <w:p w14:paraId="07D8E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79448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1E38473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37.2</w:t>
                  </w:r>
                </w:p>
              </w:tc>
              <w:tc>
                <w:tcPr>
                  <w:tcW w:w="441" w:type="pct"/>
                  <w:vMerge w:val="continue"/>
                  <w:tcBorders>
                    <w:tl2br w:val="nil"/>
                    <w:tr2bl w:val="nil"/>
                  </w:tcBorders>
                  <w:noWrap w:val="0"/>
                  <w:vAlign w:val="center"/>
                </w:tcPr>
                <w:p w14:paraId="6B944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0D5EC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72E5085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eastAsia="zh-CN"/>
                    </w:rPr>
                    <w:t>蒸汽发生器</w:t>
                  </w:r>
                </w:p>
              </w:tc>
              <w:tc>
                <w:tcPr>
                  <w:tcW w:w="262" w:type="pct"/>
                  <w:tcBorders>
                    <w:tl2br w:val="nil"/>
                    <w:tr2bl w:val="nil"/>
                  </w:tcBorders>
                  <w:shd w:val="clear" w:color="auto" w:fill="auto"/>
                  <w:noWrap w:val="0"/>
                  <w:vAlign w:val="center"/>
                </w:tcPr>
                <w:p w14:paraId="3DC7A8A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454" w:type="pct"/>
                  <w:tcBorders>
                    <w:tl2br w:val="nil"/>
                    <w:tr2bl w:val="nil"/>
                  </w:tcBorders>
                  <w:noWrap w:val="0"/>
                  <w:vAlign w:val="center"/>
                </w:tcPr>
                <w:p w14:paraId="13CDED0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olor w:val="000000"/>
                      <w:szCs w:val="21"/>
                      <w:lang w:val="en-US" w:eastAsia="zh-CN"/>
                    </w:rPr>
                    <w:t>80</w:t>
                  </w:r>
                  <w:r>
                    <w:rPr>
                      <w:rFonts w:hint="eastAsia"/>
                      <w:color w:val="000000"/>
                      <w:szCs w:val="21"/>
                    </w:rPr>
                    <w:t>/1</w:t>
                  </w:r>
                </w:p>
              </w:tc>
              <w:tc>
                <w:tcPr>
                  <w:tcW w:w="342" w:type="pct"/>
                  <w:vMerge w:val="continue"/>
                  <w:tcBorders>
                    <w:tl2br w:val="nil"/>
                    <w:tr2bl w:val="nil"/>
                  </w:tcBorders>
                  <w:noWrap w:val="0"/>
                  <w:vAlign w:val="center"/>
                </w:tcPr>
                <w:p w14:paraId="73961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642832B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11,-17,1</w:t>
                  </w:r>
                </w:p>
              </w:tc>
              <w:tc>
                <w:tcPr>
                  <w:tcW w:w="662" w:type="pct"/>
                  <w:tcBorders>
                    <w:tl2br w:val="nil"/>
                    <w:tr2bl w:val="nil"/>
                  </w:tcBorders>
                  <w:noWrap w:val="0"/>
                  <w:vAlign w:val="center"/>
                </w:tcPr>
                <w:p w14:paraId="1A03E72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22</w:t>
                  </w:r>
                </w:p>
              </w:tc>
              <w:tc>
                <w:tcPr>
                  <w:tcW w:w="568" w:type="pct"/>
                  <w:tcBorders>
                    <w:tl2br w:val="nil"/>
                    <w:tr2bl w:val="nil"/>
                  </w:tcBorders>
                  <w:noWrap w:val="0"/>
                  <w:vAlign w:val="center"/>
                </w:tcPr>
                <w:p w14:paraId="01CF117F">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53.2 </w:t>
                  </w:r>
                </w:p>
              </w:tc>
              <w:tc>
                <w:tcPr>
                  <w:tcW w:w="393" w:type="pct"/>
                  <w:vMerge w:val="continue"/>
                  <w:tcBorders>
                    <w:tl2br w:val="nil"/>
                    <w:tr2bl w:val="nil"/>
                  </w:tcBorders>
                  <w:noWrap w:val="0"/>
                  <w:vAlign w:val="center"/>
                </w:tcPr>
                <w:p w14:paraId="08AB7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4200C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7705561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32.2</w:t>
                  </w:r>
                </w:p>
              </w:tc>
              <w:tc>
                <w:tcPr>
                  <w:tcW w:w="441" w:type="pct"/>
                  <w:vMerge w:val="continue"/>
                  <w:tcBorders>
                    <w:tl2br w:val="nil"/>
                    <w:tr2bl w:val="nil"/>
                  </w:tcBorders>
                  <w:noWrap w:val="0"/>
                  <w:vAlign w:val="center"/>
                </w:tcPr>
                <w:p w14:paraId="63A52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5686B5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1A3D6512">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eastAsia" w:cs="Times New Roman"/>
                      <w:i w:val="0"/>
                      <w:iCs w:val="0"/>
                      <w:color w:val="000000"/>
                      <w:sz w:val="21"/>
                      <w:szCs w:val="21"/>
                      <w:highlight w:val="none"/>
                      <w:u w:val="none"/>
                      <w:lang w:val="en-US" w:eastAsia="zh-CN"/>
                    </w:rPr>
                    <w:t>烘干</w:t>
                  </w:r>
                  <w:r>
                    <w:rPr>
                      <w:rFonts w:hint="default" w:ascii="Times New Roman" w:hAnsi="Times New Roman" w:eastAsia="宋体" w:cs="Times New Roman"/>
                      <w:i w:val="0"/>
                      <w:iCs w:val="0"/>
                      <w:color w:val="000000"/>
                      <w:sz w:val="21"/>
                      <w:szCs w:val="21"/>
                      <w:highlight w:val="none"/>
                      <w:u w:val="none"/>
                      <w:lang w:val="en-US" w:eastAsia="zh-CN"/>
                    </w:rPr>
                    <w:t>天然气烤箱</w:t>
                  </w:r>
                </w:p>
              </w:tc>
              <w:tc>
                <w:tcPr>
                  <w:tcW w:w="262" w:type="pct"/>
                  <w:tcBorders>
                    <w:tl2br w:val="nil"/>
                    <w:tr2bl w:val="nil"/>
                  </w:tcBorders>
                  <w:shd w:val="clear" w:color="auto" w:fill="auto"/>
                  <w:noWrap w:val="0"/>
                  <w:vAlign w:val="center"/>
                </w:tcPr>
                <w:p w14:paraId="2BD70F67">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4F19396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olor w:val="000000"/>
                      <w:szCs w:val="21"/>
                      <w:lang w:val="en-US" w:eastAsia="zh-CN"/>
                    </w:rPr>
                    <w:t>80</w:t>
                  </w:r>
                  <w:r>
                    <w:rPr>
                      <w:rFonts w:hint="eastAsia"/>
                      <w:color w:val="000000"/>
                      <w:szCs w:val="21"/>
                    </w:rPr>
                    <w:t>/1</w:t>
                  </w:r>
                </w:p>
              </w:tc>
              <w:tc>
                <w:tcPr>
                  <w:tcW w:w="342" w:type="pct"/>
                  <w:vMerge w:val="continue"/>
                  <w:tcBorders>
                    <w:tl2br w:val="nil"/>
                    <w:tr2bl w:val="nil"/>
                  </w:tcBorders>
                  <w:noWrap w:val="0"/>
                  <w:vAlign w:val="center"/>
                </w:tcPr>
                <w:p w14:paraId="6C2DE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3E8FF2D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13,-17,1</w:t>
                  </w:r>
                </w:p>
              </w:tc>
              <w:tc>
                <w:tcPr>
                  <w:tcW w:w="662" w:type="pct"/>
                  <w:tcBorders>
                    <w:tl2br w:val="nil"/>
                    <w:tr2bl w:val="nil"/>
                  </w:tcBorders>
                  <w:noWrap w:val="0"/>
                  <w:vAlign w:val="center"/>
                </w:tcPr>
                <w:p w14:paraId="565640E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22</w:t>
                  </w:r>
                </w:p>
              </w:tc>
              <w:tc>
                <w:tcPr>
                  <w:tcW w:w="568" w:type="pct"/>
                  <w:tcBorders>
                    <w:tl2br w:val="nil"/>
                    <w:tr2bl w:val="nil"/>
                  </w:tcBorders>
                  <w:noWrap w:val="0"/>
                  <w:vAlign w:val="center"/>
                </w:tcPr>
                <w:p w14:paraId="6634BB9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53.2 </w:t>
                  </w:r>
                </w:p>
              </w:tc>
              <w:tc>
                <w:tcPr>
                  <w:tcW w:w="393" w:type="pct"/>
                  <w:vMerge w:val="continue"/>
                  <w:tcBorders>
                    <w:tl2br w:val="nil"/>
                    <w:tr2bl w:val="nil"/>
                  </w:tcBorders>
                  <w:noWrap w:val="0"/>
                  <w:vAlign w:val="center"/>
                </w:tcPr>
                <w:p w14:paraId="13438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7A0F6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05A5495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32.2</w:t>
                  </w:r>
                </w:p>
              </w:tc>
              <w:tc>
                <w:tcPr>
                  <w:tcW w:w="441" w:type="pct"/>
                  <w:vMerge w:val="continue"/>
                  <w:tcBorders>
                    <w:tl2br w:val="nil"/>
                    <w:tr2bl w:val="nil"/>
                  </w:tcBorders>
                  <w:noWrap w:val="0"/>
                  <w:vAlign w:val="center"/>
                </w:tcPr>
                <w:p w14:paraId="38207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F289B3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7B37BF6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eastAsia="zh-CN"/>
                    </w:rPr>
                    <w:t>冷却箱</w:t>
                  </w:r>
                </w:p>
              </w:tc>
              <w:tc>
                <w:tcPr>
                  <w:tcW w:w="262" w:type="pct"/>
                  <w:tcBorders>
                    <w:tl2br w:val="nil"/>
                    <w:tr2bl w:val="nil"/>
                  </w:tcBorders>
                  <w:shd w:val="clear" w:color="auto" w:fill="auto"/>
                  <w:noWrap w:val="0"/>
                  <w:vAlign w:val="center"/>
                </w:tcPr>
                <w:p w14:paraId="15BFC47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4E98F6F5">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olor w:val="000000"/>
                      <w:szCs w:val="21"/>
                      <w:lang w:val="en-US" w:eastAsia="zh-CN"/>
                    </w:rPr>
                    <w:t>80</w:t>
                  </w:r>
                  <w:r>
                    <w:rPr>
                      <w:rFonts w:hint="eastAsia"/>
                      <w:color w:val="000000"/>
                      <w:szCs w:val="21"/>
                    </w:rPr>
                    <w:t>/1</w:t>
                  </w:r>
                </w:p>
              </w:tc>
              <w:tc>
                <w:tcPr>
                  <w:tcW w:w="342" w:type="pct"/>
                  <w:vMerge w:val="continue"/>
                  <w:tcBorders>
                    <w:tl2br w:val="nil"/>
                    <w:tr2bl w:val="nil"/>
                  </w:tcBorders>
                  <w:noWrap w:val="0"/>
                  <w:vAlign w:val="center"/>
                </w:tcPr>
                <w:p w14:paraId="45257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73CF8EE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9,-20,1</w:t>
                  </w:r>
                </w:p>
              </w:tc>
              <w:tc>
                <w:tcPr>
                  <w:tcW w:w="662" w:type="pct"/>
                  <w:tcBorders>
                    <w:tl2br w:val="nil"/>
                    <w:tr2bl w:val="nil"/>
                  </w:tcBorders>
                  <w:noWrap w:val="0"/>
                  <w:vAlign w:val="center"/>
                </w:tcPr>
                <w:p w14:paraId="789BAD4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19</w:t>
                  </w:r>
                </w:p>
              </w:tc>
              <w:tc>
                <w:tcPr>
                  <w:tcW w:w="568" w:type="pct"/>
                  <w:tcBorders>
                    <w:tl2br w:val="nil"/>
                    <w:tr2bl w:val="nil"/>
                  </w:tcBorders>
                  <w:noWrap w:val="0"/>
                  <w:vAlign w:val="center"/>
                </w:tcPr>
                <w:p w14:paraId="1009BB1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54.4 </w:t>
                  </w:r>
                </w:p>
              </w:tc>
              <w:tc>
                <w:tcPr>
                  <w:tcW w:w="393" w:type="pct"/>
                  <w:vMerge w:val="continue"/>
                  <w:tcBorders>
                    <w:tl2br w:val="nil"/>
                    <w:tr2bl w:val="nil"/>
                  </w:tcBorders>
                  <w:noWrap w:val="0"/>
                  <w:vAlign w:val="center"/>
                </w:tcPr>
                <w:p w14:paraId="55CCB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07109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2A5FB0F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33.4</w:t>
                  </w:r>
                </w:p>
              </w:tc>
              <w:tc>
                <w:tcPr>
                  <w:tcW w:w="441" w:type="pct"/>
                  <w:vMerge w:val="continue"/>
                  <w:tcBorders>
                    <w:tl2br w:val="nil"/>
                    <w:tr2bl w:val="nil"/>
                  </w:tcBorders>
                  <w:noWrap w:val="0"/>
                  <w:vAlign w:val="center"/>
                </w:tcPr>
                <w:p w14:paraId="3C9CD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82F400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0FF9189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软水制备系统</w:t>
                  </w:r>
                </w:p>
              </w:tc>
              <w:tc>
                <w:tcPr>
                  <w:tcW w:w="262" w:type="pct"/>
                  <w:tcBorders>
                    <w:tl2br w:val="nil"/>
                    <w:tr2bl w:val="nil"/>
                  </w:tcBorders>
                  <w:shd w:val="clear" w:color="auto" w:fill="auto"/>
                  <w:noWrap w:val="0"/>
                  <w:vAlign w:val="center"/>
                </w:tcPr>
                <w:p w14:paraId="2DE113A3">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4AEB751E">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Cs w:val="21"/>
                      <w:lang w:val="en-US" w:eastAsia="zh-CN"/>
                    </w:rPr>
                    <w:t>85</w:t>
                  </w:r>
                  <w:r>
                    <w:rPr>
                      <w:rFonts w:hint="eastAsia"/>
                      <w:color w:val="000000"/>
                      <w:szCs w:val="21"/>
                    </w:rPr>
                    <w:t>/1</w:t>
                  </w:r>
                </w:p>
              </w:tc>
              <w:tc>
                <w:tcPr>
                  <w:tcW w:w="342" w:type="pct"/>
                  <w:vMerge w:val="continue"/>
                  <w:tcBorders>
                    <w:tl2br w:val="nil"/>
                    <w:tr2bl w:val="nil"/>
                  </w:tcBorders>
                  <w:noWrap w:val="0"/>
                  <w:vAlign w:val="center"/>
                </w:tcPr>
                <w:p w14:paraId="5DA03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6B9AD2A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11,-20,1</w:t>
                  </w:r>
                </w:p>
              </w:tc>
              <w:tc>
                <w:tcPr>
                  <w:tcW w:w="662" w:type="pct"/>
                  <w:tcBorders>
                    <w:tl2br w:val="nil"/>
                    <w:tr2bl w:val="nil"/>
                  </w:tcBorders>
                  <w:noWrap w:val="0"/>
                  <w:vAlign w:val="center"/>
                </w:tcPr>
                <w:p w14:paraId="2FD5327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Cs w:val="21"/>
                      <w:lang w:val="en-US" w:eastAsia="zh-CN"/>
                    </w:rPr>
                    <w:t>19</w:t>
                  </w:r>
                </w:p>
              </w:tc>
              <w:tc>
                <w:tcPr>
                  <w:tcW w:w="568" w:type="pct"/>
                  <w:tcBorders>
                    <w:tl2br w:val="nil"/>
                    <w:tr2bl w:val="nil"/>
                  </w:tcBorders>
                  <w:noWrap w:val="0"/>
                  <w:vAlign w:val="center"/>
                </w:tcPr>
                <w:p w14:paraId="3E1CAA9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59.4 </w:t>
                  </w:r>
                </w:p>
              </w:tc>
              <w:tc>
                <w:tcPr>
                  <w:tcW w:w="393" w:type="pct"/>
                  <w:vMerge w:val="continue"/>
                  <w:tcBorders>
                    <w:tl2br w:val="nil"/>
                    <w:tr2bl w:val="nil"/>
                  </w:tcBorders>
                  <w:noWrap w:val="0"/>
                  <w:vAlign w:val="center"/>
                </w:tcPr>
                <w:p w14:paraId="7D115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69202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14F67C9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38.4</w:t>
                  </w:r>
                </w:p>
              </w:tc>
              <w:tc>
                <w:tcPr>
                  <w:tcW w:w="441" w:type="pct"/>
                  <w:vMerge w:val="continue"/>
                  <w:tcBorders>
                    <w:tl2br w:val="nil"/>
                    <w:tr2bl w:val="nil"/>
                  </w:tcBorders>
                  <w:noWrap w:val="0"/>
                  <w:vAlign w:val="center"/>
                </w:tcPr>
                <w:p w14:paraId="1D576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D73459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1A353D9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蒸煮/卤制锅</w:t>
                  </w:r>
                  <w:r>
                    <w:rPr>
                      <w:rFonts w:hint="eastAsia" w:cs="Times New Roman"/>
                      <w:i w:val="0"/>
                      <w:iCs w:val="0"/>
                      <w:color w:val="000000"/>
                      <w:kern w:val="0"/>
                      <w:sz w:val="21"/>
                      <w:szCs w:val="21"/>
                      <w:u w:val="none"/>
                      <w:lang w:val="en-US" w:eastAsia="zh-CN" w:bidi="ar"/>
                    </w:rPr>
                    <w:t>（夹层锅）</w:t>
                  </w:r>
                </w:p>
              </w:tc>
              <w:tc>
                <w:tcPr>
                  <w:tcW w:w="262" w:type="pct"/>
                  <w:tcBorders>
                    <w:tl2br w:val="nil"/>
                    <w:tr2bl w:val="nil"/>
                  </w:tcBorders>
                  <w:shd w:val="clear" w:color="auto" w:fill="auto"/>
                  <w:noWrap w:val="0"/>
                  <w:vAlign w:val="center"/>
                </w:tcPr>
                <w:p w14:paraId="759DA972">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w:t>
                  </w:r>
                </w:p>
              </w:tc>
              <w:tc>
                <w:tcPr>
                  <w:tcW w:w="454" w:type="pct"/>
                  <w:tcBorders>
                    <w:tl2br w:val="nil"/>
                    <w:tr2bl w:val="nil"/>
                  </w:tcBorders>
                  <w:noWrap w:val="0"/>
                  <w:vAlign w:val="center"/>
                </w:tcPr>
                <w:p w14:paraId="1D61C5FF">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color w:val="000000"/>
                      <w:szCs w:val="21"/>
                      <w:lang w:val="en-US" w:eastAsia="zh-CN"/>
                    </w:rPr>
                    <w:t>80</w:t>
                  </w:r>
                  <w:r>
                    <w:rPr>
                      <w:rFonts w:hint="eastAsia"/>
                      <w:color w:val="000000"/>
                      <w:szCs w:val="21"/>
                    </w:rPr>
                    <w:t>/1</w:t>
                  </w:r>
                </w:p>
              </w:tc>
              <w:tc>
                <w:tcPr>
                  <w:tcW w:w="342" w:type="pct"/>
                  <w:vMerge w:val="continue"/>
                  <w:tcBorders>
                    <w:tl2br w:val="nil"/>
                    <w:tr2bl w:val="nil"/>
                  </w:tcBorders>
                  <w:noWrap w:val="0"/>
                  <w:vAlign w:val="center"/>
                </w:tcPr>
                <w:p w14:paraId="5F662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082A57B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9,-22,1</w:t>
                  </w:r>
                </w:p>
              </w:tc>
              <w:tc>
                <w:tcPr>
                  <w:tcW w:w="662" w:type="pct"/>
                  <w:tcBorders>
                    <w:tl2br w:val="nil"/>
                    <w:tr2bl w:val="nil"/>
                  </w:tcBorders>
                  <w:noWrap w:val="0"/>
                  <w:vAlign w:val="center"/>
                </w:tcPr>
                <w:p w14:paraId="7DFFC1F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Cs w:val="21"/>
                      <w:lang w:val="en-US" w:eastAsia="zh-CN"/>
                    </w:rPr>
                    <w:t>17</w:t>
                  </w:r>
                </w:p>
              </w:tc>
              <w:tc>
                <w:tcPr>
                  <w:tcW w:w="568" w:type="pct"/>
                  <w:tcBorders>
                    <w:tl2br w:val="nil"/>
                    <w:tr2bl w:val="nil"/>
                  </w:tcBorders>
                  <w:noWrap w:val="0"/>
                  <w:vAlign w:val="center"/>
                </w:tcPr>
                <w:p w14:paraId="37B9E0A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55.4 </w:t>
                  </w:r>
                </w:p>
              </w:tc>
              <w:tc>
                <w:tcPr>
                  <w:tcW w:w="393" w:type="pct"/>
                  <w:vMerge w:val="continue"/>
                  <w:tcBorders>
                    <w:tl2br w:val="nil"/>
                    <w:tr2bl w:val="nil"/>
                  </w:tcBorders>
                  <w:noWrap w:val="0"/>
                  <w:vAlign w:val="center"/>
                </w:tcPr>
                <w:p w14:paraId="4D12C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7E112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2D8A352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34.4</w:t>
                  </w:r>
                </w:p>
              </w:tc>
              <w:tc>
                <w:tcPr>
                  <w:tcW w:w="441" w:type="pct"/>
                  <w:vMerge w:val="continue"/>
                  <w:tcBorders>
                    <w:tl2br w:val="nil"/>
                    <w:tr2bl w:val="nil"/>
                  </w:tcBorders>
                  <w:noWrap w:val="0"/>
                  <w:vAlign w:val="center"/>
                </w:tcPr>
                <w:p w14:paraId="1F71C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1A535A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7401335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全自动连续真空包装机</w:t>
                  </w:r>
                </w:p>
              </w:tc>
              <w:tc>
                <w:tcPr>
                  <w:tcW w:w="262" w:type="pct"/>
                  <w:tcBorders>
                    <w:tl2br w:val="nil"/>
                    <w:tr2bl w:val="nil"/>
                  </w:tcBorders>
                  <w:shd w:val="clear" w:color="auto" w:fill="auto"/>
                  <w:noWrap w:val="0"/>
                  <w:vAlign w:val="center"/>
                </w:tcPr>
                <w:p w14:paraId="236C7EEF">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w:t>
                  </w:r>
                </w:p>
              </w:tc>
              <w:tc>
                <w:tcPr>
                  <w:tcW w:w="454" w:type="pct"/>
                  <w:tcBorders>
                    <w:tl2br w:val="nil"/>
                    <w:tr2bl w:val="nil"/>
                  </w:tcBorders>
                  <w:noWrap w:val="0"/>
                  <w:vAlign w:val="center"/>
                </w:tcPr>
                <w:p w14:paraId="2E40FBF9">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2"/>
                      <w:sz w:val="21"/>
                      <w:szCs w:val="21"/>
                      <w:lang w:val="en-US"/>
                      <w14:textFill>
                        <w14:solidFill>
                          <w14:schemeClr w14:val="tx1"/>
                        </w14:solidFill>
                      </w14:textFill>
                    </w:rPr>
                  </w:pPr>
                  <w:r>
                    <w:rPr>
                      <w:rFonts w:hint="eastAsia"/>
                      <w:color w:val="000000"/>
                      <w:szCs w:val="21"/>
                      <w:lang w:val="en-US" w:eastAsia="zh-CN"/>
                    </w:rPr>
                    <w:t>75</w:t>
                  </w:r>
                  <w:r>
                    <w:rPr>
                      <w:rFonts w:hint="eastAsia"/>
                      <w:color w:val="000000"/>
                      <w:szCs w:val="21"/>
                    </w:rPr>
                    <w:t>/1</w:t>
                  </w:r>
                </w:p>
              </w:tc>
              <w:tc>
                <w:tcPr>
                  <w:tcW w:w="342" w:type="pct"/>
                  <w:vMerge w:val="continue"/>
                  <w:tcBorders>
                    <w:tl2br w:val="nil"/>
                    <w:tr2bl w:val="nil"/>
                  </w:tcBorders>
                  <w:noWrap w:val="0"/>
                  <w:vAlign w:val="center"/>
                </w:tcPr>
                <w:p w14:paraId="78E30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2F20605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0,-20,1</w:t>
                  </w:r>
                </w:p>
              </w:tc>
              <w:tc>
                <w:tcPr>
                  <w:tcW w:w="662" w:type="pct"/>
                  <w:tcBorders>
                    <w:tl2br w:val="nil"/>
                    <w:tr2bl w:val="nil"/>
                  </w:tcBorders>
                  <w:noWrap w:val="0"/>
                  <w:vAlign w:val="center"/>
                </w:tcPr>
                <w:p w14:paraId="0ECBD12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19</w:t>
                  </w:r>
                </w:p>
              </w:tc>
              <w:tc>
                <w:tcPr>
                  <w:tcW w:w="568" w:type="pct"/>
                  <w:tcBorders>
                    <w:tl2br w:val="nil"/>
                    <w:tr2bl w:val="nil"/>
                  </w:tcBorders>
                  <w:noWrap w:val="0"/>
                  <w:vAlign w:val="center"/>
                </w:tcPr>
                <w:p w14:paraId="3F99171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49.4 </w:t>
                  </w:r>
                </w:p>
              </w:tc>
              <w:tc>
                <w:tcPr>
                  <w:tcW w:w="393" w:type="pct"/>
                  <w:vMerge w:val="continue"/>
                  <w:tcBorders>
                    <w:tl2br w:val="nil"/>
                    <w:tr2bl w:val="nil"/>
                  </w:tcBorders>
                  <w:noWrap w:val="0"/>
                  <w:vAlign w:val="center"/>
                </w:tcPr>
                <w:p w14:paraId="49799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1D277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1FEA480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28.4</w:t>
                  </w:r>
                </w:p>
              </w:tc>
              <w:tc>
                <w:tcPr>
                  <w:tcW w:w="441" w:type="pct"/>
                  <w:vMerge w:val="continue"/>
                  <w:tcBorders>
                    <w:tl2br w:val="nil"/>
                    <w:tr2bl w:val="nil"/>
                  </w:tcBorders>
                  <w:noWrap w:val="0"/>
                  <w:vAlign w:val="center"/>
                </w:tcPr>
                <w:p w14:paraId="6803B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380887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2F0607D9">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color w:val="auto"/>
                      <w:szCs w:val="21"/>
                      <w:highlight w:val="none"/>
                    </w:rPr>
                    <w:t>高温杀菌机</w:t>
                  </w:r>
                </w:p>
              </w:tc>
              <w:tc>
                <w:tcPr>
                  <w:tcW w:w="262" w:type="pct"/>
                  <w:tcBorders>
                    <w:tl2br w:val="nil"/>
                    <w:tr2bl w:val="nil"/>
                  </w:tcBorders>
                  <w:shd w:val="clear" w:color="auto" w:fill="auto"/>
                  <w:noWrap w:val="0"/>
                  <w:vAlign w:val="center"/>
                </w:tcPr>
                <w:p w14:paraId="658276D0">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w:t>
                  </w:r>
                </w:p>
              </w:tc>
              <w:tc>
                <w:tcPr>
                  <w:tcW w:w="454" w:type="pct"/>
                  <w:tcBorders>
                    <w:tl2br w:val="nil"/>
                    <w:tr2bl w:val="nil"/>
                  </w:tcBorders>
                  <w:noWrap w:val="0"/>
                  <w:vAlign w:val="center"/>
                </w:tcPr>
                <w:p w14:paraId="5122A3B6">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color w:val="000000"/>
                      <w:szCs w:val="21"/>
                      <w:lang w:val="en-US" w:eastAsia="zh-CN"/>
                    </w:rPr>
                    <w:t>80</w:t>
                  </w:r>
                  <w:r>
                    <w:rPr>
                      <w:rFonts w:hint="eastAsia"/>
                      <w:color w:val="000000"/>
                      <w:szCs w:val="21"/>
                    </w:rPr>
                    <w:t>/1</w:t>
                  </w:r>
                </w:p>
              </w:tc>
              <w:tc>
                <w:tcPr>
                  <w:tcW w:w="342" w:type="pct"/>
                  <w:vMerge w:val="continue"/>
                  <w:tcBorders>
                    <w:tl2br w:val="nil"/>
                    <w:tr2bl w:val="nil"/>
                  </w:tcBorders>
                  <w:noWrap w:val="0"/>
                  <w:vAlign w:val="center"/>
                </w:tcPr>
                <w:p w14:paraId="64988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45E7E86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10,-20,1</w:t>
                  </w:r>
                </w:p>
              </w:tc>
              <w:tc>
                <w:tcPr>
                  <w:tcW w:w="662" w:type="pct"/>
                  <w:tcBorders>
                    <w:tl2br w:val="nil"/>
                    <w:tr2bl w:val="nil"/>
                  </w:tcBorders>
                  <w:noWrap w:val="0"/>
                  <w:vAlign w:val="center"/>
                </w:tcPr>
                <w:p w14:paraId="6998738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19</w:t>
                  </w:r>
                </w:p>
              </w:tc>
              <w:tc>
                <w:tcPr>
                  <w:tcW w:w="568" w:type="pct"/>
                  <w:tcBorders>
                    <w:tl2br w:val="nil"/>
                    <w:tr2bl w:val="nil"/>
                  </w:tcBorders>
                  <w:noWrap w:val="0"/>
                  <w:vAlign w:val="center"/>
                </w:tcPr>
                <w:p w14:paraId="033BC16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54.4 </w:t>
                  </w:r>
                </w:p>
              </w:tc>
              <w:tc>
                <w:tcPr>
                  <w:tcW w:w="393" w:type="pct"/>
                  <w:vMerge w:val="continue"/>
                  <w:tcBorders>
                    <w:tl2br w:val="nil"/>
                    <w:tr2bl w:val="nil"/>
                  </w:tcBorders>
                  <w:noWrap w:val="0"/>
                  <w:vAlign w:val="center"/>
                </w:tcPr>
                <w:p w14:paraId="09493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644F9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3352120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33.4</w:t>
                  </w:r>
                </w:p>
              </w:tc>
              <w:tc>
                <w:tcPr>
                  <w:tcW w:w="441" w:type="pct"/>
                  <w:vMerge w:val="continue"/>
                  <w:tcBorders>
                    <w:tl2br w:val="nil"/>
                    <w:tr2bl w:val="nil"/>
                  </w:tcBorders>
                  <w:noWrap w:val="0"/>
                  <w:vAlign w:val="center"/>
                </w:tcPr>
                <w:p w14:paraId="437A3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DC415D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tcBorders>
                    <w:tl2br w:val="nil"/>
                    <w:tr2bl w:val="nil"/>
                  </w:tcBorders>
                  <w:shd w:val="clear" w:color="auto" w:fill="auto"/>
                  <w:noWrap w:val="0"/>
                  <w:vAlign w:val="center"/>
                </w:tcPr>
                <w:p w14:paraId="0B28130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冰水机（5 匹）</w:t>
                  </w:r>
                </w:p>
              </w:tc>
              <w:tc>
                <w:tcPr>
                  <w:tcW w:w="262" w:type="pct"/>
                  <w:tcBorders>
                    <w:tl2br w:val="nil"/>
                    <w:tr2bl w:val="nil"/>
                  </w:tcBorders>
                  <w:shd w:val="clear" w:color="auto" w:fill="auto"/>
                  <w:noWrap w:val="0"/>
                  <w:vAlign w:val="center"/>
                </w:tcPr>
                <w:p w14:paraId="5C661955">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l2br w:val="nil"/>
                    <w:tr2bl w:val="nil"/>
                  </w:tcBorders>
                  <w:noWrap w:val="0"/>
                  <w:vAlign w:val="center"/>
                </w:tcPr>
                <w:p w14:paraId="7E882BE6">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2"/>
                      <w:sz w:val="21"/>
                      <w:szCs w:val="21"/>
                      <w:lang w:val="en-US"/>
                      <w14:textFill>
                        <w14:solidFill>
                          <w14:schemeClr w14:val="tx1"/>
                        </w14:solidFill>
                      </w14:textFill>
                    </w:rPr>
                  </w:pPr>
                  <w:r>
                    <w:rPr>
                      <w:rFonts w:hint="eastAsia"/>
                      <w:color w:val="000000"/>
                      <w:szCs w:val="21"/>
                      <w:lang w:val="en-US" w:eastAsia="zh-CN"/>
                    </w:rPr>
                    <w:t>75</w:t>
                  </w:r>
                  <w:r>
                    <w:rPr>
                      <w:rFonts w:hint="eastAsia"/>
                      <w:color w:val="000000"/>
                      <w:szCs w:val="21"/>
                    </w:rPr>
                    <w:t>/1</w:t>
                  </w:r>
                </w:p>
              </w:tc>
              <w:tc>
                <w:tcPr>
                  <w:tcW w:w="342" w:type="pct"/>
                  <w:vMerge w:val="continue"/>
                  <w:tcBorders>
                    <w:tl2br w:val="nil"/>
                    <w:tr2bl w:val="nil"/>
                  </w:tcBorders>
                  <w:noWrap w:val="0"/>
                  <w:vAlign w:val="center"/>
                </w:tcPr>
                <w:p w14:paraId="556F9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tcBorders>
                    <w:tl2br w:val="nil"/>
                    <w:tr2bl w:val="nil"/>
                  </w:tcBorders>
                  <w:noWrap w:val="0"/>
                  <w:vAlign w:val="center"/>
                </w:tcPr>
                <w:p w14:paraId="1664276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0,-22,1</w:t>
                  </w:r>
                </w:p>
              </w:tc>
              <w:tc>
                <w:tcPr>
                  <w:tcW w:w="662" w:type="pct"/>
                  <w:tcBorders>
                    <w:tl2br w:val="nil"/>
                    <w:tr2bl w:val="nil"/>
                  </w:tcBorders>
                  <w:noWrap w:val="0"/>
                  <w:vAlign w:val="center"/>
                </w:tcPr>
                <w:p w14:paraId="0754CA9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17</w:t>
                  </w:r>
                </w:p>
              </w:tc>
              <w:tc>
                <w:tcPr>
                  <w:tcW w:w="568" w:type="pct"/>
                  <w:tcBorders>
                    <w:tl2br w:val="nil"/>
                    <w:tr2bl w:val="nil"/>
                  </w:tcBorders>
                  <w:noWrap w:val="0"/>
                  <w:vAlign w:val="center"/>
                </w:tcPr>
                <w:p w14:paraId="2EF952E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50.4 </w:t>
                  </w:r>
                </w:p>
              </w:tc>
              <w:tc>
                <w:tcPr>
                  <w:tcW w:w="393" w:type="pct"/>
                  <w:vMerge w:val="continue"/>
                  <w:tcBorders>
                    <w:tl2br w:val="nil"/>
                    <w:tr2bl w:val="nil"/>
                  </w:tcBorders>
                  <w:noWrap w:val="0"/>
                  <w:vAlign w:val="center"/>
                </w:tcPr>
                <w:p w14:paraId="3FE02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tcBorders>
                    <w:tl2br w:val="nil"/>
                    <w:tr2bl w:val="nil"/>
                  </w:tcBorders>
                  <w:noWrap w:val="0"/>
                  <w:vAlign w:val="center"/>
                </w:tcPr>
                <w:p w14:paraId="737A8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tcBorders>
                    <w:tl2br w:val="nil"/>
                    <w:tr2bl w:val="nil"/>
                  </w:tcBorders>
                  <w:noWrap w:val="0"/>
                  <w:vAlign w:val="center"/>
                </w:tcPr>
                <w:p w14:paraId="0681D7D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29.4</w:t>
                  </w:r>
                </w:p>
              </w:tc>
              <w:tc>
                <w:tcPr>
                  <w:tcW w:w="441" w:type="pct"/>
                  <w:vMerge w:val="continue"/>
                  <w:tcBorders>
                    <w:tl2br w:val="nil"/>
                    <w:tr2bl w:val="nil"/>
                  </w:tcBorders>
                  <w:noWrap w:val="0"/>
                  <w:vAlign w:val="center"/>
                </w:tcPr>
                <w:p w14:paraId="7CE60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8C38F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shd w:val="clear" w:color="auto" w:fill="auto"/>
                  <w:vAlign w:val="center"/>
                </w:tcPr>
                <w:p w14:paraId="7D9D68B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不锈钢周转筐 / 清洗机</w:t>
                  </w:r>
                </w:p>
              </w:tc>
              <w:tc>
                <w:tcPr>
                  <w:tcW w:w="262" w:type="pct"/>
                  <w:shd w:val="clear" w:color="auto" w:fill="auto"/>
                  <w:vAlign w:val="center"/>
                </w:tcPr>
                <w:p w14:paraId="4B3A3ADA">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vAlign w:val="center"/>
                </w:tcPr>
                <w:p w14:paraId="21EE19B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2"/>
                      <w:sz w:val="21"/>
                      <w:szCs w:val="21"/>
                      <w:lang w:val="en-US"/>
                      <w14:textFill>
                        <w14:solidFill>
                          <w14:schemeClr w14:val="tx1"/>
                        </w14:solidFill>
                      </w14:textFill>
                    </w:rPr>
                  </w:pPr>
                  <w:r>
                    <w:rPr>
                      <w:rFonts w:hint="eastAsia"/>
                      <w:color w:val="000000"/>
                      <w:szCs w:val="21"/>
                      <w:lang w:val="en-US" w:eastAsia="zh-CN"/>
                    </w:rPr>
                    <w:t>75/1</w:t>
                  </w:r>
                </w:p>
              </w:tc>
              <w:tc>
                <w:tcPr>
                  <w:tcW w:w="342" w:type="pct"/>
                  <w:vMerge w:val="continue"/>
                  <w:vAlign w:val="center"/>
                </w:tcPr>
                <w:p w14:paraId="200D1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vAlign w:val="center"/>
                </w:tcPr>
                <w:p w14:paraId="658BD79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2,-20,1</w:t>
                  </w:r>
                </w:p>
              </w:tc>
              <w:tc>
                <w:tcPr>
                  <w:tcW w:w="662" w:type="pct"/>
                  <w:vAlign w:val="center"/>
                </w:tcPr>
                <w:p w14:paraId="400F26D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19</w:t>
                  </w:r>
                </w:p>
              </w:tc>
              <w:tc>
                <w:tcPr>
                  <w:tcW w:w="568" w:type="pct"/>
                  <w:vAlign w:val="center"/>
                </w:tcPr>
                <w:p w14:paraId="0EEC042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49.4 </w:t>
                  </w:r>
                </w:p>
              </w:tc>
              <w:tc>
                <w:tcPr>
                  <w:tcW w:w="393" w:type="pct"/>
                  <w:vMerge w:val="continue"/>
                  <w:vAlign w:val="center"/>
                </w:tcPr>
                <w:p w14:paraId="341EC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vAlign w:val="center"/>
                </w:tcPr>
                <w:p w14:paraId="7D1D4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vAlign w:val="center"/>
                </w:tcPr>
                <w:p w14:paraId="13E2D9F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28.4</w:t>
                  </w:r>
                </w:p>
              </w:tc>
              <w:tc>
                <w:tcPr>
                  <w:tcW w:w="441" w:type="pct"/>
                  <w:vMerge w:val="continue"/>
                  <w:vAlign w:val="center"/>
                </w:tcPr>
                <w:p w14:paraId="196F3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B36FB8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shd w:val="clear" w:color="auto" w:fill="auto"/>
                  <w:vAlign w:val="center"/>
                </w:tcPr>
                <w:p w14:paraId="5F900B51">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真空快速冷却机</w:t>
                  </w:r>
                </w:p>
              </w:tc>
              <w:tc>
                <w:tcPr>
                  <w:tcW w:w="262" w:type="pct"/>
                  <w:shd w:val="clear" w:color="auto" w:fill="auto"/>
                  <w:vAlign w:val="center"/>
                </w:tcPr>
                <w:p w14:paraId="52658F95">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454" w:type="pct"/>
                  <w:vAlign w:val="center"/>
                </w:tcPr>
                <w:p w14:paraId="648A8AE9">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2"/>
                      <w:sz w:val="21"/>
                      <w:szCs w:val="21"/>
                      <w:lang w:val="en-US"/>
                      <w14:textFill>
                        <w14:solidFill>
                          <w14:schemeClr w14:val="tx1"/>
                        </w14:solidFill>
                      </w14:textFill>
                    </w:rPr>
                  </w:pPr>
                  <w:r>
                    <w:rPr>
                      <w:rFonts w:hint="eastAsia"/>
                      <w:color w:val="000000"/>
                      <w:szCs w:val="21"/>
                      <w:lang w:val="en-US" w:eastAsia="zh-CN"/>
                    </w:rPr>
                    <w:t>75/1</w:t>
                  </w:r>
                </w:p>
              </w:tc>
              <w:tc>
                <w:tcPr>
                  <w:tcW w:w="342" w:type="pct"/>
                  <w:vMerge w:val="continue"/>
                  <w:vAlign w:val="center"/>
                </w:tcPr>
                <w:p w14:paraId="4B6EE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vAlign w:val="center"/>
                </w:tcPr>
                <w:p w14:paraId="2BA3E06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4,-20,1</w:t>
                  </w:r>
                </w:p>
              </w:tc>
              <w:tc>
                <w:tcPr>
                  <w:tcW w:w="662" w:type="pct"/>
                  <w:vAlign w:val="center"/>
                </w:tcPr>
                <w:p w14:paraId="381B56F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19</w:t>
                  </w:r>
                </w:p>
              </w:tc>
              <w:tc>
                <w:tcPr>
                  <w:tcW w:w="568" w:type="pct"/>
                  <w:vAlign w:val="center"/>
                </w:tcPr>
                <w:p w14:paraId="590BE08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49.4 </w:t>
                  </w:r>
                </w:p>
              </w:tc>
              <w:tc>
                <w:tcPr>
                  <w:tcW w:w="393" w:type="pct"/>
                  <w:vMerge w:val="continue"/>
                  <w:vAlign w:val="center"/>
                </w:tcPr>
                <w:p w14:paraId="04724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vAlign w:val="center"/>
                </w:tcPr>
                <w:p w14:paraId="45D8C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vAlign w:val="center"/>
                </w:tcPr>
                <w:p w14:paraId="6A3D916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28.4</w:t>
                  </w:r>
                </w:p>
              </w:tc>
              <w:tc>
                <w:tcPr>
                  <w:tcW w:w="441" w:type="pct"/>
                  <w:vMerge w:val="continue"/>
                  <w:vAlign w:val="center"/>
                </w:tcPr>
                <w:p w14:paraId="10F97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19667B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568" w:type="pct"/>
                  <w:shd w:val="clear" w:color="auto" w:fill="auto"/>
                  <w:vAlign w:val="center"/>
                </w:tcPr>
                <w:p w14:paraId="05B5176E">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杀菌釜</w:t>
                  </w:r>
                </w:p>
              </w:tc>
              <w:tc>
                <w:tcPr>
                  <w:tcW w:w="262" w:type="pct"/>
                  <w:shd w:val="clear" w:color="auto" w:fill="auto"/>
                  <w:vAlign w:val="center"/>
                </w:tcPr>
                <w:p w14:paraId="058AF6B8">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454" w:type="pct"/>
                  <w:vAlign w:val="center"/>
                </w:tcPr>
                <w:p w14:paraId="128CA6FF">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themeColor="text1"/>
                      <w:kern w:val="2"/>
                      <w:sz w:val="21"/>
                      <w:szCs w:val="21"/>
                      <w:lang w:val="en-US"/>
                      <w14:textFill>
                        <w14:solidFill>
                          <w14:schemeClr w14:val="tx1"/>
                        </w14:solidFill>
                      </w14:textFill>
                    </w:rPr>
                  </w:pPr>
                  <w:r>
                    <w:rPr>
                      <w:rFonts w:hint="eastAsia"/>
                      <w:color w:val="000000"/>
                      <w:szCs w:val="21"/>
                      <w:lang w:val="en-US" w:eastAsia="zh-CN"/>
                    </w:rPr>
                    <w:t>70/1</w:t>
                  </w:r>
                </w:p>
              </w:tc>
              <w:tc>
                <w:tcPr>
                  <w:tcW w:w="342" w:type="pct"/>
                  <w:vMerge w:val="continue"/>
                  <w:vAlign w:val="center"/>
                </w:tcPr>
                <w:p w14:paraId="06BB8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24" w:type="pct"/>
                  <w:vAlign w:val="center"/>
                </w:tcPr>
                <w:p w14:paraId="3559C14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7,-20,1</w:t>
                  </w:r>
                </w:p>
              </w:tc>
              <w:tc>
                <w:tcPr>
                  <w:tcW w:w="662" w:type="pct"/>
                  <w:vAlign w:val="center"/>
                </w:tcPr>
                <w:p w14:paraId="2EC8CAF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szCs w:val="21"/>
                      <w:lang w:val="en-US" w:eastAsia="zh-CN"/>
                    </w:rPr>
                    <w:t>19</w:t>
                  </w:r>
                </w:p>
              </w:tc>
              <w:tc>
                <w:tcPr>
                  <w:tcW w:w="568" w:type="pct"/>
                  <w:vAlign w:val="center"/>
                </w:tcPr>
                <w:p w14:paraId="2BD9D22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Cs w:val="21"/>
                      <w:lang w:val="en-US" w:eastAsia="zh-CN"/>
                    </w:rPr>
                    <w:t xml:space="preserve">44.4 </w:t>
                  </w:r>
                </w:p>
              </w:tc>
              <w:tc>
                <w:tcPr>
                  <w:tcW w:w="393" w:type="pct"/>
                  <w:vMerge w:val="continue"/>
                  <w:vAlign w:val="center"/>
                </w:tcPr>
                <w:p w14:paraId="0D647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08" w:type="pct"/>
                  <w:vMerge w:val="continue"/>
                  <w:vAlign w:val="center"/>
                </w:tcPr>
                <w:p w14:paraId="3AB8B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2" w:type="dxa"/>
                  <w:vAlign w:val="center"/>
                </w:tcPr>
                <w:p w14:paraId="73F15FA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23.4</w:t>
                  </w:r>
                </w:p>
              </w:tc>
              <w:tc>
                <w:tcPr>
                  <w:tcW w:w="441" w:type="pct"/>
                  <w:vMerge w:val="continue"/>
                  <w:vAlign w:val="center"/>
                </w:tcPr>
                <w:p w14:paraId="1BB8D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06250196">
            <w:pPr>
              <w:keepNext w:val="0"/>
              <w:keepLines w:val="0"/>
              <w:suppressLineNumbers w:val="0"/>
              <w:adjustRightInd w:val="0"/>
              <w:snapToGrid w:val="0"/>
              <w:spacing w:before="0" w:beforeAutospacing="0" w:after="0" w:afterAutospacing="0" w:line="480" w:lineRule="exact"/>
              <w:ind w:left="0" w:right="0" w:firstLine="482" w:firstLineChars="20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w:t>
            </w:r>
            <w:r>
              <w:rPr>
                <w:rFonts w:hint="default" w:ascii="Times New Roman" w:hAnsi="Times New Roman" w:eastAsia="宋体" w:cs="Times New Roman"/>
                <w:b/>
                <w:color w:val="000000" w:themeColor="text1"/>
                <w:sz w:val="24"/>
                <w:lang w:val="en-US" w:eastAsia="zh-CN"/>
                <w14:textFill>
                  <w14:solidFill>
                    <w14:schemeClr w14:val="tx1"/>
                  </w14:solidFill>
                </w14:textFill>
              </w:rPr>
              <w:t>4-1</w:t>
            </w:r>
            <w:r>
              <w:rPr>
                <w:rFonts w:hint="eastAsia" w:cs="Times New Roman"/>
                <w:b/>
                <w:color w:val="000000" w:themeColor="text1"/>
                <w:sz w:val="24"/>
                <w:lang w:val="en-US" w:eastAsia="zh-CN"/>
                <w14:textFill>
                  <w14:solidFill>
                    <w14:schemeClr w14:val="tx1"/>
                  </w14:solidFill>
                </w14:textFill>
              </w:rPr>
              <w:t>3</w:t>
            </w:r>
            <w:r>
              <w:rPr>
                <w:rFonts w:hint="default" w:ascii="Times New Roman" w:hAnsi="Times New Roman" w:eastAsia="宋体" w:cs="Times New Roman"/>
                <w:b/>
                <w:color w:val="000000" w:themeColor="text1"/>
                <w:sz w:val="24"/>
                <w14:textFill>
                  <w14:solidFill>
                    <w14:schemeClr w14:val="tx1"/>
                  </w14:solidFill>
                </w14:textFill>
              </w:rPr>
              <w:t xml:space="preserve">  设备噪声声级值表（室</w:t>
            </w:r>
            <w:r>
              <w:rPr>
                <w:rFonts w:hint="default" w:ascii="Times New Roman" w:hAnsi="Times New Roman" w:eastAsia="宋体" w:cs="Times New Roman"/>
                <w:b/>
                <w:color w:val="000000" w:themeColor="text1"/>
                <w:sz w:val="24"/>
                <w:lang w:eastAsia="zh-CN"/>
                <w14:textFill>
                  <w14:solidFill>
                    <w14:schemeClr w14:val="tx1"/>
                  </w14:solidFill>
                </w14:textFill>
              </w:rPr>
              <w:t>外</w:t>
            </w:r>
            <w:r>
              <w:rPr>
                <w:rFonts w:hint="default" w:ascii="Times New Roman" w:hAnsi="Times New Roman" w:eastAsia="宋体" w:cs="Times New Roman"/>
                <w:b/>
                <w:color w:val="000000" w:themeColor="text1"/>
                <w:sz w:val="24"/>
                <w14:textFill>
                  <w14:solidFill>
                    <w14:schemeClr w14:val="tx1"/>
                  </w14:solidFill>
                </w14:textFill>
              </w:rPr>
              <w:t>声源）</w:t>
            </w:r>
          </w:p>
          <w:tbl>
            <w:tblPr>
              <w:tblStyle w:val="53"/>
              <w:tblW w:w="4997"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395"/>
              <w:gridCol w:w="838"/>
              <w:gridCol w:w="1070"/>
              <w:gridCol w:w="1400"/>
              <w:gridCol w:w="746"/>
              <w:gridCol w:w="1852"/>
              <w:gridCol w:w="550"/>
              <w:gridCol w:w="1299"/>
              <w:gridCol w:w="433"/>
            </w:tblGrid>
            <w:tr w14:paraId="4748439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vMerge w:val="restart"/>
                  <w:tcBorders>
                    <w:tl2br w:val="nil"/>
                    <w:tr2bl w:val="nil"/>
                  </w:tcBorders>
                  <w:noWrap w:val="0"/>
                  <w:textDirection w:val="tbRlV"/>
                  <w:vAlign w:val="center"/>
                </w:tcPr>
                <w:p w14:paraId="258067E4">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序 号</w:t>
                  </w:r>
                </w:p>
              </w:tc>
              <w:tc>
                <w:tcPr>
                  <w:tcW w:w="488" w:type="pct"/>
                  <w:vMerge w:val="restart"/>
                  <w:tcBorders>
                    <w:tl2br w:val="nil"/>
                    <w:tr2bl w:val="nil"/>
                  </w:tcBorders>
                  <w:noWrap w:val="0"/>
                  <w:vAlign w:val="center"/>
                </w:tcPr>
                <w:p w14:paraId="263A3176">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设备</w:t>
                  </w:r>
                </w:p>
                <w:p w14:paraId="03E6CEB2">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名称</w:t>
                  </w:r>
                </w:p>
              </w:tc>
              <w:tc>
                <w:tcPr>
                  <w:tcW w:w="623" w:type="pct"/>
                  <w:vMerge w:val="restart"/>
                  <w:tcBorders>
                    <w:tl2br w:val="nil"/>
                    <w:tr2bl w:val="nil"/>
                  </w:tcBorders>
                  <w:noWrap w:val="0"/>
                  <w:vAlign w:val="center"/>
                </w:tcPr>
                <w:p w14:paraId="779FD9C3">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数量</w:t>
                  </w:r>
                </w:p>
                <w:p w14:paraId="2F9AA721">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（台/ 套）</w:t>
                  </w:r>
                </w:p>
              </w:tc>
              <w:tc>
                <w:tcPr>
                  <w:tcW w:w="815" w:type="pct"/>
                  <w:vMerge w:val="restart"/>
                  <w:tcBorders>
                    <w:tl2br w:val="nil"/>
                    <w:tr2bl w:val="nil"/>
                  </w:tcBorders>
                  <w:noWrap w:val="0"/>
                  <w:vAlign w:val="center"/>
                </w:tcPr>
                <w:p w14:paraId="7CB11679">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源强 dB（A）</w:t>
                  </w:r>
                </w:p>
                <w:p w14:paraId="242DC74E">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（措施前）</w:t>
                  </w:r>
                </w:p>
              </w:tc>
              <w:tc>
                <w:tcPr>
                  <w:tcW w:w="434" w:type="pct"/>
                  <w:vMerge w:val="restart"/>
                  <w:tcBorders>
                    <w:tl2br w:val="nil"/>
                    <w:tr2bl w:val="nil"/>
                  </w:tcBorders>
                  <w:noWrap w:val="0"/>
                  <w:vAlign w:val="center"/>
                </w:tcPr>
                <w:p w14:paraId="3DED9232">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p>
                <w:p w14:paraId="4B6C9DBA">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位置</w:t>
                  </w:r>
                </w:p>
              </w:tc>
              <w:tc>
                <w:tcPr>
                  <w:tcW w:w="1078" w:type="pct"/>
                  <w:tcBorders>
                    <w:tl2br w:val="nil"/>
                    <w:tr2bl w:val="nil"/>
                  </w:tcBorders>
                  <w:noWrap w:val="0"/>
                  <w:vAlign w:val="center"/>
                </w:tcPr>
                <w:p w14:paraId="23838F7D">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空间相对位置/m</w:t>
                  </w:r>
                </w:p>
              </w:tc>
              <w:tc>
                <w:tcPr>
                  <w:tcW w:w="320" w:type="pct"/>
                  <w:vMerge w:val="restart"/>
                  <w:tcBorders>
                    <w:tl2br w:val="nil"/>
                    <w:tr2bl w:val="nil"/>
                  </w:tcBorders>
                  <w:noWrap w:val="0"/>
                  <w:vAlign w:val="center"/>
                </w:tcPr>
                <w:p w14:paraId="7C1196E5">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治理</w:t>
                  </w:r>
                </w:p>
                <w:p w14:paraId="15551B7C">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措施</w:t>
                  </w:r>
                </w:p>
              </w:tc>
              <w:tc>
                <w:tcPr>
                  <w:tcW w:w="756" w:type="pct"/>
                  <w:vMerge w:val="restart"/>
                  <w:tcBorders>
                    <w:tl2br w:val="nil"/>
                    <w:tr2bl w:val="nil"/>
                  </w:tcBorders>
                  <w:noWrap w:val="0"/>
                  <w:vAlign w:val="center"/>
                </w:tcPr>
                <w:p w14:paraId="74C011B5">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spacing w:val="-20"/>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spacing w:val="-20"/>
                      <w:kern w:val="2"/>
                      <w:sz w:val="21"/>
                      <w:szCs w:val="21"/>
                      <w:lang w:eastAsia="zh-CN"/>
                      <w14:textFill>
                        <w14:solidFill>
                          <w14:schemeClr w14:val="tx1"/>
                        </w14:solidFill>
                      </w14:textFill>
                    </w:rPr>
                    <w:t>源强 dB （A）</w:t>
                  </w:r>
                </w:p>
                <w:p w14:paraId="7F0A61AE">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（措施后）</w:t>
                  </w:r>
                </w:p>
              </w:tc>
              <w:tc>
                <w:tcPr>
                  <w:tcW w:w="252" w:type="pct"/>
                  <w:vMerge w:val="restart"/>
                  <w:tcBorders>
                    <w:tl2br w:val="nil"/>
                    <w:tr2bl w:val="nil"/>
                  </w:tcBorders>
                  <w:noWrap w:val="0"/>
                  <w:textDirection w:val="tbRlV"/>
                  <w:vAlign w:val="center"/>
                </w:tcPr>
                <w:p w14:paraId="70144B91">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性 质</w:t>
                  </w:r>
                </w:p>
              </w:tc>
            </w:tr>
            <w:tr w14:paraId="2D80330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vMerge w:val="continue"/>
                  <w:tcBorders>
                    <w:tl2br w:val="nil"/>
                    <w:tr2bl w:val="nil"/>
                  </w:tcBorders>
                  <w:noWrap w:val="0"/>
                  <w:textDirection w:val="tbRlV"/>
                  <w:vAlign w:val="center"/>
                </w:tcPr>
                <w:p w14:paraId="1DC24C3D">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p>
              </w:tc>
              <w:tc>
                <w:tcPr>
                  <w:tcW w:w="488" w:type="pct"/>
                  <w:vMerge w:val="continue"/>
                  <w:tcBorders>
                    <w:tl2br w:val="nil"/>
                    <w:tr2bl w:val="nil"/>
                  </w:tcBorders>
                  <w:noWrap w:val="0"/>
                  <w:vAlign w:val="center"/>
                </w:tcPr>
                <w:p w14:paraId="7CD0ABCF">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p>
              </w:tc>
              <w:tc>
                <w:tcPr>
                  <w:tcW w:w="623" w:type="pct"/>
                  <w:vMerge w:val="continue"/>
                  <w:tcBorders>
                    <w:tl2br w:val="nil"/>
                    <w:tr2bl w:val="nil"/>
                  </w:tcBorders>
                  <w:noWrap w:val="0"/>
                  <w:vAlign w:val="center"/>
                </w:tcPr>
                <w:p w14:paraId="0D7A0769">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p>
              </w:tc>
              <w:tc>
                <w:tcPr>
                  <w:tcW w:w="815" w:type="pct"/>
                  <w:vMerge w:val="continue"/>
                  <w:tcBorders>
                    <w:tl2br w:val="nil"/>
                    <w:tr2bl w:val="nil"/>
                  </w:tcBorders>
                  <w:noWrap w:val="0"/>
                  <w:vAlign w:val="center"/>
                </w:tcPr>
                <w:p w14:paraId="27AADAA1">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p>
              </w:tc>
              <w:tc>
                <w:tcPr>
                  <w:tcW w:w="434" w:type="pct"/>
                  <w:vMerge w:val="continue"/>
                  <w:tcBorders>
                    <w:tl2br w:val="nil"/>
                    <w:tr2bl w:val="nil"/>
                  </w:tcBorders>
                  <w:noWrap w:val="0"/>
                  <w:vAlign w:val="center"/>
                </w:tcPr>
                <w:p w14:paraId="5D1A36B7">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p>
              </w:tc>
              <w:tc>
                <w:tcPr>
                  <w:tcW w:w="1078" w:type="pct"/>
                  <w:tcBorders>
                    <w:tl2br w:val="nil"/>
                    <w:tr2bl w:val="nil"/>
                  </w:tcBorders>
                  <w:noWrap w:val="0"/>
                  <w:vAlign w:val="center"/>
                </w:tcPr>
                <w:p w14:paraId="1ADDD3EB">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1"/>
                      <w:szCs w:val="21"/>
                      <w:lang w:eastAsia="zh-CN"/>
                      <w14:textFill>
                        <w14:solidFill>
                          <w14:schemeClr w14:val="tx1"/>
                        </w14:solidFill>
                      </w14:textFill>
                    </w:rPr>
                    <w:t>X、Y、Z</w:t>
                  </w:r>
                </w:p>
              </w:tc>
              <w:tc>
                <w:tcPr>
                  <w:tcW w:w="320" w:type="pct"/>
                  <w:vMerge w:val="continue"/>
                  <w:tcBorders>
                    <w:tl2br w:val="nil"/>
                    <w:tr2bl w:val="nil"/>
                  </w:tcBorders>
                  <w:noWrap w:val="0"/>
                  <w:vAlign w:val="center"/>
                </w:tcPr>
                <w:p w14:paraId="19D0B46A">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p>
              </w:tc>
              <w:tc>
                <w:tcPr>
                  <w:tcW w:w="756" w:type="pct"/>
                  <w:vMerge w:val="continue"/>
                  <w:tcBorders>
                    <w:tl2br w:val="nil"/>
                    <w:tr2bl w:val="nil"/>
                  </w:tcBorders>
                  <w:noWrap w:val="0"/>
                  <w:vAlign w:val="center"/>
                </w:tcPr>
                <w:p w14:paraId="38C26AC0">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p>
              </w:tc>
              <w:tc>
                <w:tcPr>
                  <w:tcW w:w="252" w:type="pct"/>
                  <w:vMerge w:val="continue"/>
                  <w:tcBorders>
                    <w:tl2br w:val="nil"/>
                    <w:tr2bl w:val="nil"/>
                  </w:tcBorders>
                  <w:noWrap w:val="0"/>
                  <w:textDirection w:val="tbRlV"/>
                  <w:vAlign w:val="center"/>
                </w:tcPr>
                <w:p w14:paraId="15025715">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p>
              </w:tc>
            </w:tr>
            <w:tr w14:paraId="54DB03C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tcBorders>
                    <w:tl2br w:val="nil"/>
                    <w:tr2bl w:val="nil"/>
                  </w:tcBorders>
                  <w:noWrap w:val="0"/>
                  <w:vAlign w:val="center"/>
                </w:tcPr>
                <w:p w14:paraId="149C8A09">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1</w:t>
                  </w:r>
                </w:p>
              </w:tc>
              <w:tc>
                <w:tcPr>
                  <w:tcW w:w="488" w:type="pct"/>
                  <w:tcBorders>
                    <w:tl2br w:val="nil"/>
                    <w:tr2bl w:val="nil"/>
                  </w:tcBorders>
                  <w:noWrap w:val="0"/>
                  <w:vAlign w:val="center"/>
                </w:tcPr>
                <w:p w14:paraId="60A660A7">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风机 1</w:t>
                  </w:r>
                </w:p>
              </w:tc>
              <w:tc>
                <w:tcPr>
                  <w:tcW w:w="623" w:type="pct"/>
                  <w:tcBorders>
                    <w:tl2br w:val="nil"/>
                    <w:tr2bl w:val="nil"/>
                  </w:tcBorders>
                  <w:noWrap w:val="0"/>
                  <w:vAlign w:val="center"/>
                </w:tcPr>
                <w:p w14:paraId="73419E0F">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1</w:t>
                  </w:r>
                </w:p>
              </w:tc>
              <w:tc>
                <w:tcPr>
                  <w:tcW w:w="815" w:type="pct"/>
                  <w:tcBorders>
                    <w:tl2br w:val="nil"/>
                    <w:tr2bl w:val="nil"/>
                  </w:tcBorders>
                  <w:noWrap w:val="0"/>
                  <w:vAlign w:val="center"/>
                </w:tcPr>
                <w:p w14:paraId="05CA7F42">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90</w:t>
                  </w:r>
                </w:p>
              </w:tc>
              <w:tc>
                <w:tcPr>
                  <w:tcW w:w="434" w:type="pct"/>
                  <w:tcBorders>
                    <w:tl2br w:val="nil"/>
                    <w:tr2bl w:val="nil"/>
                  </w:tcBorders>
                  <w:noWrap w:val="0"/>
                  <w:vAlign w:val="center"/>
                </w:tcPr>
                <w:p w14:paraId="4E2429CC">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室外</w:t>
                  </w:r>
                </w:p>
              </w:tc>
              <w:tc>
                <w:tcPr>
                  <w:tcW w:w="1852" w:type="dxa"/>
                  <w:tcBorders>
                    <w:tl2br w:val="nil"/>
                    <w:tr2bl w:val="nil"/>
                  </w:tcBorders>
                  <w:noWrap w:val="0"/>
                  <w:vAlign w:val="center"/>
                </w:tcPr>
                <w:p w14:paraId="05A5032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eastAsia"/>
                      <w:color w:val="000000"/>
                      <w:szCs w:val="21"/>
                      <w:lang w:val="en-US" w:eastAsia="zh-CN"/>
                    </w:rPr>
                    <w:t>63</w:t>
                  </w:r>
                  <w:r>
                    <w:rPr>
                      <w:rFonts w:hint="eastAsia"/>
                      <w:color w:val="000000"/>
                      <w:szCs w:val="21"/>
                    </w:rPr>
                    <w:t>,-10,1</w:t>
                  </w:r>
                </w:p>
              </w:tc>
              <w:tc>
                <w:tcPr>
                  <w:tcW w:w="320" w:type="pct"/>
                  <w:vMerge w:val="restart"/>
                  <w:tcBorders>
                    <w:tl2br w:val="nil"/>
                    <w:tr2bl w:val="nil"/>
                  </w:tcBorders>
                  <w:noWrap w:val="0"/>
                  <w:vAlign w:val="center"/>
                </w:tcPr>
                <w:p w14:paraId="66F0BC42">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基础</w:t>
                  </w:r>
                </w:p>
                <w:p w14:paraId="61BC7576">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减振</w:t>
                  </w:r>
                </w:p>
              </w:tc>
              <w:tc>
                <w:tcPr>
                  <w:tcW w:w="756" w:type="pct"/>
                  <w:vMerge w:val="restart"/>
                  <w:tcBorders>
                    <w:tl2br w:val="nil"/>
                    <w:tr2bl w:val="nil"/>
                  </w:tcBorders>
                  <w:noWrap w:val="0"/>
                  <w:vAlign w:val="center"/>
                </w:tcPr>
                <w:p w14:paraId="5626D817">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60</w:t>
                  </w:r>
                </w:p>
              </w:tc>
              <w:tc>
                <w:tcPr>
                  <w:tcW w:w="252" w:type="pct"/>
                  <w:vMerge w:val="restart"/>
                  <w:tcBorders>
                    <w:tl2br w:val="nil"/>
                    <w:tr2bl w:val="nil"/>
                  </w:tcBorders>
                  <w:noWrap w:val="0"/>
                  <w:textDirection w:val="tbRlV"/>
                  <w:vAlign w:val="center"/>
                </w:tcPr>
                <w:p w14:paraId="3C67128D">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连 续</w:t>
                  </w:r>
                </w:p>
              </w:tc>
            </w:tr>
            <w:tr w14:paraId="3EF2DCEE">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tcBorders>
                    <w:tl2br w:val="nil"/>
                    <w:tr2bl w:val="nil"/>
                  </w:tcBorders>
                  <w:noWrap w:val="0"/>
                  <w:vAlign w:val="center"/>
                </w:tcPr>
                <w:p w14:paraId="342DE0B8">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2</w:t>
                  </w:r>
                </w:p>
              </w:tc>
              <w:tc>
                <w:tcPr>
                  <w:tcW w:w="488" w:type="pct"/>
                  <w:tcBorders>
                    <w:tl2br w:val="nil"/>
                    <w:tr2bl w:val="nil"/>
                  </w:tcBorders>
                  <w:noWrap w:val="0"/>
                  <w:vAlign w:val="center"/>
                </w:tcPr>
                <w:p w14:paraId="05AA3BC2">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风机 2</w:t>
                  </w:r>
                </w:p>
              </w:tc>
              <w:tc>
                <w:tcPr>
                  <w:tcW w:w="623" w:type="pct"/>
                  <w:tcBorders>
                    <w:tl2br w:val="nil"/>
                    <w:tr2bl w:val="nil"/>
                  </w:tcBorders>
                  <w:noWrap w:val="0"/>
                  <w:vAlign w:val="center"/>
                </w:tcPr>
                <w:p w14:paraId="3817DAF1">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1</w:t>
                  </w:r>
                </w:p>
              </w:tc>
              <w:tc>
                <w:tcPr>
                  <w:tcW w:w="815" w:type="pct"/>
                  <w:tcBorders>
                    <w:tl2br w:val="nil"/>
                    <w:tr2bl w:val="nil"/>
                  </w:tcBorders>
                  <w:noWrap w:val="0"/>
                  <w:vAlign w:val="center"/>
                </w:tcPr>
                <w:p w14:paraId="13AD22BD">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90</w:t>
                  </w:r>
                </w:p>
              </w:tc>
              <w:tc>
                <w:tcPr>
                  <w:tcW w:w="434" w:type="pct"/>
                  <w:tcBorders>
                    <w:tl2br w:val="nil"/>
                    <w:tr2bl w:val="nil"/>
                  </w:tcBorders>
                  <w:noWrap w:val="0"/>
                  <w:vAlign w:val="center"/>
                </w:tcPr>
                <w:p w14:paraId="5267795D">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室外</w:t>
                  </w:r>
                </w:p>
              </w:tc>
              <w:tc>
                <w:tcPr>
                  <w:tcW w:w="1852" w:type="dxa"/>
                  <w:tcBorders>
                    <w:tl2br w:val="nil"/>
                    <w:tr2bl w:val="nil"/>
                  </w:tcBorders>
                  <w:noWrap w:val="0"/>
                  <w:vAlign w:val="center"/>
                </w:tcPr>
                <w:p w14:paraId="09B42A7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eastAsia"/>
                      <w:color w:val="000000"/>
                      <w:szCs w:val="21"/>
                      <w:lang w:val="en-US" w:eastAsia="zh-CN"/>
                    </w:rPr>
                    <w:t>63</w:t>
                  </w:r>
                  <w:r>
                    <w:rPr>
                      <w:rFonts w:hint="eastAsia"/>
                      <w:color w:val="000000"/>
                      <w:szCs w:val="21"/>
                    </w:rPr>
                    <w:t>,10,1</w:t>
                  </w:r>
                </w:p>
              </w:tc>
              <w:tc>
                <w:tcPr>
                  <w:tcW w:w="320" w:type="pct"/>
                  <w:vMerge w:val="continue"/>
                  <w:tcBorders>
                    <w:tl2br w:val="nil"/>
                    <w:tr2bl w:val="nil"/>
                  </w:tcBorders>
                  <w:noWrap w:val="0"/>
                  <w:vAlign w:val="center"/>
                </w:tcPr>
                <w:p w14:paraId="51218C9E">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756" w:type="pct"/>
                  <w:vMerge w:val="continue"/>
                  <w:tcBorders>
                    <w:tl2br w:val="nil"/>
                    <w:tr2bl w:val="nil"/>
                  </w:tcBorders>
                  <w:noWrap w:val="0"/>
                  <w:vAlign w:val="center"/>
                </w:tcPr>
                <w:p w14:paraId="7124E446">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252" w:type="pct"/>
                  <w:vMerge w:val="continue"/>
                  <w:tcBorders>
                    <w:tl2br w:val="nil"/>
                    <w:tr2bl w:val="nil"/>
                  </w:tcBorders>
                  <w:noWrap w:val="0"/>
                  <w:textDirection w:val="tbRlV"/>
                  <w:vAlign w:val="center"/>
                </w:tcPr>
                <w:p w14:paraId="19AE8E81">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r>
            <w:tr w14:paraId="316A888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tcBorders>
                    <w:tl2br w:val="nil"/>
                    <w:tr2bl w:val="nil"/>
                  </w:tcBorders>
                  <w:noWrap w:val="0"/>
                  <w:vAlign w:val="center"/>
                </w:tcPr>
                <w:p w14:paraId="7CFED759">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3</w:t>
                  </w:r>
                </w:p>
              </w:tc>
              <w:tc>
                <w:tcPr>
                  <w:tcW w:w="488" w:type="pct"/>
                  <w:tcBorders>
                    <w:tl2br w:val="nil"/>
                    <w:tr2bl w:val="nil"/>
                  </w:tcBorders>
                  <w:noWrap w:val="0"/>
                  <w:vAlign w:val="center"/>
                </w:tcPr>
                <w:p w14:paraId="2E14ADCB">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风机 3</w:t>
                  </w:r>
                </w:p>
              </w:tc>
              <w:tc>
                <w:tcPr>
                  <w:tcW w:w="623" w:type="pct"/>
                  <w:tcBorders>
                    <w:tl2br w:val="nil"/>
                    <w:tr2bl w:val="nil"/>
                  </w:tcBorders>
                  <w:noWrap w:val="0"/>
                  <w:vAlign w:val="center"/>
                </w:tcPr>
                <w:p w14:paraId="67E48357">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1</w:t>
                  </w:r>
                </w:p>
              </w:tc>
              <w:tc>
                <w:tcPr>
                  <w:tcW w:w="815" w:type="pct"/>
                  <w:tcBorders>
                    <w:tl2br w:val="nil"/>
                    <w:tr2bl w:val="nil"/>
                  </w:tcBorders>
                  <w:noWrap w:val="0"/>
                  <w:vAlign w:val="center"/>
                </w:tcPr>
                <w:p w14:paraId="54943FFC">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90</w:t>
                  </w:r>
                </w:p>
              </w:tc>
              <w:tc>
                <w:tcPr>
                  <w:tcW w:w="434" w:type="pct"/>
                  <w:tcBorders>
                    <w:tl2br w:val="nil"/>
                    <w:tr2bl w:val="nil"/>
                  </w:tcBorders>
                  <w:noWrap w:val="0"/>
                  <w:vAlign w:val="center"/>
                </w:tcPr>
                <w:p w14:paraId="5D849FEB">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室外</w:t>
                  </w:r>
                </w:p>
              </w:tc>
              <w:tc>
                <w:tcPr>
                  <w:tcW w:w="1852" w:type="dxa"/>
                  <w:tcBorders>
                    <w:tl2br w:val="nil"/>
                    <w:tr2bl w:val="nil"/>
                  </w:tcBorders>
                  <w:noWrap w:val="0"/>
                  <w:vAlign w:val="center"/>
                </w:tcPr>
                <w:p w14:paraId="5702824E">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eastAsia" w:ascii="Times New Roman" w:hAnsi="Times New Roman" w:eastAsia="宋体" w:cs="Times New Roman"/>
                      <w:snapToGrid/>
                      <w:color w:val="000000"/>
                      <w:kern w:val="2"/>
                      <w:sz w:val="21"/>
                      <w:szCs w:val="21"/>
                      <w:lang w:eastAsia="zh-CN"/>
                    </w:rPr>
                    <w:t>-</w:t>
                  </w:r>
                  <w:r>
                    <w:rPr>
                      <w:rFonts w:hint="eastAsia" w:ascii="Times New Roman" w:hAnsi="Times New Roman" w:eastAsia="宋体" w:cs="Times New Roman"/>
                      <w:snapToGrid/>
                      <w:color w:val="000000"/>
                      <w:kern w:val="2"/>
                      <w:sz w:val="21"/>
                      <w:szCs w:val="21"/>
                      <w:lang w:val="en-US" w:eastAsia="zh-CN"/>
                    </w:rPr>
                    <w:t>8</w:t>
                  </w:r>
                  <w:r>
                    <w:rPr>
                      <w:rFonts w:hint="eastAsia" w:ascii="Times New Roman" w:hAnsi="Times New Roman" w:eastAsia="宋体" w:cs="Times New Roman"/>
                      <w:snapToGrid/>
                      <w:color w:val="000000"/>
                      <w:kern w:val="2"/>
                      <w:sz w:val="21"/>
                      <w:szCs w:val="21"/>
                      <w:lang w:eastAsia="zh-CN"/>
                    </w:rPr>
                    <w:t>,</w:t>
                  </w:r>
                  <w:r>
                    <w:rPr>
                      <w:rFonts w:hint="eastAsia" w:ascii="Times New Roman" w:hAnsi="Times New Roman" w:eastAsia="宋体" w:cs="Times New Roman"/>
                      <w:snapToGrid/>
                      <w:color w:val="000000"/>
                      <w:kern w:val="2"/>
                      <w:sz w:val="21"/>
                      <w:szCs w:val="21"/>
                      <w:lang w:val="en-US" w:eastAsia="zh-CN"/>
                    </w:rPr>
                    <w:t>0</w:t>
                  </w:r>
                  <w:r>
                    <w:rPr>
                      <w:rFonts w:hint="eastAsia" w:ascii="Times New Roman" w:hAnsi="Times New Roman" w:eastAsia="宋体" w:cs="Times New Roman"/>
                      <w:snapToGrid/>
                      <w:color w:val="000000"/>
                      <w:kern w:val="2"/>
                      <w:sz w:val="21"/>
                      <w:szCs w:val="21"/>
                      <w:lang w:eastAsia="zh-CN"/>
                    </w:rPr>
                    <w:t>,</w:t>
                  </w:r>
                  <w:r>
                    <w:rPr>
                      <w:rFonts w:hint="eastAsia" w:ascii="Times New Roman" w:hAnsi="Times New Roman" w:eastAsia="宋体" w:cs="Times New Roman"/>
                      <w:snapToGrid/>
                      <w:color w:val="000000"/>
                      <w:kern w:val="2"/>
                      <w:sz w:val="21"/>
                      <w:szCs w:val="21"/>
                      <w:lang w:val="en-US" w:eastAsia="zh-CN"/>
                    </w:rPr>
                    <w:t>1</w:t>
                  </w:r>
                </w:p>
              </w:tc>
              <w:tc>
                <w:tcPr>
                  <w:tcW w:w="320" w:type="pct"/>
                  <w:vMerge w:val="continue"/>
                  <w:tcBorders>
                    <w:tl2br w:val="nil"/>
                    <w:tr2bl w:val="nil"/>
                  </w:tcBorders>
                  <w:noWrap w:val="0"/>
                  <w:vAlign w:val="center"/>
                </w:tcPr>
                <w:p w14:paraId="6F9807E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756" w:type="pct"/>
                  <w:vMerge w:val="continue"/>
                  <w:tcBorders>
                    <w:tl2br w:val="nil"/>
                    <w:tr2bl w:val="nil"/>
                  </w:tcBorders>
                  <w:noWrap w:val="0"/>
                  <w:vAlign w:val="center"/>
                </w:tcPr>
                <w:p w14:paraId="336559C2">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252" w:type="pct"/>
                  <w:vMerge w:val="continue"/>
                  <w:tcBorders>
                    <w:tl2br w:val="nil"/>
                    <w:tr2bl w:val="nil"/>
                  </w:tcBorders>
                  <w:noWrap w:val="0"/>
                  <w:textDirection w:val="tbRlV"/>
                  <w:vAlign w:val="center"/>
                </w:tcPr>
                <w:p w14:paraId="41D6223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r>
            <w:tr w14:paraId="17EB591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tcBorders>
                    <w:tl2br w:val="nil"/>
                    <w:tr2bl w:val="nil"/>
                  </w:tcBorders>
                  <w:noWrap w:val="0"/>
                  <w:vAlign w:val="center"/>
                </w:tcPr>
                <w:p w14:paraId="2A3FA2D3">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4</w:t>
                  </w:r>
                </w:p>
              </w:tc>
              <w:tc>
                <w:tcPr>
                  <w:tcW w:w="488" w:type="pct"/>
                  <w:tcBorders>
                    <w:tl2br w:val="nil"/>
                    <w:tr2bl w:val="nil"/>
                  </w:tcBorders>
                  <w:noWrap w:val="0"/>
                  <w:vAlign w:val="center"/>
                </w:tcPr>
                <w:p w14:paraId="354731C1">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风机 4</w:t>
                  </w:r>
                </w:p>
              </w:tc>
              <w:tc>
                <w:tcPr>
                  <w:tcW w:w="623" w:type="pct"/>
                  <w:tcBorders>
                    <w:tl2br w:val="nil"/>
                    <w:tr2bl w:val="nil"/>
                  </w:tcBorders>
                  <w:noWrap w:val="0"/>
                  <w:vAlign w:val="center"/>
                </w:tcPr>
                <w:p w14:paraId="506FF17F">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1</w:t>
                  </w:r>
                </w:p>
              </w:tc>
              <w:tc>
                <w:tcPr>
                  <w:tcW w:w="815" w:type="pct"/>
                  <w:tcBorders>
                    <w:tl2br w:val="nil"/>
                    <w:tr2bl w:val="nil"/>
                  </w:tcBorders>
                  <w:noWrap w:val="0"/>
                  <w:vAlign w:val="center"/>
                </w:tcPr>
                <w:p w14:paraId="267DBA15">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90</w:t>
                  </w:r>
                </w:p>
              </w:tc>
              <w:tc>
                <w:tcPr>
                  <w:tcW w:w="434" w:type="pct"/>
                  <w:tcBorders>
                    <w:tl2br w:val="nil"/>
                    <w:tr2bl w:val="nil"/>
                  </w:tcBorders>
                  <w:noWrap w:val="0"/>
                  <w:vAlign w:val="center"/>
                </w:tcPr>
                <w:p w14:paraId="46FF9104">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室外</w:t>
                  </w:r>
                </w:p>
              </w:tc>
              <w:tc>
                <w:tcPr>
                  <w:tcW w:w="1852" w:type="dxa"/>
                  <w:tcBorders>
                    <w:tl2br w:val="nil"/>
                    <w:tr2bl w:val="nil"/>
                  </w:tcBorders>
                  <w:noWrap w:val="0"/>
                  <w:vAlign w:val="center"/>
                </w:tcPr>
                <w:p w14:paraId="3991ACFC">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eastAsia" w:ascii="Times New Roman" w:hAnsi="Times New Roman" w:eastAsia="宋体" w:cs="Times New Roman"/>
                      <w:snapToGrid/>
                      <w:color w:val="000000"/>
                      <w:kern w:val="2"/>
                      <w:sz w:val="21"/>
                      <w:szCs w:val="21"/>
                      <w:lang w:val="en-US" w:eastAsia="zh-CN"/>
                    </w:rPr>
                    <w:t>30</w:t>
                  </w:r>
                  <w:r>
                    <w:rPr>
                      <w:rFonts w:hint="eastAsia" w:ascii="Times New Roman" w:hAnsi="Times New Roman" w:eastAsia="宋体" w:cs="Times New Roman"/>
                      <w:snapToGrid/>
                      <w:color w:val="000000"/>
                      <w:kern w:val="2"/>
                      <w:sz w:val="21"/>
                      <w:szCs w:val="21"/>
                      <w:lang w:eastAsia="zh-CN"/>
                    </w:rPr>
                    <w:t>,</w:t>
                  </w:r>
                  <w:r>
                    <w:rPr>
                      <w:rFonts w:hint="eastAsia" w:ascii="Times New Roman" w:hAnsi="Times New Roman" w:eastAsia="宋体" w:cs="Times New Roman"/>
                      <w:snapToGrid/>
                      <w:color w:val="000000"/>
                      <w:kern w:val="2"/>
                      <w:sz w:val="21"/>
                      <w:szCs w:val="21"/>
                      <w:lang w:val="en-US" w:eastAsia="zh-CN"/>
                    </w:rPr>
                    <w:t>26</w:t>
                  </w:r>
                  <w:r>
                    <w:rPr>
                      <w:rFonts w:hint="eastAsia" w:ascii="Times New Roman" w:hAnsi="Times New Roman" w:eastAsia="宋体" w:cs="Times New Roman"/>
                      <w:snapToGrid/>
                      <w:color w:val="000000"/>
                      <w:kern w:val="2"/>
                      <w:sz w:val="21"/>
                      <w:szCs w:val="21"/>
                      <w:lang w:eastAsia="zh-CN"/>
                    </w:rPr>
                    <w:t>,0.8</w:t>
                  </w:r>
                </w:p>
              </w:tc>
              <w:tc>
                <w:tcPr>
                  <w:tcW w:w="320" w:type="pct"/>
                  <w:vMerge w:val="continue"/>
                  <w:tcBorders>
                    <w:tl2br w:val="nil"/>
                    <w:tr2bl w:val="nil"/>
                  </w:tcBorders>
                  <w:noWrap w:val="0"/>
                  <w:vAlign w:val="center"/>
                </w:tcPr>
                <w:p w14:paraId="0B052B37">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756" w:type="pct"/>
                  <w:vMerge w:val="continue"/>
                  <w:tcBorders>
                    <w:tl2br w:val="nil"/>
                    <w:tr2bl w:val="nil"/>
                  </w:tcBorders>
                  <w:noWrap w:val="0"/>
                  <w:vAlign w:val="center"/>
                </w:tcPr>
                <w:p w14:paraId="05B2C20A">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252" w:type="pct"/>
                  <w:vMerge w:val="continue"/>
                  <w:tcBorders>
                    <w:tl2br w:val="nil"/>
                    <w:tr2bl w:val="nil"/>
                  </w:tcBorders>
                  <w:noWrap w:val="0"/>
                  <w:textDirection w:val="tbRlV"/>
                  <w:vAlign w:val="center"/>
                </w:tcPr>
                <w:p w14:paraId="69F101C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r>
            <w:tr w14:paraId="395206B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tcBorders>
                    <w:tl2br w:val="nil"/>
                    <w:tr2bl w:val="nil"/>
                  </w:tcBorders>
                  <w:noWrap w:val="0"/>
                  <w:vAlign w:val="center"/>
                </w:tcPr>
                <w:p w14:paraId="1CC917A1">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5</w:t>
                  </w:r>
                </w:p>
              </w:tc>
              <w:tc>
                <w:tcPr>
                  <w:tcW w:w="488" w:type="pct"/>
                  <w:tcBorders>
                    <w:tl2br w:val="nil"/>
                    <w:tr2bl w:val="nil"/>
                  </w:tcBorders>
                  <w:noWrap w:val="0"/>
                  <w:vAlign w:val="center"/>
                </w:tcPr>
                <w:p w14:paraId="63E7601A">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风机</w:t>
                  </w: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5</w:t>
                  </w:r>
                </w:p>
              </w:tc>
              <w:tc>
                <w:tcPr>
                  <w:tcW w:w="623" w:type="pct"/>
                  <w:tcBorders>
                    <w:tl2br w:val="nil"/>
                    <w:tr2bl w:val="nil"/>
                  </w:tcBorders>
                  <w:noWrap w:val="0"/>
                  <w:vAlign w:val="center"/>
                </w:tcPr>
                <w:p w14:paraId="004D07A2">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1</w:t>
                  </w:r>
                </w:p>
              </w:tc>
              <w:tc>
                <w:tcPr>
                  <w:tcW w:w="815" w:type="pct"/>
                  <w:tcBorders>
                    <w:tl2br w:val="nil"/>
                    <w:tr2bl w:val="nil"/>
                  </w:tcBorders>
                  <w:noWrap w:val="0"/>
                  <w:vAlign w:val="center"/>
                </w:tcPr>
                <w:p w14:paraId="121DAF3D">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90</w:t>
                  </w:r>
                </w:p>
              </w:tc>
              <w:tc>
                <w:tcPr>
                  <w:tcW w:w="434" w:type="pct"/>
                  <w:tcBorders>
                    <w:tl2br w:val="nil"/>
                    <w:tr2bl w:val="nil"/>
                  </w:tcBorders>
                  <w:noWrap w:val="0"/>
                  <w:vAlign w:val="center"/>
                </w:tcPr>
                <w:p w14:paraId="00CD0FEE">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室外</w:t>
                  </w:r>
                </w:p>
              </w:tc>
              <w:tc>
                <w:tcPr>
                  <w:tcW w:w="1852" w:type="dxa"/>
                  <w:tcBorders>
                    <w:tl2br w:val="nil"/>
                    <w:tr2bl w:val="nil"/>
                  </w:tcBorders>
                  <w:noWrap w:val="0"/>
                  <w:vAlign w:val="center"/>
                </w:tcPr>
                <w:p w14:paraId="532E90F4">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eastAsia" w:ascii="Times New Roman" w:hAnsi="Times New Roman" w:eastAsia="宋体" w:cs="Times New Roman"/>
                      <w:snapToGrid/>
                      <w:color w:val="000000"/>
                      <w:kern w:val="2"/>
                      <w:sz w:val="21"/>
                      <w:szCs w:val="21"/>
                      <w:lang w:val="en-US" w:eastAsia="zh-CN"/>
                    </w:rPr>
                    <w:t>28</w:t>
                  </w:r>
                  <w:r>
                    <w:rPr>
                      <w:rFonts w:hint="eastAsia" w:ascii="Times New Roman" w:hAnsi="Times New Roman" w:eastAsia="宋体" w:cs="Times New Roman"/>
                      <w:snapToGrid/>
                      <w:color w:val="000000"/>
                      <w:kern w:val="2"/>
                      <w:sz w:val="21"/>
                      <w:szCs w:val="21"/>
                      <w:lang w:eastAsia="zh-CN"/>
                    </w:rPr>
                    <w:t>,5,</w:t>
                  </w:r>
                  <w:r>
                    <w:rPr>
                      <w:rFonts w:hint="eastAsia" w:ascii="Times New Roman" w:hAnsi="Times New Roman" w:eastAsia="宋体" w:cs="Times New Roman"/>
                      <w:snapToGrid/>
                      <w:color w:val="000000"/>
                      <w:kern w:val="2"/>
                      <w:sz w:val="21"/>
                      <w:szCs w:val="21"/>
                      <w:lang w:val="en-US" w:eastAsia="zh-CN"/>
                    </w:rPr>
                    <w:t>1</w:t>
                  </w:r>
                </w:p>
              </w:tc>
              <w:tc>
                <w:tcPr>
                  <w:tcW w:w="320" w:type="pct"/>
                  <w:vMerge w:val="continue"/>
                  <w:tcBorders>
                    <w:tl2br w:val="nil"/>
                    <w:tr2bl w:val="nil"/>
                  </w:tcBorders>
                  <w:noWrap w:val="0"/>
                  <w:vAlign w:val="center"/>
                </w:tcPr>
                <w:p w14:paraId="79AD802C">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756" w:type="pct"/>
                  <w:vMerge w:val="continue"/>
                  <w:tcBorders>
                    <w:tl2br w:val="nil"/>
                    <w:tr2bl w:val="nil"/>
                  </w:tcBorders>
                  <w:noWrap w:val="0"/>
                  <w:vAlign w:val="center"/>
                </w:tcPr>
                <w:p w14:paraId="4302727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252" w:type="pct"/>
                  <w:vMerge w:val="continue"/>
                  <w:tcBorders>
                    <w:tl2br w:val="nil"/>
                    <w:tr2bl w:val="nil"/>
                  </w:tcBorders>
                  <w:noWrap w:val="0"/>
                  <w:textDirection w:val="tbRlV"/>
                  <w:vAlign w:val="center"/>
                </w:tcPr>
                <w:p w14:paraId="2E98DC8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r>
            <w:tr w14:paraId="229A636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tcBorders>
                    <w:tl2br w:val="nil"/>
                    <w:tr2bl w:val="nil"/>
                  </w:tcBorders>
                  <w:noWrap w:val="0"/>
                  <w:vAlign w:val="center"/>
                </w:tcPr>
                <w:p w14:paraId="6DDFABC0">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6</w:t>
                  </w:r>
                </w:p>
              </w:tc>
              <w:tc>
                <w:tcPr>
                  <w:tcW w:w="488" w:type="pct"/>
                  <w:tcBorders>
                    <w:tl2br w:val="nil"/>
                    <w:tr2bl w:val="nil"/>
                  </w:tcBorders>
                  <w:noWrap w:val="0"/>
                  <w:vAlign w:val="center"/>
                </w:tcPr>
                <w:p w14:paraId="6DEE6642">
                  <w:pPr>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风机</w:t>
                  </w: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6</w:t>
                  </w:r>
                </w:p>
              </w:tc>
              <w:tc>
                <w:tcPr>
                  <w:tcW w:w="623" w:type="pct"/>
                  <w:tcBorders>
                    <w:tl2br w:val="nil"/>
                    <w:tr2bl w:val="nil"/>
                  </w:tcBorders>
                  <w:noWrap w:val="0"/>
                  <w:vAlign w:val="center"/>
                </w:tcPr>
                <w:p w14:paraId="4BFDD03E">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1</w:t>
                  </w:r>
                </w:p>
              </w:tc>
              <w:tc>
                <w:tcPr>
                  <w:tcW w:w="815" w:type="pct"/>
                  <w:tcBorders>
                    <w:tl2br w:val="nil"/>
                    <w:tr2bl w:val="nil"/>
                  </w:tcBorders>
                  <w:noWrap w:val="0"/>
                  <w:vAlign w:val="center"/>
                </w:tcPr>
                <w:p w14:paraId="0F8A1682">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90</w:t>
                  </w:r>
                </w:p>
              </w:tc>
              <w:tc>
                <w:tcPr>
                  <w:tcW w:w="434" w:type="pct"/>
                  <w:tcBorders>
                    <w:tl2br w:val="nil"/>
                    <w:tr2bl w:val="nil"/>
                  </w:tcBorders>
                  <w:noWrap w:val="0"/>
                  <w:vAlign w:val="center"/>
                </w:tcPr>
                <w:p w14:paraId="5786B672">
                  <w:pPr>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室外</w:t>
                  </w:r>
                </w:p>
              </w:tc>
              <w:tc>
                <w:tcPr>
                  <w:tcW w:w="1852" w:type="dxa"/>
                  <w:tcBorders>
                    <w:tl2br w:val="nil"/>
                    <w:tr2bl w:val="nil"/>
                  </w:tcBorders>
                  <w:noWrap w:val="0"/>
                  <w:vAlign w:val="center"/>
                </w:tcPr>
                <w:p w14:paraId="774FE967">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eastAsia" w:ascii="Times New Roman" w:hAnsi="Times New Roman" w:eastAsia="宋体" w:cs="Times New Roman"/>
                      <w:snapToGrid/>
                      <w:color w:val="000000"/>
                      <w:kern w:val="2"/>
                      <w:sz w:val="21"/>
                      <w:szCs w:val="21"/>
                      <w:lang w:val="en-US" w:eastAsia="zh-CN"/>
                    </w:rPr>
                    <w:t>36</w:t>
                  </w:r>
                  <w:r>
                    <w:rPr>
                      <w:rFonts w:hint="eastAsia" w:ascii="Times New Roman" w:hAnsi="Times New Roman" w:eastAsia="宋体" w:cs="Times New Roman"/>
                      <w:snapToGrid/>
                      <w:color w:val="000000"/>
                      <w:kern w:val="2"/>
                      <w:sz w:val="21"/>
                      <w:szCs w:val="21"/>
                      <w:lang w:eastAsia="zh-CN"/>
                    </w:rPr>
                    <w:t>,5,</w:t>
                  </w:r>
                  <w:r>
                    <w:rPr>
                      <w:rFonts w:hint="eastAsia" w:ascii="Times New Roman" w:hAnsi="Times New Roman" w:eastAsia="宋体" w:cs="Times New Roman"/>
                      <w:snapToGrid/>
                      <w:color w:val="000000"/>
                      <w:kern w:val="2"/>
                      <w:sz w:val="21"/>
                      <w:szCs w:val="21"/>
                      <w:lang w:val="en-US" w:eastAsia="zh-CN"/>
                    </w:rPr>
                    <w:t>1</w:t>
                  </w:r>
                </w:p>
              </w:tc>
              <w:tc>
                <w:tcPr>
                  <w:tcW w:w="320" w:type="pct"/>
                  <w:vMerge w:val="continue"/>
                  <w:tcBorders>
                    <w:tl2br w:val="nil"/>
                    <w:tr2bl w:val="nil"/>
                  </w:tcBorders>
                  <w:noWrap w:val="0"/>
                  <w:vAlign w:val="center"/>
                </w:tcPr>
                <w:p w14:paraId="070FB15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756" w:type="pct"/>
                  <w:vMerge w:val="continue"/>
                  <w:tcBorders>
                    <w:tl2br w:val="nil"/>
                    <w:tr2bl w:val="nil"/>
                  </w:tcBorders>
                  <w:noWrap w:val="0"/>
                  <w:vAlign w:val="center"/>
                </w:tcPr>
                <w:p w14:paraId="3BB8DBD9">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252" w:type="pct"/>
                  <w:vMerge w:val="continue"/>
                  <w:tcBorders>
                    <w:tl2br w:val="nil"/>
                    <w:tr2bl w:val="nil"/>
                  </w:tcBorders>
                  <w:noWrap w:val="0"/>
                  <w:textDirection w:val="tbRlV"/>
                  <w:vAlign w:val="center"/>
                </w:tcPr>
                <w:p w14:paraId="426DF68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r>
            <w:tr w14:paraId="496E3F1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tcBorders>
                    <w:tl2br w:val="nil"/>
                    <w:tr2bl w:val="nil"/>
                  </w:tcBorders>
                  <w:noWrap w:val="0"/>
                  <w:vAlign w:val="center"/>
                </w:tcPr>
                <w:p w14:paraId="778BC5A6">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7</w:t>
                  </w:r>
                </w:p>
              </w:tc>
              <w:tc>
                <w:tcPr>
                  <w:tcW w:w="488" w:type="pct"/>
                  <w:tcBorders>
                    <w:tl2br w:val="nil"/>
                    <w:tr2bl w:val="nil"/>
                  </w:tcBorders>
                  <w:noWrap w:val="0"/>
                  <w:vAlign w:val="center"/>
                </w:tcPr>
                <w:p w14:paraId="4530F2B8">
                  <w:pPr>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风机</w:t>
                  </w: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7</w:t>
                  </w:r>
                </w:p>
              </w:tc>
              <w:tc>
                <w:tcPr>
                  <w:tcW w:w="623" w:type="pct"/>
                  <w:tcBorders>
                    <w:tl2br w:val="nil"/>
                    <w:tr2bl w:val="nil"/>
                  </w:tcBorders>
                  <w:noWrap w:val="0"/>
                  <w:vAlign w:val="center"/>
                </w:tcPr>
                <w:p w14:paraId="496145B0">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1</w:t>
                  </w:r>
                </w:p>
              </w:tc>
              <w:tc>
                <w:tcPr>
                  <w:tcW w:w="815" w:type="pct"/>
                  <w:tcBorders>
                    <w:tl2br w:val="nil"/>
                    <w:tr2bl w:val="nil"/>
                  </w:tcBorders>
                  <w:noWrap w:val="0"/>
                  <w:vAlign w:val="center"/>
                </w:tcPr>
                <w:p w14:paraId="6ED6E43C">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90</w:t>
                  </w:r>
                </w:p>
              </w:tc>
              <w:tc>
                <w:tcPr>
                  <w:tcW w:w="434" w:type="pct"/>
                  <w:tcBorders>
                    <w:tl2br w:val="nil"/>
                    <w:tr2bl w:val="nil"/>
                  </w:tcBorders>
                  <w:noWrap w:val="0"/>
                  <w:vAlign w:val="center"/>
                </w:tcPr>
                <w:p w14:paraId="7643DD2E">
                  <w:pPr>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室外</w:t>
                  </w:r>
                </w:p>
              </w:tc>
              <w:tc>
                <w:tcPr>
                  <w:tcW w:w="1078" w:type="pct"/>
                  <w:tcBorders>
                    <w:tl2br w:val="nil"/>
                    <w:tr2bl w:val="nil"/>
                  </w:tcBorders>
                  <w:noWrap w:val="0"/>
                  <w:vAlign w:val="center"/>
                </w:tcPr>
                <w:p w14:paraId="00EE84DB">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-60,-45,0.8</w:t>
                  </w:r>
                </w:p>
              </w:tc>
              <w:tc>
                <w:tcPr>
                  <w:tcW w:w="320" w:type="pct"/>
                  <w:vMerge w:val="continue"/>
                  <w:tcBorders>
                    <w:tl2br w:val="nil"/>
                    <w:tr2bl w:val="nil"/>
                  </w:tcBorders>
                  <w:noWrap w:val="0"/>
                  <w:vAlign w:val="center"/>
                </w:tcPr>
                <w:p w14:paraId="5C9482F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756" w:type="pct"/>
                  <w:vMerge w:val="continue"/>
                  <w:tcBorders>
                    <w:tl2br w:val="nil"/>
                    <w:tr2bl w:val="nil"/>
                  </w:tcBorders>
                  <w:noWrap w:val="0"/>
                  <w:vAlign w:val="center"/>
                </w:tcPr>
                <w:p w14:paraId="1DAF775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252" w:type="pct"/>
                  <w:vMerge w:val="continue"/>
                  <w:tcBorders>
                    <w:tl2br w:val="nil"/>
                    <w:tr2bl w:val="nil"/>
                  </w:tcBorders>
                  <w:noWrap w:val="0"/>
                  <w:textDirection w:val="tbRlV"/>
                  <w:vAlign w:val="center"/>
                </w:tcPr>
                <w:p w14:paraId="09D4437A">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r>
            <w:tr w14:paraId="5725853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30" w:type="pct"/>
                  <w:tcBorders>
                    <w:tl2br w:val="nil"/>
                    <w:tr2bl w:val="nil"/>
                  </w:tcBorders>
                  <w:noWrap w:val="0"/>
                  <w:vAlign w:val="center"/>
                </w:tcPr>
                <w:p w14:paraId="18C47EF4">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8</w:t>
                  </w:r>
                </w:p>
              </w:tc>
              <w:tc>
                <w:tcPr>
                  <w:tcW w:w="488" w:type="pct"/>
                  <w:tcBorders>
                    <w:tl2br w:val="nil"/>
                    <w:tr2bl w:val="nil"/>
                  </w:tcBorders>
                  <w:noWrap w:val="0"/>
                  <w:vAlign w:val="center"/>
                </w:tcPr>
                <w:p w14:paraId="544F3C77">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风机</w:t>
                  </w: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8</w:t>
                  </w:r>
                </w:p>
              </w:tc>
              <w:tc>
                <w:tcPr>
                  <w:tcW w:w="623" w:type="pct"/>
                  <w:tcBorders>
                    <w:tl2br w:val="nil"/>
                    <w:tr2bl w:val="nil"/>
                  </w:tcBorders>
                  <w:noWrap w:val="0"/>
                  <w:vAlign w:val="center"/>
                </w:tcPr>
                <w:p w14:paraId="053C12C7">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1</w:t>
                  </w:r>
                </w:p>
              </w:tc>
              <w:tc>
                <w:tcPr>
                  <w:tcW w:w="815" w:type="pct"/>
                  <w:tcBorders>
                    <w:tl2br w:val="nil"/>
                    <w:tr2bl w:val="nil"/>
                  </w:tcBorders>
                  <w:noWrap w:val="0"/>
                  <w:vAlign w:val="center"/>
                </w:tcPr>
                <w:p w14:paraId="7F53E7A0">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90</w:t>
                  </w:r>
                </w:p>
              </w:tc>
              <w:tc>
                <w:tcPr>
                  <w:tcW w:w="434" w:type="pct"/>
                  <w:tcBorders>
                    <w:tl2br w:val="nil"/>
                    <w:tr2bl w:val="nil"/>
                  </w:tcBorders>
                  <w:noWrap w:val="0"/>
                  <w:vAlign w:val="center"/>
                </w:tcPr>
                <w:p w14:paraId="5B33C544">
                  <w:pPr>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室外</w:t>
                  </w:r>
                </w:p>
              </w:tc>
              <w:tc>
                <w:tcPr>
                  <w:tcW w:w="1078" w:type="pct"/>
                  <w:tcBorders>
                    <w:tl2br w:val="nil"/>
                    <w:tr2bl w:val="nil"/>
                  </w:tcBorders>
                  <w:noWrap w:val="0"/>
                  <w:vAlign w:val="center"/>
                </w:tcPr>
                <w:p w14:paraId="58F4449D">
                  <w:pPr>
                    <w:pStyle w:val="52"/>
                    <w:keepNext w:val="0"/>
                    <w:keepLines w:val="0"/>
                    <w:widowControl w:val="0"/>
                    <w:suppressLineNumbers w:val="0"/>
                    <w:kinsoku w:val="0"/>
                    <w:overflowPunct w:val="0"/>
                    <w:autoSpaceDE/>
                    <w:autoSpaceDN/>
                    <w:adjustRightInd/>
                    <w:snapToGrid/>
                    <w:spacing w:before="0" w:beforeAutospacing="0" w:after="0" w:afterAutospacing="0" w:line="300" w:lineRule="exact"/>
                    <w:ind w:left="0" w:leftChars="0" w:right="0"/>
                    <w:jc w:val="center"/>
                    <w:textAlignment w:val="auto"/>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w:t>
                  </w: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4</w:t>
                  </w: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5</w:t>
                  </w: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w:t>
                  </w:r>
                  <w:r>
                    <w:rPr>
                      <w:rFonts w:hint="default" w:ascii="Times New Roman" w:hAnsi="Times New Roman" w:eastAsia="宋体" w:cs="Times New Roman"/>
                      <w:snapToGrid/>
                      <w:color w:val="000000" w:themeColor="text1"/>
                      <w:kern w:val="2"/>
                      <w:sz w:val="21"/>
                      <w:szCs w:val="21"/>
                      <w:lang w:val="en-US" w:eastAsia="zh-CN"/>
                      <w14:textFill>
                        <w14:solidFill>
                          <w14:schemeClr w14:val="tx1"/>
                        </w14:solidFill>
                      </w14:textFill>
                    </w:rPr>
                    <w:t>-</w:t>
                  </w:r>
                  <w:r>
                    <w:rPr>
                      <w:rFonts w:hint="default" w:ascii="Times New Roman" w:hAnsi="Times New Roman" w:eastAsia="宋体" w:cs="Times New Roman"/>
                      <w:snapToGrid/>
                      <w:color w:val="000000" w:themeColor="text1"/>
                      <w:kern w:val="2"/>
                      <w:sz w:val="21"/>
                      <w:szCs w:val="21"/>
                      <w:lang w:eastAsia="zh-CN"/>
                      <w14:textFill>
                        <w14:solidFill>
                          <w14:schemeClr w14:val="tx1"/>
                        </w14:solidFill>
                      </w14:textFill>
                    </w:rPr>
                    <w:t>52,0.5</w:t>
                  </w:r>
                </w:p>
              </w:tc>
              <w:tc>
                <w:tcPr>
                  <w:tcW w:w="320" w:type="pct"/>
                  <w:vMerge w:val="continue"/>
                  <w:tcBorders>
                    <w:tl2br w:val="nil"/>
                    <w:tr2bl w:val="nil"/>
                  </w:tcBorders>
                  <w:noWrap w:val="0"/>
                  <w:vAlign w:val="center"/>
                </w:tcPr>
                <w:p w14:paraId="0C1F4656">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756" w:type="pct"/>
                  <w:vMerge w:val="continue"/>
                  <w:tcBorders>
                    <w:tl2br w:val="nil"/>
                    <w:tr2bl w:val="nil"/>
                  </w:tcBorders>
                  <w:noWrap w:val="0"/>
                  <w:vAlign w:val="center"/>
                </w:tcPr>
                <w:p w14:paraId="782C5B72">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c>
                <w:tcPr>
                  <w:tcW w:w="252" w:type="pct"/>
                  <w:vMerge w:val="continue"/>
                  <w:tcBorders>
                    <w:tl2br w:val="nil"/>
                    <w:tr2bl w:val="nil"/>
                  </w:tcBorders>
                  <w:noWrap w:val="0"/>
                  <w:textDirection w:val="tbRlV"/>
                  <w:vAlign w:val="center"/>
                </w:tcPr>
                <w:p w14:paraId="659B4C5E">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p>
              </w:tc>
            </w:tr>
          </w:tbl>
          <w:p w14:paraId="6D591726">
            <w:pPr>
              <w:keepNext w:val="0"/>
              <w:keepLines w:val="0"/>
              <w:suppressLineNumbers w:val="0"/>
              <w:adjustRightInd w:val="0"/>
              <w:snapToGrid w:val="0"/>
              <w:spacing w:before="0" w:beforeAutospacing="0" w:after="0" w:afterAutospacing="0" w:line="480" w:lineRule="exact"/>
              <w:ind w:left="0" w:right="0" w:firstLine="482" w:firstLineChars="200"/>
              <w:rPr>
                <w:rFonts w:hint="default" w:ascii="Times New Roman" w:hAnsi="Times New Roman" w:eastAsia="宋体" w:cs="Times New Roman"/>
                <w:b/>
                <w:bCs/>
                <w:color w:val="000000" w:themeColor="text1"/>
                <w:sz w:val="24"/>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14:textFill>
                  <w14:solidFill>
                    <w14:schemeClr w14:val="tx1"/>
                  </w14:solidFill>
                </w14:textFill>
              </w:rPr>
              <w:t>预测模式</w:t>
            </w:r>
          </w:p>
          <w:p w14:paraId="527F3025">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预测模式采用《环境影响评价技术导则 声环境》（HJ2.4-2021）中推荐的模型。声源位于室内，室内声源可采用等效室外声源声功率级法进行计算。设靠近开口处（或窗户）室内、室外某倍频带的声压级或A声级分别为Lp</w:t>
            </w:r>
            <w:r>
              <w:rPr>
                <w:rFonts w:hint="default" w:ascii="Times New Roman" w:hAnsi="Times New Roman" w:eastAsia="宋体" w:cs="Times New Roman"/>
                <w:color w:val="000000" w:themeColor="text1"/>
                <w:sz w:val="24"/>
                <w:vertAlign w:val="subscript"/>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和Lp</w:t>
            </w:r>
            <w:r>
              <w:rPr>
                <w:rFonts w:hint="default" w:ascii="Times New Roman" w:hAnsi="Times New Roman" w:eastAsia="宋体" w:cs="Times New Roman"/>
                <w:color w:val="000000" w:themeColor="text1"/>
                <w:sz w:val="24"/>
                <w:vertAlign w:val="subscript"/>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。若声源所在室内声场为近似扩散声场，则室外的倍频带声压级可按下式近似求出：</w:t>
            </w:r>
          </w:p>
          <w:p w14:paraId="73919F98">
            <w:pPr>
              <w:keepNext w:val="0"/>
              <w:keepLines w:val="0"/>
              <w:suppressLineNumbers w:val="0"/>
              <w:adjustRightInd w:val="0"/>
              <w:snapToGrid w:val="0"/>
              <w:spacing w:before="0" w:beforeAutospacing="0" w:after="0" w:afterAutospacing="0" w:line="500" w:lineRule="exact"/>
              <w:ind w:left="0" w:right="0" w:firstLine="480" w:firstLineChars="200"/>
              <w:jc w:val="both"/>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Lp</w:t>
            </w:r>
            <w:r>
              <w:rPr>
                <w:rFonts w:hint="default" w:ascii="Times New Roman" w:hAnsi="Times New Roman" w:eastAsia="宋体" w:cs="Times New Roman"/>
                <w:color w:val="000000" w:themeColor="text1"/>
                <w:sz w:val="24"/>
                <w:vertAlign w:val="subscript"/>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=Lp</w:t>
            </w:r>
            <w:r>
              <w:rPr>
                <w:rFonts w:hint="default" w:ascii="Times New Roman" w:hAnsi="Times New Roman" w:eastAsia="宋体" w:cs="Times New Roman"/>
                <w:color w:val="000000" w:themeColor="text1"/>
                <w:sz w:val="24"/>
                <w:vertAlign w:val="subscript"/>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-（TL+6）</w:t>
            </w:r>
          </w:p>
          <w:p w14:paraId="5B951448">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式中：Lp1--靠近开口处（或窗户）室内某倍频带的声压级或A声级，dB；</w:t>
            </w:r>
          </w:p>
          <w:p w14:paraId="7EC9754D">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Lp2--靠近开口处（或窗户）室外某倍频带的声压级或A声级，dB；</w:t>
            </w:r>
          </w:p>
          <w:p w14:paraId="62AF809E">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TL--隔墙（或窗户）倍频带或A声级的隔声量，dB。</w:t>
            </w:r>
          </w:p>
          <w:p w14:paraId="1226F236">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drawing>
                <wp:anchor distT="0" distB="0" distL="114300" distR="114300" simplePos="0" relativeHeight="251664384" behindDoc="1" locked="0" layoutInCell="1" allowOverlap="1">
                  <wp:simplePos x="0" y="0"/>
                  <wp:positionH relativeFrom="column">
                    <wp:posOffset>1652270</wp:posOffset>
                  </wp:positionH>
                  <wp:positionV relativeFrom="paragraph">
                    <wp:posOffset>311150</wp:posOffset>
                  </wp:positionV>
                  <wp:extent cx="2138680" cy="410845"/>
                  <wp:effectExtent l="0" t="0" r="13970" b="8255"/>
                  <wp:wrapTight wrapText="bothSides">
                    <wp:wrapPolygon>
                      <wp:start x="0" y="0"/>
                      <wp:lineTo x="0" y="20331"/>
                      <wp:lineTo x="21356" y="20331"/>
                      <wp:lineTo x="21356" y="0"/>
                      <wp:lineTo x="0" y="0"/>
                    </wp:wrapPolygon>
                  </wp:wrapTight>
                  <wp:docPr id="11" name="图片 2" descr="173390305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1733903059210"/>
                          <pic:cNvPicPr>
                            <a:picLocks noChangeAspect="1"/>
                          </pic:cNvPicPr>
                        </pic:nvPicPr>
                        <pic:blipFill>
                          <a:blip r:embed="rId14"/>
                          <a:stretch>
                            <a:fillRect/>
                          </a:stretch>
                        </pic:blipFill>
                        <pic:spPr>
                          <a:xfrm>
                            <a:off x="0" y="0"/>
                            <a:ext cx="2138680" cy="410845"/>
                          </a:xfrm>
                          <a:prstGeom prst="rect">
                            <a:avLst/>
                          </a:prstGeom>
                          <a:noFill/>
                          <a:ln>
                            <a:noFill/>
                          </a:ln>
                        </pic:spPr>
                      </pic:pic>
                    </a:graphicData>
                  </a:graphic>
                </wp:anchor>
              </w:drawing>
            </w:r>
            <w:r>
              <w:rPr>
                <w:rFonts w:hint="default" w:ascii="Times New Roman" w:hAnsi="Times New Roman" w:eastAsia="宋体" w:cs="Times New Roman"/>
                <w:color w:val="000000" w:themeColor="text1"/>
                <w:sz w:val="24"/>
                <w14:textFill>
                  <w14:solidFill>
                    <w14:schemeClr w14:val="tx1"/>
                  </w14:solidFill>
                </w14:textFill>
              </w:rPr>
              <w:t>也可按下式计算某一室内声源靠近围护结构处产生的倍频带声压级或A声级：</w:t>
            </w:r>
          </w:p>
          <w:p w14:paraId="18594DCA">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p>
          <w:p w14:paraId="6F7F517A">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式中：Lp</w:t>
            </w:r>
            <w:r>
              <w:rPr>
                <w:rFonts w:hint="default" w:ascii="Times New Roman" w:hAnsi="Times New Roman" w:eastAsia="宋体" w:cs="Times New Roman"/>
                <w:color w:val="000000" w:themeColor="text1"/>
                <w:sz w:val="24"/>
                <w:vertAlign w:val="subscript"/>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--靠近开口处（或窗户）室内某倍频带的声压级或A声级，dB；</w:t>
            </w:r>
          </w:p>
          <w:p w14:paraId="0CAD9D3F">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w:t>
            </w:r>
            <w:r>
              <w:rPr>
                <w:rFonts w:hint="default" w:ascii="Times New Roman" w:hAnsi="Times New Roman" w:eastAsia="宋体" w:cs="Times New Roman"/>
                <w:color w:val="000000" w:themeColor="text1"/>
                <w:sz w:val="24"/>
                <w:vertAlign w:val="subscript"/>
                <w14:textFill>
                  <w14:solidFill>
                    <w14:schemeClr w14:val="tx1"/>
                  </w14:solidFill>
                </w14:textFill>
              </w:rPr>
              <w:t>w</w:t>
            </w:r>
            <w:r>
              <w:rPr>
                <w:rFonts w:hint="default" w:ascii="Times New Roman" w:hAnsi="Times New Roman" w:eastAsia="宋体" w:cs="Times New Roman"/>
                <w:color w:val="000000" w:themeColor="text1"/>
                <w:sz w:val="24"/>
                <w14:textFill>
                  <w14:solidFill>
                    <w14:schemeClr w14:val="tx1"/>
                  </w14:solidFill>
                </w14:textFill>
              </w:rPr>
              <w:t>--点声源声功率级（A计权或倍频带），dB；</w:t>
            </w:r>
          </w:p>
          <w:p w14:paraId="2629A787">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Q--指向性因数；通常对无指向性声源，当声源放在房间中心时，Q=1；当放在一面墙的中心时，Q=2；当放在两面墙夹角处时，Q=4；当放在三面墙夹角处时，Q=8；</w:t>
            </w:r>
          </w:p>
          <w:p w14:paraId="253515D1">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R--房间常数；R=Sa/（1-a），S为房间内表面面积，m</w:t>
            </w:r>
            <w:r>
              <w:rPr>
                <w:rFonts w:hint="default" w:ascii="Times New Roman" w:hAnsi="Times New Roman" w:eastAsia="宋体" w:cs="Times New Roman"/>
                <w:color w:val="000000" w:themeColor="text1"/>
                <w:sz w:val="24"/>
                <w:vertAlign w:val="superscript"/>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；α为平均吸声系数；</w:t>
            </w:r>
          </w:p>
          <w:p w14:paraId="5A7CCBD0">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r--声源到靠近围护结构某点处的距离，m。</w:t>
            </w:r>
          </w:p>
          <w:p w14:paraId="68262BB5">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按下式计算出所有室内声源在围护结构处产生的i倍频带叠加声压级：</w:t>
            </w:r>
          </w:p>
          <w:p w14:paraId="2B099E5F">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drawing>
                <wp:anchor distT="0" distB="0" distL="114300" distR="114300" simplePos="0" relativeHeight="251665408" behindDoc="1" locked="0" layoutInCell="1" allowOverlap="1">
                  <wp:simplePos x="0" y="0"/>
                  <wp:positionH relativeFrom="column">
                    <wp:posOffset>1623060</wp:posOffset>
                  </wp:positionH>
                  <wp:positionV relativeFrom="paragraph">
                    <wp:posOffset>12700</wp:posOffset>
                  </wp:positionV>
                  <wp:extent cx="1896110" cy="559435"/>
                  <wp:effectExtent l="0" t="0" r="8890" b="12065"/>
                  <wp:wrapTight wrapText="bothSides">
                    <wp:wrapPolygon>
                      <wp:start x="0" y="0"/>
                      <wp:lineTo x="0" y="20595"/>
                      <wp:lineTo x="21484" y="20595"/>
                      <wp:lineTo x="21484" y="0"/>
                      <wp:lineTo x="0" y="0"/>
                    </wp:wrapPolygon>
                  </wp:wrapTight>
                  <wp:docPr id="12" name="图片 3" descr="173390320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1733903207765"/>
                          <pic:cNvPicPr>
                            <a:picLocks noChangeAspect="1"/>
                          </pic:cNvPicPr>
                        </pic:nvPicPr>
                        <pic:blipFill>
                          <a:blip r:embed="rId15"/>
                          <a:stretch>
                            <a:fillRect/>
                          </a:stretch>
                        </pic:blipFill>
                        <pic:spPr>
                          <a:xfrm>
                            <a:off x="0" y="0"/>
                            <a:ext cx="1896110" cy="559435"/>
                          </a:xfrm>
                          <a:prstGeom prst="rect">
                            <a:avLst/>
                          </a:prstGeom>
                          <a:noFill/>
                          <a:ln>
                            <a:noFill/>
                          </a:ln>
                        </pic:spPr>
                      </pic:pic>
                    </a:graphicData>
                  </a:graphic>
                </wp:anchor>
              </w:drawing>
            </w:r>
          </w:p>
          <w:p w14:paraId="374EBF69">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p>
          <w:p w14:paraId="7C05F43C">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式中：L</w:t>
            </w:r>
            <w:r>
              <w:rPr>
                <w:rFonts w:hint="default" w:ascii="Times New Roman" w:hAnsi="Times New Roman" w:eastAsia="宋体" w:cs="Times New Roman"/>
                <w:color w:val="000000" w:themeColor="text1"/>
                <w:sz w:val="15"/>
                <w:szCs w:val="15"/>
                <w14:textFill>
                  <w14:solidFill>
                    <w14:schemeClr w14:val="tx1"/>
                  </w14:solidFill>
                </w14:textFill>
              </w:rPr>
              <w:t>p1i</w:t>
            </w:r>
            <w:r>
              <w:rPr>
                <w:rFonts w:hint="default" w:ascii="Times New Roman" w:hAnsi="Times New Roman" w:eastAsia="宋体" w:cs="Times New Roman"/>
                <w:color w:val="000000" w:themeColor="text1"/>
                <w:sz w:val="24"/>
                <w14:textFill>
                  <w14:solidFill>
                    <w14:schemeClr w14:val="tx1"/>
                  </w14:solidFill>
                </w14:textFill>
              </w:rPr>
              <w:t>（T）--靠近围护结构处室内N个声源i倍频带的叠加声压级，dB；Lp1ij--室内j声源i倍频带的声压级，dB；</w:t>
            </w:r>
          </w:p>
          <w:p w14:paraId="66E84EC7">
            <w:pPr>
              <w:keepNext w:val="0"/>
              <w:keepLines w:val="0"/>
              <w:numPr>
                <w:ilvl w:val="0"/>
                <w:numId w:val="6"/>
              </w:numPr>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-室内声源总数。</w:t>
            </w:r>
          </w:p>
          <w:p w14:paraId="35ACD44A">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在室内近似为扩散声场时，按下式计算出靠近室外围护结构处的声压级：</w:t>
            </w:r>
          </w:p>
          <w:p w14:paraId="132224D8">
            <w:pPr>
              <w:keepNext w:val="0"/>
              <w:keepLines w:val="0"/>
              <w:suppressLineNumbers w:val="0"/>
              <w:adjustRightInd w:val="0"/>
              <w:snapToGrid w:val="0"/>
              <w:spacing w:before="0" w:beforeAutospacing="0" w:after="0" w:afterAutospacing="0" w:line="500" w:lineRule="exact"/>
              <w:ind w:left="0" w:right="0" w:firstLine="480" w:firstLineChars="20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Lp</w:t>
            </w:r>
            <w:r>
              <w:rPr>
                <w:rFonts w:hint="default" w:ascii="Times New Roman" w:hAnsi="Times New Roman" w:eastAsia="宋体" w:cs="Times New Roman"/>
                <w:color w:val="000000" w:themeColor="text1"/>
                <w:sz w:val="24"/>
                <w:vertAlign w:val="subscript"/>
                <w14:textFill>
                  <w14:solidFill>
                    <w14:schemeClr w14:val="tx1"/>
                  </w14:solidFill>
                </w14:textFill>
              </w:rPr>
              <w:t>2i</w:t>
            </w:r>
            <w:r>
              <w:rPr>
                <w:rFonts w:hint="default" w:ascii="Times New Roman" w:hAnsi="Times New Roman" w:eastAsia="宋体" w:cs="Times New Roman"/>
                <w:color w:val="000000" w:themeColor="text1"/>
                <w:sz w:val="24"/>
                <w14:textFill>
                  <w14:solidFill>
                    <w14:schemeClr w14:val="tx1"/>
                  </w14:solidFill>
                </w14:textFill>
              </w:rPr>
              <w:t>(T）= LP</w:t>
            </w:r>
            <w:r>
              <w:rPr>
                <w:rFonts w:hint="default" w:ascii="Times New Roman" w:hAnsi="Times New Roman" w:eastAsia="宋体" w:cs="Times New Roman"/>
                <w:color w:val="000000" w:themeColor="text1"/>
                <w:sz w:val="24"/>
                <w:vertAlign w:val="subscript"/>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(T）- (TL</w:t>
            </w:r>
            <w:r>
              <w:rPr>
                <w:rFonts w:hint="default" w:ascii="Times New Roman" w:hAnsi="Times New Roman" w:eastAsia="宋体" w:cs="Times New Roman"/>
                <w:color w:val="000000" w:themeColor="text1"/>
                <w:sz w:val="24"/>
                <w:vertAlign w:val="subscript"/>
                <w14:textFill>
                  <w14:solidFill>
                    <w14:schemeClr w14:val="tx1"/>
                  </w14:solidFill>
                </w14:textFill>
              </w:rPr>
              <w:t>i</w:t>
            </w:r>
            <w:r>
              <w:rPr>
                <w:rFonts w:hint="default" w:ascii="Times New Roman" w:hAnsi="Times New Roman" w:eastAsia="宋体" w:cs="Times New Roman"/>
                <w:color w:val="000000" w:themeColor="text1"/>
                <w:sz w:val="24"/>
                <w14:textFill>
                  <w14:solidFill>
                    <w14:schemeClr w14:val="tx1"/>
                  </w14:solidFill>
                </w14:textFill>
              </w:rPr>
              <w:t>+6）</w:t>
            </w:r>
          </w:p>
          <w:p w14:paraId="68069FB5">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式中：Lp2i（T）--靠近围护结构处室外N个声源i倍频带的叠加声压级，</w:t>
            </w:r>
          </w:p>
          <w:p w14:paraId="17B4FF9D">
            <w:pPr>
              <w:keepNext w:val="0"/>
              <w:keepLines w:val="0"/>
              <w:suppressLineNumbers w:val="0"/>
              <w:adjustRightInd w:val="0"/>
              <w:snapToGrid w:val="0"/>
              <w:spacing w:before="0" w:beforeAutospacing="0" w:after="0" w:afterAutospacing="0" w:line="500" w:lineRule="exact"/>
              <w:ind w:left="0" w:right="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dB；</w:t>
            </w:r>
          </w:p>
          <w:p w14:paraId="10B455E1">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Lp1i（T）--靠近围护结构处室内N个声源i倍频带的叠加声压级，dB；</w:t>
            </w:r>
          </w:p>
          <w:p w14:paraId="3AD4B003">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TLi--围护结构i倍频带的隔声量，dB。</w:t>
            </w:r>
          </w:p>
          <w:p w14:paraId="505F2BDA">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按下式将室外声源的声压级和透过面积换算成等效的室外声源，计算出中心位置位于透声面积（S）处的等效声源的倍频带声功率级：</w:t>
            </w:r>
          </w:p>
          <w:p w14:paraId="23EE567A">
            <w:pPr>
              <w:keepNext w:val="0"/>
              <w:keepLines w:val="0"/>
              <w:suppressLineNumbers w:val="0"/>
              <w:adjustRightInd w:val="0"/>
              <w:snapToGrid w:val="0"/>
              <w:spacing w:before="0" w:beforeAutospacing="0" w:after="0" w:afterAutospacing="0" w:line="500" w:lineRule="exact"/>
              <w:ind w:left="0" w:right="0" w:firstLine="480" w:firstLineChars="20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w:t>
            </w:r>
            <w:r>
              <w:rPr>
                <w:rFonts w:hint="default" w:ascii="Times New Roman" w:hAnsi="Times New Roman" w:eastAsia="宋体" w:cs="Times New Roman"/>
                <w:color w:val="000000" w:themeColor="text1"/>
                <w:sz w:val="24"/>
                <w:vertAlign w:val="subscript"/>
                <w14:textFill>
                  <w14:solidFill>
                    <w14:schemeClr w14:val="tx1"/>
                  </w14:solidFill>
                </w14:textFill>
              </w:rPr>
              <w:t>w</w:t>
            </w:r>
            <w:r>
              <w:rPr>
                <w:rFonts w:hint="default" w:ascii="Times New Roman" w:hAnsi="Times New Roman" w:eastAsia="宋体" w:cs="Times New Roman"/>
                <w:color w:val="000000" w:themeColor="text1"/>
                <w:sz w:val="24"/>
                <w14:textFill>
                  <w14:solidFill>
                    <w14:schemeClr w14:val="tx1"/>
                  </w14:solidFill>
                </w14:textFill>
              </w:rPr>
              <w:t>= L</w:t>
            </w:r>
            <w:r>
              <w:rPr>
                <w:rFonts w:hint="default" w:ascii="Times New Roman" w:hAnsi="Times New Roman" w:eastAsia="宋体" w:cs="Times New Roman"/>
                <w:color w:val="000000" w:themeColor="text1"/>
                <w:sz w:val="24"/>
                <w:vertAlign w:val="subscript"/>
                <w14:textFill>
                  <w14:solidFill>
                    <w14:schemeClr w14:val="tx1"/>
                  </w14:solidFill>
                </w14:textFill>
              </w:rPr>
              <w:t>p2</w:t>
            </w:r>
            <w:r>
              <w:rPr>
                <w:rFonts w:hint="default" w:ascii="Times New Roman" w:hAnsi="Times New Roman" w:eastAsia="宋体" w:cs="Times New Roman"/>
                <w:color w:val="000000" w:themeColor="text1"/>
                <w:sz w:val="24"/>
                <w14:textFill>
                  <w14:solidFill>
                    <w14:schemeClr w14:val="tx1"/>
                  </w14:solidFill>
                </w14:textFill>
              </w:rPr>
              <w:t>(T)+10lgS</w:t>
            </w:r>
          </w:p>
          <w:p w14:paraId="0B15142B">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式中：Lw--中心位置位于透声面积（S）处的等效声源的倍频带声功率级，dB；</w:t>
            </w:r>
          </w:p>
          <w:p w14:paraId="3255A684">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Lp</w:t>
            </w:r>
            <w:r>
              <w:rPr>
                <w:rFonts w:hint="default" w:ascii="Times New Roman" w:hAnsi="Times New Roman" w:eastAsia="宋体" w:cs="Times New Roman"/>
                <w:color w:val="000000" w:themeColor="text1"/>
                <w:sz w:val="24"/>
                <w:vertAlign w:val="subscript"/>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（T）--靠近围护结构处室外声源的声压级，dB；S--透声面积，m2。</w:t>
            </w:r>
          </w:p>
          <w:p w14:paraId="40C2BEB9">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然后按室外声源预测方法计算预测点处的A声级。</w:t>
            </w:r>
          </w:p>
          <w:p w14:paraId="0AAF0C83">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户外声传播衰减包括几何发散（A</w:t>
            </w:r>
            <w:r>
              <w:rPr>
                <w:rFonts w:hint="default" w:ascii="Times New Roman" w:hAnsi="Times New Roman" w:eastAsia="宋体" w:cs="Times New Roman"/>
                <w:color w:val="000000" w:themeColor="text1"/>
                <w:sz w:val="24"/>
                <w:vertAlign w:val="subscript"/>
                <w14:textFill>
                  <w14:solidFill>
                    <w14:schemeClr w14:val="tx1"/>
                  </w14:solidFill>
                </w14:textFill>
              </w:rPr>
              <w:t>div</w:t>
            </w:r>
            <w:r>
              <w:rPr>
                <w:rFonts w:hint="default" w:ascii="Times New Roman" w:hAnsi="Times New Roman" w:eastAsia="宋体" w:cs="Times New Roman"/>
                <w:color w:val="000000" w:themeColor="text1"/>
                <w:sz w:val="24"/>
                <w14:textFill>
                  <w14:solidFill>
                    <w14:schemeClr w14:val="tx1"/>
                  </w14:solidFill>
                </w14:textFill>
              </w:rPr>
              <w:t>）、大气吸收（A</w:t>
            </w:r>
            <w:r>
              <w:rPr>
                <w:rFonts w:hint="default" w:ascii="Times New Roman" w:hAnsi="Times New Roman" w:eastAsia="宋体" w:cs="Times New Roman"/>
                <w:color w:val="000000" w:themeColor="text1"/>
                <w:sz w:val="24"/>
                <w:vertAlign w:val="subscript"/>
                <w14:textFill>
                  <w14:solidFill>
                    <w14:schemeClr w14:val="tx1"/>
                  </w14:solidFill>
                </w14:textFill>
              </w:rPr>
              <w:t>atm</w:t>
            </w:r>
            <w:r>
              <w:rPr>
                <w:rFonts w:hint="default" w:ascii="Times New Roman" w:hAnsi="Times New Roman" w:eastAsia="宋体" w:cs="Times New Roman"/>
                <w:color w:val="000000" w:themeColor="text1"/>
                <w:sz w:val="24"/>
                <w14:textFill>
                  <w14:solidFill>
                    <w14:schemeClr w14:val="tx1"/>
                  </w14:solidFill>
                </w14:textFill>
              </w:rPr>
              <w:t>）、地面效应（A</w:t>
            </w:r>
            <w:r>
              <w:rPr>
                <w:rFonts w:hint="default" w:ascii="Times New Roman" w:hAnsi="Times New Roman" w:eastAsia="宋体" w:cs="Times New Roman"/>
                <w:color w:val="000000" w:themeColor="text1"/>
                <w:sz w:val="24"/>
                <w:vertAlign w:val="subscript"/>
                <w14:textFill>
                  <w14:solidFill>
                    <w14:schemeClr w14:val="tx1"/>
                  </w14:solidFill>
                </w14:textFill>
              </w:rPr>
              <w:t>gr</w:t>
            </w:r>
            <w:r>
              <w:rPr>
                <w:rFonts w:hint="default" w:ascii="Times New Roman" w:hAnsi="Times New Roman" w:eastAsia="宋体" w:cs="Times New Roman"/>
                <w:color w:val="000000" w:themeColor="text1"/>
                <w:sz w:val="24"/>
                <w14:textFill>
                  <w14:solidFill>
                    <w14:schemeClr w14:val="tx1"/>
                  </w14:solidFill>
                </w14:textFill>
              </w:rPr>
              <w:t>）、障碍物屏蔽（A</w:t>
            </w:r>
            <w:r>
              <w:rPr>
                <w:rFonts w:hint="default" w:ascii="Times New Roman" w:hAnsi="Times New Roman" w:eastAsia="宋体" w:cs="Times New Roman"/>
                <w:color w:val="000000" w:themeColor="text1"/>
                <w:sz w:val="24"/>
                <w:vertAlign w:val="subscript"/>
                <w14:textFill>
                  <w14:solidFill>
                    <w14:schemeClr w14:val="tx1"/>
                  </w14:solidFill>
                </w14:textFill>
              </w:rPr>
              <w:t>bar</w:t>
            </w:r>
            <w:r>
              <w:rPr>
                <w:rFonts w:hint="default" w:ascii="Times New Roman" w:hAnsi="Times New Roman" w:eastAsia="宋体" w:cs="Times New Roman"/>
                <w:color w:val="000000" w:themeColor="text1"/>
                <w:sz w:val="24"/>
                <w14:textFill>
                  <w14:solidFill>
                    <w14:schemeClr w14:val="tx1"/>
                  </w14:solidFill>
                </w14:textFill>
              </w:rPr>
              <w:t>）、其他多方面效应（A</w:t>
            </w:r>
            <w:r>
              <w:rPr>
                <w:rFonts w:hint="default" w:ascii="Times New Roman" w:hAnsi="Times New Roman" w:eastAsia="宋体" w:cs="Times New Roman"/>
                <w:color w:val="000000" w:themeColor="text1"/>
                <w:sz w:val="24"/>
                <w:vertAlign w:val="subscript"/>
                <w14:textFill>
                  <w14:solidFill>
                    <w14:schemeClr w14:val="tx1"/>
                  </w14:solidFill>
                </w14:textFill>
              </w:rPr>
              <w:t>misc</w:t>
            </w:r>
            <w:r>
              <w:rPr>
                <w:rFonts w:hint="default" w:ascii="Times New Roman" w:hAnsi="Times New Roman" w:eastAsia="宋体" w:cs="Times New Roman"/>
                <w:color w:val="000000" w:themeColor="text1"/>
                <w:sz w:val="24"/>
                <w14:textFill>
                  <w14:solidFill>
                    <w14:schemeClr w14:val="tx1"/>
                  </w14:solidFill>
                </w14:textFill>
              </w:rPr>
              <w:t>）引起的衰减。</w:t>
            </w:r>
          </w:p>
          <w:p w14:paraId="4A5528AC">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a）在环境影响评价中，应根据声源声功率级或参考位置处的声压级、户外声传播衰减，计算预测点的声级，分别按式（A.1）或式（A.2）计算。</w:t>
            </w:r>
          </w:p>
          <w:p w14:paraId="430907C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i/>
                <w:color w:val="000000" w:themeColor="text1"/>
                <w:kern w:val="0"/>
                <w:sz w:val="24"/>
                <w:lang w:bidi="ar"/>
                <w14:textFill>
                  <w14:solidFill>
                    <w14:schemeClr w14:val="tx1"/>
                  </w14:solidFill>
                </w14:textFill>
              </w:rPr>
              <w:t>Lp</w:t>
            </w:r>
            <w:r>
              <w:rPr>
                <w:rFonts w:hint="default" w:ascii="Times New Roman" w:hAnsi="Times New Roman" w:eastAsia="宋体" w:cs="Times New Roman"/>
                <w:color w:val="000000" w:themeColor="text1"/>
                <w:kern w:val="0"/>
                <w:sz w:val="24"/>
                <w:lang w:bidi="ar"/>
                <w14:textFill>
                  <w14:solidFill>
                    <w14:schemeClr w14:val="tx1"/>
                  </w14:solidFill>
                </w14:textFill>
              </w:rPr>
              <w:t>(</w:t>
            </w:r>
            <w:r>
              <w:rPr>
                <w:rFonts w:hint="default" w:ascii="Times New Roman" w:hAnsi="Times New Roman" w:eastAsia="宋体" w:cs="Times New Roman"/>
                <w:i/>
                <w:color w:val="000000" w:themeColor="text1"/>
                <w:kern w:val="0"/>
                <w:sz w:val="24"/>
                <w:lang w:bidi="ar"/>
                <w14:textFill>
                  <w14:solidFill>
                    <w14:schemeClr w14:val="tx1"/>
                  </w14:solidFill>
                </w14:textFill>
              </w:rPr>
              <w:t>r</w:t>
            </w:r>
            <w:r>
              <w:rPr>
                <w:rFonts w:hint="default" w:ascii="Times New Roman" w:hAnsi="Times New Roman" w:eastAsia="宋体" w:cs="Times New Roman"/>
                <w:color w:val="000000" w:themeColor="text1"/>
                <w:kern w:val="0"/>
                <w:sz w:val="24"/>
                <w:lang w:bidi="ar"/>
                <w14:textFill>
                  <w14:solidFill>
                    <w14:schemeClr w14:val="tx1"/>
                  </w14:solidFill>
                </w14:textFill>
              </w:rPr>
              <w:t>)＝</w:t>
            </w:r>
            <w:r>
              <w:rPr>
                <w:rFonts w:hint="default" w:ascii="Times New Roman" w:hAnsi="Times New Roman" w:eastAsia="宋体" w:cs="Times New Roman"/>
                <w:i/>
                <w:color w:val="000000" w:themeColor="text1"/>
                <w:kern w:val="0"/>
                <w:sz w:val="24"/>
                <w:lang w:bidi="ar"/>
                <w14:textFill>
                  <w14:solidFill>
                    <w14:schemeClr w14:val="tx1"/>
                  </w14:solidFill>
                </w14:textFill>
              </w:rPr>
              <w:t>Lp</w:t>
            </w:r>
            <w:r>
              <w:rPr>
                <w:rFonts w:hint="default" w:ascii="Times New Roman" w:hAnsi="Times New Roman" w:eastAsia="宋体" w:cs="Times New Roman"/>
                <w:color w:val="000000" w:themeColor="text1"/>
                <w:kern w:val="0"/>
                <w:sz w:val="24"/>
                <w:lang w:bidi="ar"/>
                <w14:textFill>
                  <w14:solidFill>
                    <w14:schemeClr w14:val="tx1"/>
                  </w14:solidFill>
                </w14:textFill>
              </w:rPr>
              <w:t>(</w:t>
            </w:r>
            <w:r>
              <w:rPr>
                <w:rFonts w:hint="default" w:ascii="Times New Roman" w:hAnsi="Times New Roman" w:eastAsia="宋体" w:cs="Times New Roman"/>
                <w:i/>
                <w:color w:val="000000" w:themeColor="text1"/>
                <w:kern w:val="0"/>
                <w:sz w:val="24"/>
                <w:lang w:bidi="ar"/>
                <w14:textFill>
                  <w14:solidFill>
                    <w14:schemeClr w14:val="tx1"/>
                  </w14:solidFill>
                </w14:textFill>
              </w:rPr>
              <w:t>r</w:t>
            </w:r>
            <w:r>
              <w:rPr>
                <w:rFonts w:hint="default" w:ascii="Times New Roman" w:hAnsi="Times New Roman" w:eastAsia="宋体" w:cs="Times New Roman"/>
                <w:color w:val="000000" w:themeColor="text1"/>
                <w:kern w:val="0"/>
                <w:sz w:val="24"/>
                <w:lang w:bidi="ar"/>
                <w14:textFill>
                  <w14:solidFill>
                    <w14:schemeClr w14:val="tx1"/>
                  </w14:solidFill>
                </w14:textFill>
              </w:rPr>
              <w:t>0)+</w:t>
            </w:r>
            <w:r>
              <w:rPr>
                <w:rFonts w:hint="default" w:ascii="Times New Roman" w:hAnsi="Times New Roman" w:eastAsia="宋体" w:cs="Times New Roman"/>
                <w:i/>
                <w:color w:val="000000" w:themeColor="text1"/>
                <w:kern w:val="0"/>
                <w:sz w:val="24"/>
                <w:lang w:bidi="ar"/>
                <w14:textFill>
                  <w14:solidFill>
                    <w14:schemeClr w14:val="tx1"/>
                  </w14:solidFill>
                </w14:textFill>
              </w:rPr>
              <w:t>D</w:t>
            </w:r>
            <w:r>
              <w:rPr>
                <w:rFonts w:hint="default" w:ascii="Times New Roman" w:hAnsi="Times New Roman" w:eastAsia="宋体" w:cs="Times New Roman"/>
                <w:color w:val="000000" w:themeColor="text1"/>
                <w:kern w:val="0"/>
                <w:sz w:val="24"/>
                <w:lang w:bidi="ar"/>
                <w14:textFill>
                  <w14:solidFill>
                    <w14:schemeClr w14:val="tx1"/>
                  </w14:solidFill>
                </w14:textFill>
              </w:rPr>
              <w:t>C－(</w:t>
            </w:r>
            <w:r>
              <w:rPr>
                <w:rFonts w:hint="default" w:ascii="Times New Roman" w:hAnsi="Times New Roman" w:eastAsia="宋体" w:cs="Times New Roman"/>
                <w:i/>
                <w:color w:val="000000" w:themeColor="text1"/>
                <w:kern w:val="0"/>
                <w:sz w:val="24"/>
                <w:lang w:bidi="ar"/>
                <w14:textFill>
                  <w14:solidFill>
                    <w14:schemeClr w14:val="tx1"/>
                  </w14:solidFill>
                </w14:textFill>
              </w:rPr>
              <w:t>A</w:t>
            </w:r>
            <w:r>
              <w:rPr>
                <w:rFonts w:hint="default" w:ascii="Times New Roman" w:hAnsi="Times New Roman" w:eastAsia="宋体" w:cs="Times New Roman"/>
                <w:color w:val="000000" w:themeColor="text1"/>
                <w:kern w:val="0"/>
                <w:sz w:val="24"/>
                <w:lang w:bidi="ar"/>
                <w14:textFill>
                  <w14:solidFill>
                    <w14:schemeClr w14:val="tx1"/>
                  </w14:solidFill>
                </w14:textFill>
              </w:rPr>
              <w:t>div＋</w:t>
            </w:r>
            <w:r>
              <w:rPr>
                <w:rFonts w:hint="default" w:ascii="Times New Roman" w:hAnsi="Times New Roman" w:eastAsia="宋体" w:cs="Times New Roman"/>
                <w:i/>
                <w:color w:val="000000" w:themeColor="text1"/>
                <w:kern w:val="0"/>
                <w:sz w:val="24"/>
                <w:lang w:bidi="ar"/>
                <w14:textFill>
                  <w14:solidFill>
                    <w14:schemeClr w14:val="tx1"/>
                  </w14:solidFill>
                </w14:textFill>
              </w:rPr>
              <w:t>A</w:t>
            </w:r>
            <w:r>
              <w:rPr>
                <w:rFonts w:hint="default" w:ascii="Times New Roman" w:hAnsi="Times New Roman" w:eastAsia="宋体" w:cs="Times New Roman"/>
                <w:color w:val="000000" w:themeColor="text1"/>
                <w:kern w:val="0"/>
                <w:sz w:val="24"/>
                <w:lang w:bidi="ar"/>
                <w14:textFill>
                  <w14:solidFill>
                    <w14:schemeClr w14:val="tx1"/>
                  </w14:solidFill>
                </w14:textFill>
              </w:rPr>
              <w:t>atm＋</w:t>
            </w:r>
            <w:r>
              <w:rPr>
                <w:rFonts w:hint="default" w:ascii="Times New Roman" w:hAnsi="Times New Roman" w:eastAsia="宋体" w:cs="Times New Roman"/>
                <w:i/>
                <w:color w:val="000000" w:themeColor="text1"/>
                <w:kern w:val="0"/>
                <w:sz w:val="24"/>
                <w:lang w:bidi="ar"/>
                <w14:textFill>
                  <w14:solidFill>
                    <w14:schemeClr w14:val="tx1"/>
                  </w14:solidFill>
                </w14:textFill>
              </w:rPr>
              <w:t>A</w:t>
            </w:r>
            <w:r>
              <w:rPr>
                <w:rFonts w:hint="default" w:ascii="Times New Roman" w:hAnsi="Times New Roman" w:eastAsia="宋体" w:cs="Times New Roman"/>
                <w:color w:val="000000" w:themeColor="text1"/>
                <w:kern w:val="0"/>
                <w:sz w:val="24"/>
                <w:lang w:bidi="ar"/>
                <w14:textFill>
                  <w14:solidFill>
                    <w14:schemeClr w14:val="tx1"/>
                  </w14:solidFill>
                </w14:textFill>
              </w:rPr>
              <w:t>gr＋</w:t>
            </w:r>
            <w:r>
              <w:rPr>
                <w:rFonts w:hint="default" w:ascii="Times New Roman" w:hAnsi="Times New Roman" w:eastAsia="宋体" w:cs="Times New Roman"/>
                <w:i/>
                <w:color w:val="000000" w:themeColor="text1"/>
                <w:kern w:val="0"/>
                <w:sz w:val="24"/>
                <w:lang w:bidi="ar"/>
                <w14:textFill>
                  <w14:solidFill>
                    <w14:schemeClr w14:val="tx1"/>
                  </w14:solidFill>
                </w14:textFill>
              </w:rPr>
              <w:t>A</w:t>
            </w:r>
            <w:r>
              <w:rPr>
                <w:rFonts w:hint="default" w:ascii="Times New Roman" w:hAnsi="Times New Roman" w:eastAsia="宋体" w:cs="Times New Roman"/>
                <w:color w:val="000000" w:themeColor="text1"/>
                <w:kern w:val="0"/>
                <w:sz w:val="24"/>
                <w:lang w:bidi="ar"/>
                <w14:textFill>
                  <w14:solidFill>
                    <w14:schemeClr w14:val="tx1"/>
                  </w14:solidFill>
                </w14:textFill>
              </w:rPr>
              <w:t>bar＋</w:t>
            </w:r>
            <w:r>
              <w:rPr>
                <w:rFonts w:hint="default" w:ascii="Times New Roman" w:hAnsi="Times New Roman" w:eastAsia="宋体" w:cs="Times New Roman"/>
                <w:i/>
                <w:color w:val="000000" w:themeColor="text1"/>
                <w:kern w:val="0"/>
                <w:sz w:val="24"/>
                <w:lang w:bidi="ar"/>
                <w14:textFill>
                  <w14:solidFill>
                    <w14:schemeClr w14:val="tx1"/>
                  </w14:solidFill>
                </w14:textFill>
              </w:rPr>
              <w:t>A</w:t>
            </w:r>
            <w:r>
              <w:rPr>
                <w:rFonts w:hint="default" w:ascii="Times New Roman" w:hAnsi="Times New Roman" w:eastAsia="宋体" w:cs="Times New Roman"/>
                <w:color w:val="000000" w:themeColor="text1"/>
                <w:kern w:val="0"/>
                <w:sz w:val="24"/>
                <w:lang w:bidi="ar"/>
                <w14:textFill>
                  <w14:solidFill>
                    <w14:schemeClr w14:val="tx1"/>
                  </w14:solidFill>
                </w14:textFill>
              </w:rPr>
              <w:t>misc)</w:t>
            </w:r>
          </w:p>
          <w:p w14:paraId="5B7A1899">
            <w:pPr>
              <w:keepNext w:val="0"/>
              <w:keepLines w:val="0"/>
              <w:suppressLineNumbers w:val="0"/>
              <w:adjustRightInd w:val="0"/>
              <w:snapToGrid w:val="0"/>
              <w:spacing w:before="0" w:beforeAutospacing="0" w:after="0" w:afterAutospacing="0" w:line="5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式中：Lp(r) ——预测点处声压级，dB； </w:t>
            </w:r>
          </w:p>
          <w:p w14:paraId="2CE27E0A">
            <w:pPr>
              <w:keepNext w:val="0"/>
              <w:keepLines w:val="0"/>
              <w:suppressLineNumbers w:val="0"/>
              <w:adjustRightInd w:val="0"/>
              <w:snapToGrid w:val="0"/>
              <w:spacing w:before="0" w:beforeAutospacing="0" w:after="0" w:afterAutospacing="0" w:line="500" w:lineRule="exact"/>
              <w:ind w:left="0" w:right="0" w:firstLine="1200" w:firstLineChars="5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Lp(r0) ——参考位置r0处的声压级，dB； </w:t>
            </w:r>
          </w:p>
          <w:p w14:paraId="706E9371">
            <w:pPr>
              <w:keepNext w:val="0"/>
              <w:keepLines w:val="0"/>
              <w:suppressLineNumbers w:val="0"/>
              <w:adjustRightInd w:val="0"/>
              <w:snapToGrid w:val="0"/>
              <w:spacing w:before="0" w:beforeAutospacing="0" w:after="0" w:afterAutospacing="0" w:line="500" w:lineRule="exact"/>
              <w:ind w:left="0" w:right="0" w:firstLine="1200" w:firstLineChars="5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DC ——指向性校正，它描述点声源的等效连续声压级与产生声功率级Lw的全向点声源在规定方向的声级的偏差程度，dB； </w:t>
            </w:r>
          </w:p>
          <w:p w14:paraId="6B6D1C1C">
            <w:pPr>
              <w:keepNext w:val="0"/>
              <w:keepLines w:val="0"/>
              <w:suppressLineNumbers w:val="0"/>
              <w:adjustRightInd w:val="0"/>
              <w:snapToGrid w:val="0"/>
              <w:spacing w:before="0" w:beforeAutospacing="0" w:after="0" w:afterAutospacing="0" w:line="500" w:lineRule="exact"/>
              <w:ind w:left="0" w:right="0" w:firstLine="1200" w:firstLineChars="5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Adiv ——几何发散引起的衰减，dB； </w:t>
            </w:r>
          </w:p>
          <w:p w14:paraId="6FFBC957">
            <w:pPr>
              <w:keepNext w:val="0"/>
              <w:keepLines w:val="0"/>
              <w:suppressLineNumbers w:val="0"/>
              <w:adjustRightInd w:val="0"/>
              <w:snapToGrid w:val="0"/>
              <w:spacing w:before="0" w:beforeAutospacing="0" w:after="0" w:afterAutospacing="0" w:line="500" w:lineRule="exact"/>
              <w:ind w:left="0" w:right="0" w:firstLine="1200" w:firstLineChars="5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Aatm ——大气吸收引起的衰减，dB； </w:t>
            </w:r>
          </w:p>
          <w:p w14:paraId="2D59FC2A">
            <w:pPr>
              <w:keepNext w:val="0"/>
              <w:keepLines w:val="0"/>
              <w:suppressLineNumbers w:val="0"/>
              <w:adjustRightInd w:val="0"/>
              <w:snapToGrid w:val="0"/>
              <w:spacing w:before="0" w:beforeAutospacing="0" w:after="0" w:afterAutospacing="0" w:line="500" w:lineRule="exact"/>
              <w:ind w:left="0" w:right="0" w:firstLine="1200" w:firstLineChars="5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Agr ——地面效应引起的衰减，dB； </w:t>
            </w:r>
          </w:p>
          <w:p w14:paraId="7B0D9CF5">
            <w:pPr>
              <w:keepNext w:val="0"/>
              <w:keepLines w:val="0"/>
              <w:suppressLineNumbers w:val="0"/>
              <w:adjustRightInd w:val="0"/>
              <w:snapToGrid w:val="0"/>
              <w:spacing w:before="0" w:beforeAutospacing="0" w:after="0" w:afterAutospacing="0" w:line="500" w:lineRule="exact"/>
              <w:ind w:left="0" w:right="0" w:firstLine="1200" w:firstLineChars="5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Abar ——障碍物屏蔽引起的衰减，dB； </w:t>
            </w:r>
          </w:p>
          <w:p w14:paraId="5049E620">
            <w:pPr>
              <w:keepNext w:val="0"/>
              <w:keepLines w:val="0"/>
              <w:suppressLineNumbers w:val="0"/>
              <w:adjustRightInd w:val="0"/>
              <w:snapToGrid w:val="0"/>
              <w:spacing w:before="0" w:beforeAutospacing="0" w:after="0" w:afterAutospacing="0" w:line="500" w:lineRule="exact"/>
              <w:ind w:left="0" w:right="0" w:firstLine="1200" w:firstLineChars="5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Amisc ——其他多方面效应引起的衰减，dB。 </w:t>
            </w:r>
          </w:p>
          <w:p w14:paraId="2918B864">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(1)几何发散衰减</w:t>
            </w:r>
          </w:p>
          <w:p w14:paraId="34950A80">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对于室外声源，无指向性点声源几何发散衰减的基本公式为：</w:t>
            </w:r>
          </w:p>
          <w:p w14:paraId="4B127C0C">
            <w:pPr>
              <w:keepNext w:val="0"/>
              <w:keepLines w:val="0"/>
              <w:suppressLineNumbers w:val="0"/>
              <w:adjustRightInd w:val="0"/>
              <w:snapToGrid w:val="0"/>
              <w:spacing w:before="0" w:beforeAutospacing="0" w:after="0" w:afterAutospacing="0" w:line="480" w:lineRule="exact"/>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w:t>
            </w:r>
            <w:r>
              <w:rPr>
                <w:rFonts w:hint="default" w:ascii="Times New Roman" w:hAnsi="Times New Roman" w:eastAsia="宋体" w:cs="Times New Roman"/>
                <w:color w:val="000000" w:themeColor="text1"/>
                <w:sz w:val="24"/>
                <w:vertAlign w:val="subscript"/>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I=L</w:t>
            </w:r>
            <w:r>
              <w:rPr>
                <w:rFonts w:hint="default" w:ascii="Times New Roman" w:hAnsi="Times New Roman" w:eastAsia="宋体" w:cs="Times New Roman"/>
                <w:color w:val="000000" w:themeColor="text1"/>
                <w:sz w:val="24"/>
                <w:vertAlign w:val="subscript"/>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)-20lg(r/r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w:t>
            </w:r>
          </w:p>
          <w:p w14:paraId="61BAEE62">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预测模式采用点声源处于半自由空间的几何发散模式，计算公式为：</w:t>
            </w:r>
          </w:p>
          <w:p w14:paraId="39E616E0">
            <w:pPr>
              <w:keepNext w:val="0"/>
              <w:keepLines w:val="0"/>
              <w:suppressLineNumbers w:val="0"/>
              <w:adjustRightInd w:val="0"/>
              <w:snapToGrid w:val="0"/>
              <w:spacing w:before="0" w:beforeAutospacing="0" w:after="0" w:afterAutospacing="0" w:line="480" w:lineRule="exact"/>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w:t>
            </w:r>
            <w:r>
              <w:rPr>
                <w:rFonts w:hint="default" w:ascii="Times New Roman" w:hAnsi="Times New Roman" w:eastAsia="宋体" w:cs="Times New Roman"/>
                <w:color w:val="000000" w:themeColor="text1"/>
                <w:sz w:val="24"/>
                <w:vertAlign w:val="subscript"/>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I=L</w:t>
            </w:r>
            <w:r>
              <w:rPr>
                <w:rFonts w:hint="default" w:ascii="Times New Roman" w:hAnsi="Times New Roman" w:eastAsia="宋体" w:cs="Times New Roman"/>
                <w:color w:val="000000" w:themeColor="text1"/>
                <w:sz w:val="24"/>
                <w:vertAlign w:val="subscript"/>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)-20lg(r/r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)-8</w:t>
            </w:r>
          </w:p>
          <w:p w14:paraId="614A8192">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对于室内声源，按下列步骤计算：</w:t>
            </w:r>
          </w:p>
          <w:p w14:paraId="3D4FF5A9">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a.由类比监测取得室外靠近围护结构处的声压级L</w:t>
            </w:r>
            <w:r>
              <w:rPr>
                <w:rFonts w:hint="default" w:ascii="Times New Roman" w:hAnsi="Times New Roman" w:eastAsia="宋体" w:cs="Times New Roman"/>
                <w:color w:val="000000" w:themeColor="text1"/>
                <w:sz w:val="24"/>
                <w:vertAlign w:val="subscript"/>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w:t>
            </w:r>
          </w:p>
          <w:p w14:paraId="78DFBE95">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b.将室外声源L</w:t>
            </w:r>
            <w:r>
              <w:rPr>
                <w:rFonts w:hint="default" w:ascii="Times New Roman" w:hAnsi="Times New Roman" w:eastAsia="宋体" w:cs="Times New Roman"/>
                <w:color w:val="000000" w:themeColor="text1"/>
                <w:sz w:val="24"/>
                <w:vertAlign w:val="subscript"/>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)和透声面积换算成等效的室外声源。计算出等效源的声功率级：</w:t>
            </w:r>
          </w:p>
          <w:p w14:paraId="7B1A77E4">
            <w:pPr>
              <w:keepNext w:val="0"/>
              <w:keepLines w:val="0"/>
              <w:suppressLineNumbers w:val="0"/>
              <w:adjustRightInd w:val="0"/>
              <w:snapToGrid w:val="0"/>
              <w:spacing w:before="0" w:beforeAutospacing="0" w:after="0" w:afterAutospacing="0" w:line="480" w:lineRule="exact"/>
              <w:ind w:left="0" w:right="0" w:firstLine="480" w:firstLineChars="20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w:t>
            </w:r>
            <w:r>
              <w:rPr>
                <w:rFonts w:hint="default" w:ascii="Times New Roman" w:hAnsi="Times New Roman" w:eastAsia="宋体" w:cs="Times New Roman"/>
                <w:color w:val="000000" w:themeColor="text1"/>
                <w:sz w:val="24"/>
                <w:vertAlign w:val="subscript"/>
                <w14:textFill>
                  <w14:solidFill>
                    <w14:schemeClr w14:val="tx1"/>
                  </w14:solidFill>
                </w14:textFill>
              </w:rPr>
              <w:t>w</w:t>
            </w:r>
            <w:r>
              <w:rPr>
                <w:rFonts w:hint="default" w:ascii="Times New Roman" w:hAnsi="Times New Roman" w:eastAsia="宋体" w:cs="Times New Roman"/>
                <w:color w:val="000000" w:themeColor="text1"/>
                <w:sz w:val="24"/>
                <w14:textFill>
                  <w14:solidFill>
                    <w14:schemeClr w14:val="tx1"/>
                  </w14:solidFill>
                </w14:textFill>
              </w:rPr>
              <w:t>= L</w:t>
            </w:r>
            <w:r>
              <w:rPr>
                <w:rFonts w:hint="default" w:ascii="Times New Roman" w:hAnsi="Times New Roman" w:eastAsia="宋体" w:cs="Times New Roman"/>
                <w:color w:val="000000" w:themeColor="text1"/>
                <w:sz w:val="24"/>
                <w:vertAlign w:val="subscript"/>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)+10lgS</w:t>
            </w:r>
          </w:p>
          <w:p w14:paraId="73039328">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式中S为透声面积。</w:t>
            </w:r>
          </w:p>
          <w:p w14:paraId="09155FAE">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c.用下式计算出等效室外声源在预测点的声压级。</w:t>
            </w:r>
          </w:p>
          <w:p w14:paraId="1DC19B28">
            <w:pPr>
              <w:keepNext w:val="0"/>
              <w:keepLines w:val="0"/>
              <w:suppressLineNumbers w:val="0"/>
              <w:adjustRightInd w:val="0"/>
              <w:snapToGrid w:val="0"/>
              <w:spacing w:before="0" w:beforeAutospacing="0" w:after="0" w:afterAutospacing="0" w:line="480" w:lineRule="exact"/>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w:t>
            </w:r>
            <w:r>
              <w:rPr>
                <w:rFonts w:hint="default" w:ascii="Times New Roman" w:hAnsi="Times New Roman" w:eastAsia="宋体" w:cs="Times New Roman"/>
                <w:color w:val="000000" w:themeColor="text1"/>
                <w:sz w:val="24"/>
                <w:vertAlign w:val="subscript"/>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I= L</w:t>
            </w:r>
            <w:r>
              <w:rPr>
                <w:rFonts w:hint="default" w:ascii="Times New Roman" w:hAnsi="Times New Roman" w:eastAsia="宋体" w:cs="Times New Roman"/>
                <w:color w:val="000000" w:themeColor="text1"/>
                <w:sz w:val="24"/>
                <w:vertAlign w:val="subscript"/>
                <w14:textFill>
                  <w14:solidFill>
                    <w14:schemeClr w14:val="tx1"/>
                  </w14:solidFill>
                </w14:textFill>
              </w:rPr>
              <w:t>w</w:t>
            </w:r>
            <w:r>
              <w:rPr>
                <w:rFonts w:hint="default" w:ascii="Times New Roman" w:hAnsi="Times New Roman" w:eastAsia="宋体" w:cs="Times New Roman"/>
                <w:color w:val="000000" w:themeColor="text1"/>
                <w:sz w:val="24"/>
                <w14:textFill>
                  <w14:solidFill>
                    <w14:schemeClr w14:val="tx1"/>
                  </w14:solidFill>
                </w14:textFill>
              </w:rPr>
              <w:t>-20lg(r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)- 20lg(r/r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)-8</w:t>
            </w:r>
          </w:p>
          <w:p w14:paraId="7541590D">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d.用下式计算各噪声源对预测点贡献声级及背景噪声叠加。</w:t>
            </w:r>
          </w:p>
          <w:p w14:paraId="0BDE6163">
            <w:pPr>
              <w:pStyle w:val="49"/>
              <w:keepNext w:val="0"/>
              <w:keepLines w:val="0"/>
              <w:suppressLineNumbers w:val="0"/>
              <w:spacing w:before="0" w:beforeAutospacing="0" w:afterAutospacing="0"/>
              <w:ind w:right="0"/>
              <w:rPr>
                <w:rFonts w:hint="default"/>
              </w:rPr>
            </w:pPr>
          </w:p>
          <w:p w14:paraId="40C71515">
            <w:pPr>
              <w:keepNext w:val="0"/>
              <w:keepLines w:val="0"/>
              <w:suppressLineNumbers w:val="0"/>
              <w:adjustRightInd w:val="0"/>
              <w:snapToGrid w:val="0"/>
              <w:spacing w:before="0" w:beforeAutospacing="0" w:after="0" w:afterAutospacing="0" w:line="480" w:lineRule="exact"/>
              <w:ind w:left="0" w:right="0" w:firstLine="480" w:firstLineChars="200"/>
              <w:jc w:val="center"/>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drawing>
                <wp:anchor distT="0" distB="0" distL="114300" distR="114300" simplePos="0" relativeHeight="251662336" behindDoc="0" locked="0" layoutInCell="1" allowOverlap="1">
                  <wp:simplePos x="0" y="0"/>
                  <wp:positionH relativeFrom="column">
                    <wp:posOffset>1763395</wp:posOffset>
                  </wp:positionH>
                  <wp:positionV relativeFrom="paragraph">
                    <wp:posOffset>17145</wp:posOffset>
                  </wp:positionV>
                  <wp:extent cx="1998980" cy="453390"/>
                  <wp:effectExtent l="0" t="0" r="0" b="3810"/>
                  <wp:wrapNone/>
                  <wp:docPr id="1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4"/>
                          <pic:cNvPicPr>
                            <a:picLocks noChangeAspect="1"/>
                          </pic:cNvPicPr>
                        </pic:nvPicPr>
                        <pic:blipFill>
                          <a:blip r:embed="rId16"/>
                          <a:stretch>
                            <a:fillRect/>
                          </a:stretch>
                        </pic:blipFill>
                        <pic:spPr>
                          <a:xfrm>
                            <a:off x="0" y="0"/>
                            <a:ext cx="1998980" cy="453390"/>
                          </a:xfrm>
                          <a:prstGeom prst="rect">
                            <a:avLst/>
                          </a:prstGeom>
                          <a:noFill/>
                          <a:ln>
                            <a:noFill/>
                          </a:ln>
                        </pic:spPr>
                      </pic:pic>
                    </a:graphicData>
                  </a:graphic>
                </wp:anchor>
              </w:drawing>
            </w:r>
          </w:p>
          <w:p w14:paraId="7CFCB91D">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kern w:val="0"/>
                <w:sz w:val="24"/>
                <w:lang w:val="zh-CN"/>
                <w14:textFill>
                  <w14:solidFill>
                    <w14:schemeClr w14:val="tx1"/>
                  </w14:solidFill>
                </w14:textFill>
              </w:rPr>
              <w:t>式中：L</w:t>
            </w:r>
            <w:r>
              <w:rPr>
                <w:rFonts w:hint="default" w:ascii="Times New Roman" w:hAnsi="Times New Roman" w:eastAsia="宋体" w:cs="Times New Roman"/>
                <w:color w:val="000000" w:themeColor="text1"/>
                <w:kern w:val="0"/>
                <w:sz w:val="24"/>
                <w:vertAlign w:val="subscript"/>
                <w:lang w:val="zh-CN"/>
                <w14:textFill>
                  <w14:solidFill>
                    <w14:schemeClr w14:val="tx1"/>
                  </w14:solidFill>
                </w14:textFill>
              </w:rPr>
              <w:t>Ai</w:t>
            </w:r>
            <w:r>
              <w:rPr>
                <w:rFonts w:hint="default" w:ascii="Times New Roman" w:hAnsi="Times New Roman" w:eastAsia="宋体" w:cs="Times New Roman"/>
                <w:color w:val="000000" w:themeColor="text1"/>
                <w:kern w:val="0"/>
                <w:sz w:val="24"/>
                <w:lang w:val="zh-CN"/>
                <w14:textFill>
                  <w14:solidFill>
                    <w14:schemeClr w14:val="tx1"/>
                  </w14:solidFill>
                </w14:textFill>
              </w:rPr>
              <w:t>为声源单独作用时预测处的A声级，n为声源个数。</w:t>
            </w:r>
          </w:p>
          <w:p w14:paraId="30730EB4">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w:t>
            </w:r>
            <w:r>
              <w:rPr>
                <w:rFonts w:hint="default" w:ascii="Times New Roman" w:hAnsi="Times New Roman" w:eastAsia="宋体" w:cs="Times New Roman"/>
                <w:color w:val="000000" w:themeColor="text1"/>
                <w:kern w:val="0"/>
                <w:sz w:val="24"/>
                <w:lang w:val="zh-CN"/>
                <w14:textFill>
                  <w14:solidFill>
                    <w14:schemeClr w14:val="tx1"/>
                  </w14:solidFill>
                </w14:textFill>
              </w:rPr>
              <w:t>声屏蔽屏障引起的衰减</w:t>
            </w:r>
          </w:p>
          <w:p w14:paraId="6A91B549">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kern w:val="0"/>
                <w:sz w:val="24"/>
                <w:lang w:val="zh-CN"/>
                <w14:textFill>
                  <w14:solidFill>
                    <w14:schemeClr w14:val="tx1"/>
                  </w14:solidFill>
                </w14:textFill>
              </w:rPr>
              <w:t>声屏障的隔声效应与声源和接收点屏障位置、屏障高度和屏障长度及结构性质有关，我们根据它们之间的距离、声音的频率（一般取500Hz）算出菲涅尔系数，然后再查表找出相对应的衰减值（dB）。菲涅尔系数的计算方法如下：</w:t>
            </w:r>
          </w:p>
          <w:p w14:paraId="3054E71F">
            <w:pPr>
              <w:keepNext w:val="0"/>
              <w:keepLines w:val="0"/>
              <w:suppressLineNumbers w:val="0"/>
              <w:adjustRightInd w:val="0"/>
              <w:snapToGrid w:val="0"/>
              <w:spacing w:before="0" w:beforeAutospacing="0" w:after="0" w:afterAutospacing="0" w:line="480" w:lineRule="exact"/>
              <w:ind w:left="0" w:right="0" w:firstLine="480" w:firstLineChars="20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position w:val="-24"/>
                <w:sz w:val="24"/>
                <w14:textFill>
                  <w14:solidFill>
                    <w14:schemeClr w14:val="tx1"/>
                  </w14:solidFill>
                </w14:textFill>
              </w:rPr>
              <w:pict>
                <v:shape id="Object 2" o:spid="_x0000_s2053" o:spt="75" type="#_x0000_t75" style="position:absolute;left:0pt;margin-left:132.65pt;margin-top:4.2pt;height:30.1pt;width:109.4pt;z-index:251663360;mso-width-relative:page;mso-height-relative:page;" o:ole="t" filled="f" o:preferrelative="t" stroked="f" coordsize="21600,21600">
                  <v:path/>
                  <v:fill on="f" focussize="0,0"/>
                  <v:stroke on="f"/>
                  <v:imagedata r:id="rId18" o:title=""/>
                  <o:lock v:ext="edit" aspectratio="t"/>
                </v:shape>
                <o:OLEObject Type="Embed" ProgID="Equation.3" ShapeID="Object 2" DrawAspect="Content" ObjectID="_1468075728" r:id="rId17">
                  <o:LockedField>false</o:LockedField>
                </o:OLEObject>
              </w:pict>
            </w:r>
          </w:p>
          <w:p w14:paraId="0A48256F">
            <w:pPr>
              <w:keepNext w:val="0"/>
              <w:keepLines w:val="0"/>
              <w:suppressLineNumbers w:val="0"/>
              <w:adjustRightInd w:val="0"/>
              <w:snapToGrid w:val="0"/>
              <w:spacing w:before="0" w:beforeAutospacing="0" w:after="0" w:afterAutospacing="0" w:line="1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p>
          <w:p w14:paraId="25C3B15B">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式中：A—声源与屏障顶端的距离；</w:t>
            </w:r>
          </w:p>
          <w:p w14:paraId="726D56D8">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      B—接收点与屏障顶端的距离；</w:t>
            </w:r>
          </w:p>
          <w:p w14:paraId="391969BB">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      d—声源与接收点间的距离；</w:t>
            </w:r>
          </w:p>
          <w:p w14:paraId="5C25D82F">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      λ—波长。</w:t>
            </w:r>
          </w:p>
          <w:p w14:paraId="3D95A87D">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(3)空气吸收引起的衰减</w:t>
            </w:r>
          </w:p>
          <w:p w14:paraId="3197E47B">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空气吸收引起的衰减按以下公式计算：</w:t>
            </w:r>
          </w:p>
          <w:p w14:paraId="3A08BCCF">
            <w:pPr>
              <w:keepNext w:val="0"/>
              <w:keepLines w:val="0"/>
              <w:suppressLineNumbers w:val="0"/>
              <w:adjustRightInd w:val="0"/>
              <w:snapToGrid w:val="0"/>
              <w:spacing w:before="0" w:beforeAutospacing="0" w:after="0" w:afterAutospacing="0" w:line="480" w:lineRule="exact"/>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A</w:t>
            </w:r>
            <w:r>
              <w:rPr>
                <w:rFonts w:hint="default" w:ascii="Times New Roman" w:hAnsi="Times New Roman" w:eastAsia="宋体" w:cs="Times New Roman"/>
                <w:color w:val="000000" w:themeColor="text1"/>
                <w:sz w:val="24"/>
                <w:vertAlign w:val="subscript"/>
                <w14:textFill>
                  <w14:solidFill>
                    <w14:schemeClr w14:val="tx1"/>
                  </w14:solidFill>
                </w14:textFill>
              </w:rPr>
              <w:t>atm</w:t>
            </w:r>
            <w:r>
              <w:rPr>
                <w:rFonts w:hint="default" w:ascii="Times New Roman" w:hAnsi="Times New Roman" w:eastAsia="宋体" w:cs="Times New Roman"/>
                <w:color w:val="000000" w:themeColor="text1"/>
                <w:sz w:val="24"/>
                <w14:textFill>
                  <w14:solidFill>
                    <w14:schemeClr w14:val="tx1"/>
                  </w14:solidFill>
                </w14:textFill>
              </w:rPr>
              <w:t>=α(r-r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)/1000</w:t>
            </w:r>
          </w:p>
          <w:p w14:paraId="6203CF24">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式中：α为温度、湿度和声波频率的函数，预测计算中一般根据建设项目所处区域常年平均气温和湿度选择相应的空气吸收系数见表</w:t>
            </w:r>
            <w:r>
              <w:rPr>
                <w:rFonts w:hint="default" w:ascii="Times New Roman" w:hAnsi="Times New Roman" w:eastAsia="宋体" w:cs="Times New Roman"/>
                <w:color w:val="000000" w:themeColor="text1"/>
                <w:sz w:val="24"/>
                <w:lang w:val="en-US" w:eastAsia="zh-CN"/>
                <w14:textFill>
                  <w14:solidFill>
                    <w14:schemeClr w14:val="tx1"/>
                  </w14:solidFill>
                </w14:textFill>
              </w:rPr>
              <w:t>4-1</w:t>
            </w:r>
            <w:r>
              <w:rPr>
                <w:rFonts w:hint="eastAsia"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w:t>
            </w:r>
          </w:p>
          <w:p w14:paraId="73FF082D">
            <w:pPr>
              <w:keepNext w:val="0"/>
              <w:keepLines w:val="0"/>
              <w:suppressLineNumbers w:val="0"/>
              <w:adjustRightInd w:val="0"/>
              <w:snapToGrid w:val="0"/>
              <w:spacing w:before="0" w:beforeAutospacing="0" w:after="0" w:afterAutospacing="0" w:line="480" w:lineRule="exact"/>
              <w:ind w:left="0" w:right="0"/>
              <w:jc w:val="center"/>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w:t>
            </w:r>
            <w:r>
              <w:rPr>
                <w:rFonts w:hint="default" w:ascii="Times New Roman" w:hAnsi="Times New Roman" w:eastAsia="宋体" w:cs="Times New Roman"/>
                <w:b/>
                <w:color w:val="000000" w:themeColor="text1"/>
                <w:sz w:val="24"/>
                <w:lang w:val="en-US" w:eastAsia="zh-CN"/>
                <w14:textFill>
                  <w14:solidFill>
                    <w14:schemeClr w14:val="tx1"/>
                  </w14:solidFill>
                </w14:textFill>
              </w:rPr>
              <w:t>4-1</w:t>
            </w:r>
            <w:r>
              <w:rPr>
                <w:rFonts w:hint="eastAsia" w:cs="Times New Roman"/>
                <w:b/>
                <w:color w:val="000000" w:themeColor="text1"/>
                <w:sz w:val="24"/>
                <w:lang w:val="en-US" w:eastAsia="zh-CN"/>
                <w14:textFill>
                  <w14:solidFill>
                    <w14:schemeClr w14:val="tx1"/>
                  </w14:solidFill>
                </w14:textFill>
              </w:rPr>
              <w:t>4</w:t>
            </w:r>
            <w:r>
              <w:rPr>
                <w:rFonts w:hint="default" w:ascii="Times New Roman" w:hAnsi="Times New Roman" w:eastAsia="宋体" w:cs="Times New Roman"/>
                <w:b/>
                <w:color w:val="000000" w:themeColor="text1"/>
                <w:sz w:val="24"/>
                <w14:textFill>
                  <w14:solidFill>
                    <w14:schemeClr w14:val="tx1"/>
                  </w14:solidFill>
                </w14:textFill>
              </w:rPr>
              <w:t xml:space="preserve">  倍频带噪声的大气吸收衰减系数</w:t>
            </w:r>
          </w:p>
          <w:tbl>
            <w:tblPr>
              <w:tblStyle w:val="33"/>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058"/>
              <w:gridCol w:w="831"/>
              <w:gridCol w:w="831"/>
              <w:gridCol w:w="831"/>
              <w:gridCol w:w="831"/>
              <w:gridCol w:w="832"/>
              <w:gridCol w:w="832"/>
              <w:gridCol w:w="832"/>
              <w:gridCol w:w="851"/>
            </w:tblGrid>
            <w:tr w14:paraId="2E54C7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restart"/>
                  <w:tcBorders>
                    <w:tl2br w:val="nil"/>
                    <w:tr2bl w:val="nil"/>
                  </w:tcBorders>
                  <w:noWrap w:val="0"/>
                  <w:vAlign w:val="center"/>
                </w:tcPr>
                <w:p w14:paraId="3C62EEA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温度</w:t>
                  </w:r>
                </w:p>
                <w:p w14:paraId="62F02D6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w:t>
                  </w:r>
                </w:p>
              </w:tc>
              <w:tc>
                <w:tcPr>
                  <w:tcW w:w="616" w:type="pct"/>
                  <w:vMerge w:val="restart"/>
                  <w:tcBorders>
                    <w:tl2br w:val="nil"/>
                    <w:tr2bl w:val="nil"/>
                  </w:tcBorders>
                  <w:noWrap w:val="0"/>
                  <w:vAlign w:val="center"/>
                </w:tcPr>
                <w:p w14:paraId="7DCB87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相对湿度%</w:t>
                  </w:r>
                </w:p>
              </w:tc>
              <w:tc>
                <w:tcPr>
                  <w:tcW w:w="3883" w:type="pct"/>
                  <w:gridSpan w:val="8"/>
                  <w:tcBorders>
                    <w:tl2br w:val="nil"/>
                    <w:tr2bl w:val="nil"/>
                  </w:tcBorders>
                  <w:noWrap w:val="0"/>
                  <w:vAlign w:val="center"/>
                </w:tcPr>
                <w:p w14:paraId="6790E1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大气吸收衰减系数a，dB/km</w:t>
                  </w:r>
                </w:p>
              </w:tc>
            </w:tr>
            <w:tr w14:paraId="5D0C89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continue"/>
                  <w:tcBorders>
                    <w:tl2br w:val="nil"/>
                    <w:tr2bl w:val="nil"/>
                  </w:tcBorders>
                  <w:noWrap w:val="0"/>
                  <w:vAlign w:val="center"/>
                </w:tcPr>
                <w:p w14:paraId="7C31E1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p>
              </w:tc>
              <w:tc>
                <w:tcPr>
                  <w:tcW w:w="616" w:type="pct"/>
                  <w:vMerge w:val="continue"/>
                  <w:tcBorders>
                    <w:tl2br w:val="nil"/>
                    <w:tr2bl w:val="nil"/>
                  </w:tcBorders>
                  <w:noWrap w:val="0"/>
                  <w:vAlign w:val="center"/>
                </w:tcPr>
                <w:p w14:paraId="1144BB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p>
              </w:tc>
              <w:tc>
                <w:tcPr>
                  <w:tcW w:w="3883" w:type="pct"/>
                  <w:gridSpan w:val="8"/>
                  <w:tcBorders>
                    <w:tl2br w:val="nil"/>
                    <w:tr2bl w:val="nil"/>
                  </w:tcBorders>
                  <w:noWrap w:val="0"/>
                  <w:vAlign w:val="center"/>
                </w:tcPr>
                <w:p w14:paraId="09F055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倍频带中心频率Hz</w:t>
                  </w:r>
                </w:p>
              </w:tc>
            </w:tr>
            <w:tr w14:paraId="1FA59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continue"/>
                  <w:tcBorders>
                    <w:tl2br w:val="nil"/>
                    <w:tr2bl w:val="nil"/>
                  </w:tcBorders>
                  <w:noWrap w:val="0"/>
                  <w:vAlign w:val="center"/>
                </w:tcPr>
                <w:p w14:paraId="051352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p>
              </w:tc>
              <w:tc>
                <w:tcPr>
                  <w:tcW w:w="616" w:type="pct"/>
                  <w:vMerge w:val="continue"/>
                  <w:tcBorders>
                    <w:tl2br w:val="nil"/>
                    <w:tr2bl w:val="nil"/>
                  </w:tcBorders>
                  <w:noWrap w:val="0"/>
                  <w:vAlign w:val="center"/>
                </w:tcPr>
                <w:p w14:paraId="3C53331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p>
              </w:tc>
              <w:tc>
                <w:tcPr>
                  <w:tcW w:w="484" w:type="pct"/>
                  <w:tcBorders>
                    <w:tl2br w:val="nil"/>
                    <w:tr2bl w:val="nil"/>
                  </w:tcBorders>
                  <w:noWrap w:val="0"/>
                  <w:vAlign w:val="center"/>
                </w:tcPr>
                <w:p w14:paraId="6319C80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63</w:t>
                  </w:r>
                </w:p>
              </w:tc>
              <w:tc>
                <w:tcPr>
                  <w:tcW w:w="484" w:type="pct"/>
                  <w:tcBorders>
                    <w:tl2br w:val="nil"/>
                    <w:tr2bl w:val="nil"/>
                  </w:tcBorders>
                  <w:noWrap w:val="0"/>
                  <w:vAlign w:val="center"/>
                </w:tcPr>
                <w:p w14:paraId="117733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125</w:t>
                  </w:r>
                </w:p>
              </w:tc>
              <w:tc>
                <w:tcPr>
                  <w:tcW w:w="484" w:type="pct"/>
                  <w:tcBorders>
                    <w:tl2br w:val="nil"/>
                    <w:tr2bl w:val="nil"/>
                  </w:tcBorders>
                  <w:noWrap w:val="0"/>
                  <w:vAlign w:val="center"/>
                </w:tcPr>
                <w:p w14:paraId="1220D7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250</w:t>
                  </w:r>
                </w:p>
              </w:tc>
              <w:tc>
                <w:tcPr>
                  <w:tcW w:w="484" w:type="pct"/>
                  <w:tcBorders>
                    <w:tl2br w:val="nil"/>
                    <w:tr2bl w:val="nil"/>
                  </w:tcBorders>
                  <w:noWrap w:val="0"/>
                  <w:vAlign w:val="center"/>
                </w:tcPr>
                <w:p w14:paraId="6A49704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500</w:t>
                  </w:r>
                </w:p>
              </w:tc>
              <w:tc>
                <w:tcPr>
                  <w:tcW w:w="484" w:type="pct"/>
                  <w:tcBorders>
                    <w:tl2br w:val="nil"/>
                    <w:tr2bl w:val="nil"/>
                  </w:tcBorders>
                  <w:noWrap w:val="0"/>
                  <w:vAlign w:val="center"/>
                </w:tcPr>
                <w:p w14:paraId="1BD35FB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1000</w:t>
                  </w:r>
                </w:p>
              </w:tc>
              <w:tc>
                <w:tcPr>
                  <w:tcW w:w="484" w:type="pct"/>
                  <w:tcBorders>
                    <w:tl2br w:val="nil"/>
                    <w:tr2bl w:val="nil"/>
                  </w:tcBorders>
                  <w:noWrap w:val="0"/>
                  <w:vAlign w:val="center"/>
                </w:tcPr>
                <w:p w14:paraId="1E466D7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2000</w:t>
                  </w:r>
                </w:p>
              </w:tc>
              <w:tc>
                <w:tcPr>
                  <w:tcW w:w="484" w:type="pct"/>
                  <w:tcBorders>
                    <w:tl2br w:val="nil"/>
                    <w:tr2bl w:val="nil"/>
                  </w:tcBorders>
                  <w:noWrap w:val="0"/>
                  <w:vAlign w:val="center"/>
                </w:tcPr>
                <w:p w14:paraId="5903D5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4000</w:t>
                  </w:r>
                </w:p>
              </w:tc>
              <w:tc>
                <w:tcPr>
                  <w:tcW w:w="491" w:type="pct"/>
                  <w:tcBorders>
                    <w:tl2br w:val="nil"/>
                    <w:tr2bl w:val="nil"/>
                  </w:tcBorders>
                  <w:noWrap w:val="0"/>
                  <w:vAlign w:val="center"/>
                </w:tcPr>
                <w:p w14:paraId="5194B2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8000</w:t>
                  </w:r>
                </w:p>
              </w:tc>
            </w:tr>
            <w:tr w14:paraId="1F24A3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99" w:type="pct"/>
                  <w:tcBorders>
                    <w:tl2br w:val="nil"/>
                    <w:tr2bl w:val="nil"/>
                  </w:tcBorders>
                  <w:noWrap w:val="0"/>
                  <w:vAlign w:val="center"/>
                </w:tcPr>
                <w:p w14:paraId="035ED5B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w:t>
                  </w:r>
                </w:p>
              </w:tc>
              <w:tc>
                <w:tcPr>
                  <w:tcW w:w="616" w:type="pct"/>
                  <w:tcBorders>
                    <w:tl2br w:val="nil"/>
                    <w:tr2bl w:val="nil"/>
                  </w:tcBorders>
                  <w:noWrap w:val="0"/>
                  <w:vAlign w:val="center"/>
                </w:tcPr>
                <w:p w14:paraId="3CC8CC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70</w:t>
                  </w:r>
                </w:p>
              </w:tc>
              <w:tc>
                <w:tcPr>
                  <w:tcW w:w="484" w:type="pct"/>
                  <w:tcBorders>
                    <w:tl2br w:val="nil"/>
                    <w:tr2bl w:val="nil"/>
                  </w:tcBorders>
                  <w:noWrap w:val="0"/>
                  <w:vAlign w:val="center"/>
                </w:tcPr>
                <w:p w14:paraId="629705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0.1</w:t>
                  </w:r>
                </w:p>
              </w:tc>
              <w:tc>
                <w:tcPr>
                  <w:tcW w:w="484" w:type="pct"/>
                  <w:tcBorders>
                    <w:tl2br w:val="nil"/>
                    <w:tr2bl w:val="nil"/>
                  </w:tcBorders>
                  <w:noWrap w:val="0"/>
                  <w:vAlign w:val="center"/>
                </w:tcPr>
                <w:p w14:paraId="3EBD378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0.4</w:t>
                  </w:r>
                </w:p>
              </w:tc>
              <w:tc>
                <w:tcPr>
                  <w:tcW w:w="484" w:type="pct"/>
                  <w:tcBorders>
                    <w:tl2br w:val="nil"/>
                    <w:tr2bl w:val="nil"/>
                  </w:tcBorders>
                  <w:noWrap w:val="0"/>
                  <w:vAlign w:val="center"/>
                </w:tcPr>
                <w:p w14:paraId="086C29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w:t>
                  </w:r>
                </w:p>
              </w:tc>
              <w:tc>
                <w:tcPr>
                  <w:tcW w:w="484" w:type="pct"/>
                  <w:tcBorders>
                    <w:tl2br w:val="nil"/>
                    <w:tr2bl w:val="nil"/>
                  </w:tcBorders>
                  <w:noWrap w:val="0"/>
                  <w:vAlign w:val="center"/>
                </w:tcPr>
                <w:p w14:paraId="2D2B40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1.9</w:t>
                  </w:r>
                </w:p>
              </w:tc>
              <w:tc>
                <w:tcPr>
                  <w:tcW w:w="484" w:type="pct"/>
                  <w:tcBorders>
                    <w:tl2br w:val="nil"/>
                    <w:tr2bl w:val="nil"/>
                  </w:tcBorders>
                  <w:noWrap w:val="0"/>
                  <w:vAlign w:val="center"/>
                </w:tcPr>
                <w:p w14:paraId="0D884E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3.7</w:t>
                  </w:r>
                </w:p>
              </w:tc>
              <w:tc>
                <w:tcPr>
                  <w:tcW w:w="484" w:type="pct"/>
                  <w:tcBorders>
                    <w:tl2br w:val="nil"/>
                    <w:tr2bl w:val="nil"/>
                  </w:tcBorders>
                  <w:noWrap w:val="0"/>
                  <w:vAlign w:val="center"/>
                </w:tcPr>
                <w:p w14:paraId="4221236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9.7</w:t>
                  </w:r>
                </w:p>
              </w:tc>
              <w:tc>
                <w:tcPr>
                  <w:tcW w:w="484" w:type="pct"/>
                  <w:tcBorders>
                    <w:tl2br w:val="nil"/>
                    <w:tr2bl w:val="nil"/>
                  </w:tcBorders>
                  <w:noWrap w:val="0"/>
                  <w:vAlign w:val="center"/>
                </w:tcPr>
                <w:p w14:paraId="2D96160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32.8</w:t>
                  </w:r>
                </w:p>
              </w:tc>
              <w:tc>
                <w:tcPr>
                  <w:tcW w:w="491" w:type="pct"/>
                  <w:tcBorders>
                    <w:tl2br w:val="nil"/>
                    <w:tr2bl w:val="nil"/>
                  </w:tcBorders>
                  <w:noWrap w:val="0"/>
                  <w:vAlign w:val="center"/>
                </w:tcPr>
                <w:p w14:paraId="2186C83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117.0</w:t>
                  </w:r>
                </w:p>
              </w:tc>
            </w:tr>
            <w:tr w14:paraId="33AC0A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99" w:type="pct"/>
                  <w:tcBorders>
                    <w:tl2br w:val="nil"/>
                    <w:tr2bl w:val="nil"/>
                  </w:tcBorders>
                  <w:noWrap w:val="0"/>
                  <w:vAlign w:val="center"/>
                </w:tcPr>
                <w:p w14:paraId="2FDEE14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616" w:type="pct"/>
                  <w:tcBorders>
                    <w:tl2br w:val="nil"/>
                    <w:tr2bl w:val="nil"/>
                  </w:tcBorders>
                  <w:noWrap w:val="0"/>
                  <w:vAlign w:val="center"/>
                </w:tcPr>
                <w:p w14:paraId="1C936D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70</w:t>
                  </w:r>
                </w:p>
              </w:tc>
              <w:tc>
                <w:tcPr>
                  <w:tcW w:w="484" w:type="pct"/>
                  <w:tcBorders>
                    <w:tl2br w:val="nil"/>
                    <w:tr2bl w:val="nil"/>
                  </w:tcBorders>
                  <w:noWrap w:val="0"/>
                  <w:vAlign w:val="center"/>
                </w:tcPr>
                <w:p w14:paraId="6FACA62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0.1</w:t>
                  </w:r>
                </w:p>
              </w:tc>
              <w:tc>
                <w:tcPr>
                  <w:tcW w:w="484" w:type="pct"/>
                  <w:tcBorders>
                    <w:tl2br w:val="nil"/>
                    <w:tr2bl w:val="nil"/>
                  </w:tcBorders>
                  <w:noWrap w:val="0"/>
                  <w:vAlign w:val="center"/>
                </w:tcPr>
                <w:p w14:paraId="22E6BE3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0.3</w:t>
                  </w:r>
                </w:p>
              </w:tc>
              <w:tc>
                <w:tcPr>
                  <w:tcW w:w="484" w:type="pct"/>
                  <w:tcBorders>
                    <w:tl2br w:val="nil"/>
                    <w:tr2bl w:val="nil"/>
                  </w:tcBorders>
                  <w:noWrap w:val="0"/>
                  <w:vAlign w:val="center"/>
                </w:tcPr>
                <w:p w14:paraId="57F1E67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w:t>
                  </w:r>
                </w:p>
              </w:tc>
              <w:tc>
                <w:tcPr>
                  <w:tcW w:w="484" w:type="pct"/>
                  <w:tcBorders>
                    <w:tl2br w:val="nil"/>
                    <w:tr2bl w:val="nil"/>
                  </w:tcBorders>
                  <w:noWrap w:val="0"/>
                  <w:vAlign w:val="center"/>
                </w:tcPr>
                <w:p w14:paraId="0F62FD9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2.8</w:t>
                  </w:r>
                </w:p>
              </w:tc>
              <w:tc>
                <w:tcPr>
                  <w:tcW w:w="484" w:type="pct"/>
                  <w:tcBorders>
                    <w:tl2br w:val="nil"/>
                    <w:tr2bl w:val="nil"/>
                  </w:tcBorders>
                  <w:noWrap w:val="0"/>
                  <w:vAlign w:val="center"/>
                </w:tcPr>
                <w:p w14:paraId="54F09C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5.0</w:t>
                  </w:r>
                </w:p>
              </w:tc>
              <w:tc>
                <w:tcPr>
                  <w:tcW w:w="484" w:type="pct"/>
                  <w:tcBorders>
                    <w:tl2br w:val="nil"/>
                    <w:tr2bl w:val="nil"/>
                  </w:tcBorders>
                  <w:noWrap w:val="0"/>
                  <w:vAlign w:val="center"/>
                </w:tcPr>
                <w:p w14:paraId="3077E8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9.0</w:t>
                  </w:r>
                </w:p>
              </w:tc>
              <w:tc>
                <w:tcPr>
                  <w:tcW w:w="484" w:type="pct"/>
                  <w:tcBorders>
                    <w:tl2br w:val="nil"/>
                    <w:tr2bl w:val="nil"/>
                  </w:tcBorders>
                  <w:noWrap w:val="0"/>
                  <w:vAlign w:val="center"/>
                </w:tcPr>
                <w:p w14:paraId="0EAC956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22.9</w:t>
                  </w:r>
                </w:p>
              </w:tc>
              <w:tc>
                <w:tcPr>
                  <w:tcW w:w="491" w:type="pct"/>
                  <w:tcBorders>
                    <w:tl2br w:val="nil"/>
                    <w:tr2bl w:val="nil"/>
                  </w:tcBorders>
                  <w:noWrap w:val="0"/>
                  <w:vAlign w:val="center"/>
                </w:tcPr>
                <w:p w14:paraId="0A6A3B0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76.6</w:t>
                  </w:r>
                </w:p>
              </w:tc>
            </w:tr>
            <w:tr w14:paraId="5D3A9B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99" w:type="pct"/>
                  <w:tcBorders>
                    <w:tl2br w:val="nil"/>
                    <w:tr2bl w:val="nil"/>
                  </w:tcBorders>
                  <w:noWrap w:val="0"/>
                  <w:vAlign w:val="center"/>
                </w:tcPr>
                <w:p w14:paraId="32014A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30</w:t>
                  </w:r>
                </w:p>
              </w:tc>
              <w:tc>
                <w:tcPr>
                  <w:tcW w:w="616" w:type="pct"/>
                  <w:tcBorders>
                    <w:tl2br w:val="nil"/>
                    <w:tr2bl w:val="nil"/>
                  </w:tcBorders>
                  <w:noWrap w:val="0"/>
                  <w:vAlign w:val="center"/>
                </w:tcPr>
                <w:p w14:paraId="675AC32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70</w:t>
                  </w:r>
                </w:p>
              </w:tc>
              <w:tc>
                <w:tcPr>
                  <w:tcW w:w="484" w:type="pct"/>
                  <w:tcBorders>
                    <w:tl2br w:val="nil"/>
                    <w:tr2bl w:val="nil"/>
                  </w:tcBorders>
                  <w:noWrap w:val="0"/>
                  <w:vAlign w:val="center"/>
                </w:tcPr>
                <w:p w14:paraId="1452E4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0.1</w:t>
                  </w:r>
                </w:p>
              </w:tc>
              <w:tc>
                <w:tcPr>
                  <w:tcW w:w="484" w:type="pct"/>
                  <w:tcBorders>
                    <w:tl2br w:val="nil"/>
                    <w:tr2bl w:val="nil"/>
                  </w:tcBorders>
                  <w:noWrap w:val="0"/>
                  <w:vAlign w:val="center"/>
                </w:tcPr>
                <w:p w14:paraId="5C03FA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0.3</w:t>
                  </w:r>
                </w:p>
              </w:tc>
              <w:tc>
                <w:tcPr>
                  <w:tcW w:w="484" w:type="pct"/>
                  <w:tcBorders>
                    <w:tl2br w:val="nil"/>
                    <w:tr2bl w:val="nil"/>
                  </w:tcBorders>
                  <w:noWrap w:val="0"/>
                  <w:vAlign w:val="center"/>
                </w:tcPr>
                <w:p w14:paraId="164E232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w:t>
                  </w:r>
                </w:p>
              </w:tc>
              <w:tc>
                <w:tcPr>
                  <w:tcW w:w="484" w:type="pct"/>
                  <w:tcBorders>
                    <w:tl2br w:val="nil"/>
                    <w:tr2bl w:val="nil"/>
                  </w:tcBorders>
                  <w:noWrap w:val="0"/>
                  <w:vAlign w:val="center"/>
                </w:tcPr>
                <w:p w14:paraId="185013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3.1</w:t>
                  </w:r>
                </w:p>
              </w:tc>
              <w:tc>
                <w:tcPr>
                  <w:tcW w:w="484" w:type="pct"/>
                  <w:tcBorders>
                    <w:tl2br w:val="nil"/>
                    <w:tr2bl w:val="nil"/>
                  </w:tcBorders>
                  <w:noWrap w:val="0"/>
                  <w:vAlign w:val="center"/>
                </w:tcPr>
                <w:p w14:paraId="633EE1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7.4</w:t>
                  </w:r>
                </w:p>
              </w:tc>
              <w:tc>
                <w:tcPr>
                  <w:tcW w:w="484" w:type="pct"/>
                  <w:tcBorders>
                    <w:tl2br w:val="nil"/>
                    <w:tr2bl w:val="nil"/>
                  </w:tcBorders>
                  <w:noWrap w:val="0"/>
                  <w:vAlign w:val="center"/>
                </w:tcPr>
                <w:p w14:paraId="3FB494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12.7</w:t>
                  </w:r>
                </w:p>
              </w:tc>
              <w:tc>
                <w:tcPr>
                  <w:tcW w:w="484" w:type="pct"/>
                  <w:tcBorders>
                    <w:tl2br w:val="nil"/>
                    <w:tr2bl w:val="nil"/>
                  </w:tcBorders>
                  <w:noWrap w:val="0"/>
                  <w:vAlign w:val="center"/>
                </w:tcPr>
                <w:p w14:paraId="554544C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23.1</w:t>
                  </w:r>
                </w:p>
              </w:tc>
              <w:tc>
                <w:tcPr>
                  <w:tcW w:w="491" w:type="pct"/>
                  <w:tcBorders>
                    <w:tl2br w:val="nil"/>
                    <w:tr2bl w:val="nil"/>
                  </w:tcBorders>
                  <w:noWrap w:val="0"/>
                  <w:vAlign w:val="center"/>
                </w:tcPr>
                <w:p w14:paraId="391DB0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59.3</w:t>
                  </w:r>
                </w:p>
              </w:tc>
            </w:tr>
            <w:tr w14:paraId="182817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99" w:type="pct"/>
                  <w:tcBorders>
                    <w:tl2br w:val="nil"/>
                    <w:tr2bl w:val="nil"/>
                  </w:tcBorders>
                  <w:noWrap w:val="0"/>
                  <w:vAlign w:val="center"/>
                </w:tcPr>
                <w:p w14:paraId="121BEA5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w:t>
                  </w:r>
                </w:p>
              </w:tc>
              <w:tc>
                <w:tcPr>
                  <w:tcW w:w="616" w:type="pct"/>
                  <w:tcBorders>
                    <w:tl2br w:val="nil"/>
                    <w:tr2bl w:val="nil"/>
                  </w:tcBorders>
                  <w:noWrap w:val="0"/>
                  <w:vAlign w:val="center"/>
                </w:tcPr>
                <w:p w14:paraId="1DDA4E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484" w:type="pct"/>
                  <w:tcBorders>
                    <w:tl2br w:val="nil"/>
                    <w:tr2bl w:val="nil"/>
                  </w:tcBorders>
                  <w:noWrap w:val="0"/>
                  <w:vAlign w:val="center"/>
                </w:tcPr>
                <w:p w14:paraId="5A793D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0.3</w:t>
                  </w:r>
                </w:p>
              </w:tc>
              <w:tc>
                <w:tcPr>
                  <w:tcW w:w="484" w:type="pct"/>
                  <w:tcBorders>
                    <w:tl2br w:val="nil"/>
                    <w:tr2bl w:val="nil"/>
                  </w:tcBorders>
                  <w:noWrap w:val="0"/>
                  <w:vAlign w:val="center"/>
                </w:tcPr>
                <w:p w14:paraId="049CA29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0.6</w:t>
                  </w:r>
                </w:p>
              </w:tc>
              <w:tc>
                <w:tcPr>
                  <w:tcW w:w="484" w:type="pct"/>
                  <w:tcBorders>
                    <w:tl2br w:val="nil"/>
                    <w:tr2bl w:val="nil"/>
                  </w:tcBorders>
                  <w:noWrap w:val="0"/>
                  <w:vAlign w:val="center"/>
                </w:tcPr>
                <w:p w14:paraId="22B54DF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w:t>
                  </w:r>
                </w:p>
              </w:tc>
              <w:tc>
                <w:tcPr>
                  <w:tcW w:w="484" w:type="pct"/>
                  <w:tcBorders>
                    <w:tl2br w:val="nil"/>
                    <w:tr2bl w:val="nil"/>
                  </w:tcBorders>
                  <w:noWrap w:val="0"/>
                  <w:vAlign w:val="center"/>
                </w:tcPr>
                <w:p w14:paraId="63E7951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2.7</w:t>
                  </w:r>
                </w:p>
              </w:tc>
              <w:tc>
                <w:tcPr>
                  <w:tcW w:w="484" w:type="pct"/>
                  <w:tcBorders>
                    <w:tl2br w:val="nil"/>
                    <w:tr2bl w:val="nil"/>
                  </w:tcBorders>
                  <w:noWrap w:val="0"/>
                  <w:vAlign w:val="center"/>
                </w:tcPr>
                <w:p w14:paraId="1BF47A0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8.2</w:t>
                  </w:r>
                </w:p>
              </w:tc>
              <w:tc>
                <w:tcPr>
                  <w:tcW w:w="484" w:type="pct"/>
                  <w:tcBorders>
                    <w:tl2br w:val="nil"/>
                    <w:tr2bl w:val="nil"/>
                  </w:tcBorders>
                  <w:noWrap w:val="0"/>
                  <w:vAlign w:val="center"/>
                </w:tcPr>
                <w:p w14:paraId="0270B0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28.2</w:t>
                  </w:r>
                </w:p>
              </w:tc>
              <w:tc>
                <w:tcPr>
                  <w:tcW w:w="484" w:type="pct"/>
                  <w:tcBorders>
                    <w:tl2br w:val="nil"/>
                    <w:tr2bl w:val="nil"/>
                  </w:tcBorders>
                  <w:noWrap w:val="0"/>
                  <w:vAlign w:val="center"/>
                </w:tcPr>
                <w:p w14:paraId="7EC42C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28.8</w:t>
                  </w:r>
                </w:p>
              </w:tc>
              <w:tc>
                <w:tcPr>
                  <w:tcW w:w="491" w:type="pct"/>
                  <w:tcBorders>
                    <w:tl2br w:val="nil"/>
                    <w:tr2bl w:val="nil"/>
                  </w:tcBorders>
                  <w:noWrap w:val="0"/>
                  <w:vAlign w:val="center"/>
                </w:tcPr>
                <w:p w14:paraId="265C0EC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202.0</w:t>
                  </w:r>
                </w:p>
              </w:tc>
            </w:tr>
            <w:tr w14:paraId="1784ED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99" w:type="pct"/>
                  <w:tcBorders>
                    <w:tl2br w:val="nil"/>
                    <w:tr2bl w:val="nil"/>
                  </w:tcBorders>
                  <w:noWrap w:val="0"/>
                  <w:vAlign w:val="center"/>
                </w:tcPr>
                <w:p w14:paraId="65B37FC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w:t>
                  </w:r>
                </w:p>
              </w:tc>
              <w:tc>
                <w:tcPr>
                  <w:tcW w:w="616" w:type="pct"/>
                  <w:tcBorders>
                    <w:tl2br w:val="nil"/>
                    <w:tr2bl w:val="nil"/>
                  </w:tcBorders>
                  <w:noWrap w:val="0"/>
                  <w:vAlign w:val="center"/>
                </w:tcPr>
                <w:p w14:paraId="6F9C7B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50</w:t>
                  </w:r>
                </w:p>
              </w:tc>
              <w:tc>
                <w:tcPr>
                  <w:tcW w:w="484" w:type="pct"/>
                  <w:tcBorders>
                    <w:tl2br w:val="nil"/>
                    <w:tr2bl w:val="nil"/>
                  </w:tcBorders>
                  <w:noWrap w:val="0"/>
                  <w:vAlign w:val="center"/>
                </w:tcPr>
                <w:p w14:paraId="0C78940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0.1</w:t>
                  </w:r>
                </w:p>
              </w:tc>
              <w:tc>
                <w:tcPr>
                  <w:tcW w:w="484" w:type="pct"/>
                  <w:tcBorders>
                    <w:tl2br w:val="nil"/>
                    <w:tr2bl w:val="nil"/>
                  </w:tcBorders>
                  <w:noWrap w:val="0"/>
                  <w:vAlign w:val="center"/>
                </w:tcPr>
                <w:p w14:paraId="2FB2BE3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0.5</w:t>
                  </w:r>
                </w:p>
              </w:tc>
              <w:tc>
                <w:tcPr>
                  <w:tcW w:w="484" w:type="pct"/>
                  <w:tcBorders>
                    <w:tl2br w:val="nil"/>
                    <w:tr2bl w:val="nil"/>
                  </w:tcBorders>
                  <w:noWrap w:val="0"/>
                  <w:vAlign w:val="center"/>
                </w:tcPr>
                <w:p w14:paraId="7FBDF3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w:t>
                  </w:r>
                </w:p>
              </w:tc>
              <w:tc>
                <w:tcPr>
                  <w:tcW w:w="484" w:type="pct"/>
                  <w:tcBorders>
                    <w:tl2br w:val="nil"/>
                    <w:tr2bl w:val="nil"/>
                  </w:tcBorders>
                  <w:noWrap w:val="0"/>
                  <w:vAlign w:val="center"/>
                </w:tcPr>
                <w:p w14:paraId="5DF67C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2.2</w:t>
                  </w:r>
                </w:p>
              </w:tc>
              <w:tc>
                <w:tcPr>
                  <w:tcW w:w="484" w:type="pct"/>
                  <w:tcBorders>
                    <w:tl2br w:val="nil"/>
                    <w:tr2bl w:val="nil"/>
                  </w:tcBorders>
                  <w:noWrap w:val="0"/>
                  <w:vAlign w:val="center"/>
                </w:tcPr>
                <w:p w14:paraId="1ECB7B6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p>
              </w:tc>
              <w:tc>
                <w:tcPr>
                  <w:tcW w:w="484" w:type="pct"/>
                  <w:tcBorders>
                    <w:tl2br w:val="nil"/>
                    <w:tr2bl w:val="nil"/>
                  </w:tcBorders>
                  <w:noWrap w:val="0"/>
                  <w:vAlign w:val="center"/>
                </w:tcPr>
                <w:p w14:paraId="35D272D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10.8</w:t>
                  </w:r>
                </w:p>
              </w:tc>
              <w:tc>
                <w:tcPr>
                  <w:tcW w:w="484" w:type="pct"/>
                  <w:tcBorders>
                    <w:tl2br w:val="nil"/>
                    <w:tr2bl w:val="nil"/>
                  </w:tcBorders>
                  <w:noWrap w:val="0"/>
                  <w:vAlign w:val="center"/>
                </w:tcPr>
                <w:p w14:paraId="0EFC07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36.2</w:t>
                  </w:r>
                </w:p>
              </w:tc>
              <w:tc>
                <w:tcPr>
                  <w:tcW w:w="491" w:type="pct"/>
                  <w:tcBorders>
                    <w:tl2br w:val="nil"/>
                    <w:tr2bl w:val="nil"/>
                  </w:tcBorders>
                  <w:noWrap w:val="0"/>
                  <w:vAlign w:val="center"/>
                </w:tcPr>
                <w:p w14:paraId="0933DEE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129.0</w:t>
                  </w:r>
                </w:p>
              </w:tc>
            </w:tr>
            <w:tr w14:paraId="6626AD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tcBorders>
                    <w:tl2br w:val="nil"/>
                    <w:tr2bl w:val="nil"/>
                  </w:tcBorders>
                  <w:noWrap w:val="0"/>
                  <w:vAlign w:val="center"/>
                </w:tcPr>
                <w:p w14:paraId="14051A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w:t>
                  </w:r>
                </w:p>
              </w:tc>
              <w:tc>
                <w:tcPr>
                  <w:tcW w:w="616" w:type="pct"/>
                  <w:tcBorders>
                    <w:tl2br w:val="nil"/>
                    <w:tr2bl w:val="nil"/>
                  </w:tcBorders>
                  <w:noWrap w:val="0"/>
                  <w:vAlign w:val="center"/>
                </w:tcPr>
                <w:p w14:paraId="38C0CE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80</w:t>
                  </w:r>
                </w:p>
              </w:tc>
              <w:tc>
                <w:tcPr>
                  <w:tcW w:w="484" w:type="pct"/>
                  <w:tcBorders>
                    <w:tl2br w:val="nil"/>
                    <w:tr2bl w:val="nil"/>
                  </w:tcBorders>
                  <w:noWrap w:val="0"/>
                  <w:vAlign w:val="center"/>
                </w:tcPr>
                <w:p w14:paraId="2C0A4E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0.1</w:t>
                  </w:r>
                </w:p>
              </w:tc>
              <w:tc>
                <w:tcPr>
                  <w:tcW w:w="484" w:type="pct"/>
                  <w:tcBorders>
                    <w:tl2br w:val="nil"/>
                    <w:tr2bl w:val="nil"/>
                  </w:tcBorders>
                  <w:noWrap w:val="0"/>
                  <w:vAlign w:val="center"/>
                </w:tcPr>
                <w:p w14:paraId="335A479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0.3</w:t>
                  </w:r>
                </w:p>
              </w:tc>
              <w:tc>
                <w:tcPr>
                  <w:tcW w:w="484" w:type="pct"/>
                  <w:tcBorders>
                    <w:tl2br w:val="nil"/>
                    <w:tr2bl w:val="nil"/>
                  </w:tcBorders>
                  <w:noWrap w:val="0"/>
                  <w:vAlign w:val="center"/>
                </w:tcPr>
                <w:p w14:paraId="7536EC4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w:t>
                  </w:r>
                </w:p>
              </w:tc>
              <w:tc>
                <w:tcPr>
                  <w:tcW w:w="484" w:type="pct"/>
                  <w:tcBorders>
                    <w:tl2br w:val="nil"/>
                    <w:tr2bl w:val="nil"/>
                  </w:tcBorders>
                  <w:noWrap w:val="0"/>
                  <w:vAlign w:val="center"/>
                </w:tcPr>
                <w:p w14:paraId="58FC78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2.4</w:t>
                  </w:r>
                </w:p>
              </w:tc>
              <w:tc>
                <w:tcPr>
                  <w:tcW w:w="484" w:type="pct"/>
                  <w:tcBorders>
                    <w:tl2br w:val="nil"/>
                    <w:tr2bl w:val="nil"/>
                  </w:tcBorders>
                  <w:noWrap w:val="0"/>
                  <w:vAlign w:val="center"/>
                </w:tcPr>
                <w:p w14:paraId="5DCD14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4.1</w:t>
                  </w:r>
                </w:p>
              </w:tc>
              <w:tc>
                <w:tcPr>
                  <w:tcW w:w="484" w:type="pct"/>
                  <w:tcBorders>
                    <w:tl2br w:val="nil"/>
                    <w:tr2bl w:val="nil"/>
                  </w:tcBorders>
                  <w:noWrap w:val="0"/>
                  <w:vAlign w:val="center"/>
                </w:tcPr>
                <w:p w14:paraId="7AD0B32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8.3</w:t>
                  </w:r>
                </w:p>
              </w:tc>
              <w:tc>
                <w:tcPr>
                  <w:tcW w:w="484" w:type="pct"/>
                  <w:tcBorders>
                    <w:tl2br w:val="nil"/>
                    <w:tr2bl w:val="nil"/>
                  </w:tcBorders>
                  <w:noWrap w:val="0"/>
                  <w:vAlign w:val="center"/>
                </w:tcPr>
                <w:p w14:paraId="2A07DBB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23.7</w:t>
                  </w:r>
                </w:p>
              </w:tc>
              <w:tc>
                <w:tcPr>
                  <w:tcW w:w="491" w:type="pct"/>
                  <w:tcBorders>
                    <w:tl2br w:val="nil"/>
                    <w:tr2bl w:val="nil"/>
                  </w:tcBorders>
                  <w:noWrap w:val="0"/>
                  <w:vAlign w:val="center"/>
                </w:tcPr>
                <w:p w14:paraId="221FD1B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82.8</w:t>
                  </w:r>
                </w:p>
              </w:tc>
            </w:tr>
          </w:tbl>
          <w:p w14:paraId="64731588">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 (4)地面效应引起的衰减</w:t>
            </w:r>
          </w:p>
          <w:p w14:paraId="0F3D1F8F">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声波越过疏松地面传播时，或大部分为疏松地面的混合地面，在预测点仅计算A声级前提下，地面效应引起的倍频带衰减可按下式计算：</w:t>
            </w:r>
          </w:p>
          <w:p w14:paraId="04F02A75">
            <w:pPr>
              <w:keepNext w:val="0"/>
              <w:keepLines w:val="0"/>
              <w:suppressLineNumbers w:val="0"/>
              <w:adjustRightInd w:val="0"/>
              <w:snapToGrid w:val="0"/>
              <w:spacing w:before="0" w:beforeAutospacing="0" w:after="0" w:afterAutospacing="0" w:line="480" w:lineRule="exact"/>
              <w:ind w:left="0" w:right="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position w:val="-30"/>
                <w:sz w:val="24"/>
                <w14:textFill>
                  <w14:solidFill>
                    <w14:schemeClr w14:val="tx1"/>
                  </w14:solidFill>
                </w14:textFill>
              </w:rPr>
              <w:drawing>
                <wp:anchor distT="0" distB="0" distL="114300" distR="114300" simplePos="0" relativeHeight="251661312" behindDoc="0" locked="0" layoutInCell="1" allowOverlap="1">
                  <wp:simplePos x="0" y="0"/>
                  <wp:positionH relativeFrom="column">
                    <wp:posOffset>1241425</wp:posOffset>
                  </wp:positionH>
                  <wp:positionV relativeFrom="paragraph">
                    <wp:posOffset>62230</wp:posOffset>
                  </wp:positionV>
                  <wp:extent cx="2069465" cy="395605"/>
                  <wp:effectExtent l="0" t="0" r="6985" b="3810"/>
                  <wp:wrapNone/>
                  <wp:docPr id="1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5"/>
                          <pic:cNvPicPr>
                            <a:picLocks noChangeAspect="1"/>
                          </pic:cNvPicPr>
                        </pic:nvPicPr>
                        <pic:blipFill>
                          <a:blip r:embed="rId19"/>
                          <a:stretch>
                            <a:fillRect/>
                          </a:stretch>
                        </pic:blipFill>
                        <pic:spPr>
                          <a:xfrm>
                            <a:off x="0" y="0"/>
                            <a:ext cx="2069465" cy="395605"/>
                          </a:xfrm>
                          <a:prstGeom prst="rect">
                            <a:avLst/>
                          </a:prstGeom>
                          <a:noFill/>
                          <a:ln>
                            <a:noFill/>
                          </a:ln>
                        </pic:spPr>
                      </pic:pic>
                    </a:graphicData>
                  </a:graphic>
                </wp:anchor>
              </w:drawing>
            </w:r>
          </w:p>
          <w:p w14:paraId="4076A85F">
            <w:pPr>
              <w:keepNext w:val="0"/>
              <w:keepLines w:val="0"/>
              <w:suppressLineNumbers w:val="0"/>
              <w:adjustRightInd w:val="0"/>
              <w:snapToGrid w:val="0"/>
              <w:spacing w:before="0" w:beforeAutospacing="0" w:after="0" w:afterAutospacing="0" w:line="20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p>
          <w:p w14:paraId="5F982613">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式中：r —声源到预测点的距离，m；</w:t>
            </w:r>
          </w:p>
          <w:p w14:paraId="35ED6516">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 xml:space="preserve">      h</w:t>
            </w:r>
            <w:r>
              <w:rPr>
                <w:rFonts w:hint="default" w:ascii="Times New Roman" w:hAnsi="Times New Roman" w:eastAsia="宋体" w:cs="Times New Roman"/>
                <w:color w:val="000000" w:themeColor="text1"/>
                <w:sz w:val="24"/>
                <w:vertAlign w:val="subscript"/>
                <w14:textFill>
                  <w14:solidFill>
                    <w14:schemeClr w14:val="tx1"/>
                  </w14:solidFill>
                </w14:textFill>
              </w:rPr>
              <w:t>m</w:t>
            </w:r>
            <w:r>
              <w:rPr>
                <w:rFonts w:hint="default" w:ascii="Times New Roman" w:hAnsi="Times New Roman" w:eastAsia="宋体" w:cs="Times New Roman"/>
                <w:color w:val="000000" w:themeColor="text1"/>
                <w:sz w:val="24"/>
                <w14:textFill>
                  <w14:solidFill>
                    <w14:schemeClr w14:val="tx1"/>
                  </w14:solidFill>
                </w14:textFill>
              </w:rPr>
              <w:t>—传播路径的平均离地高度，m。</w:t>
            </w:r>
          </w:p>
          <w:p w14:paraId="463A8CFF">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若A</w:t>
            </w:r>
            <w:r>
              <w:rPr>
                <w:rFonts w:hint="default" w:ascii="Times New Roman" w:hAnsi="Times New Roman" w:eastAsia="宋体" w:cs="Times New Roman"/>
                <w:color w:val="000000" w:themeColor="text1"/>
                <w:sz w:val="24"/>
                <w:vertAlign w:val="subscript"/>
                <w14:textFill>
                  <w14:solidFill>
                    <w14:schemeClr w14:val="tx1"/>
                  </w14:solidFill>
                </w14:textFill>
              </w:rPr>
              <w:t>gr</w:t>
            </w:r>
            <w:r>
              <w:rPr>
                <w:rFonts w:hint="default" w:ascii="Times New Roman" w:hAnsi="Times New Roman" w:eastAsia="宋体" w:cs="Times New Roman"/>
                <w:color w:val="000000" w:themeColor="text1"/>
                <w:sz w:val="24"/>
                <w14:textFill>
                  <w14:solidFill>
                    <w14:schemeClr w14:val="tx1"/>
                  </w14:solidFill>
                </w14:textFill>
              </w:rPr>
              <w:t>计算出负值，则A</w:t>
            </w:r>
            <w:r>
              <w:rPr>
                <w:rFonts w:hint="default" w:ascii="Times New Roman" w:hAnsi="Times New Roman" w:eastAsia="宋体" w:cs="Times New Roman"/>
                <w:color w:val="000000" w:themeColor="text1"/>
                <w:sz w:val="24"/>
                <w:vertAlign w:val="subscript"/>
                <w14:textFill>
                  <w14:solidFill>
                    <w14:schemeClr w14:val="tx1"/>
                  </w14:solidFill>
                </w14:textFill>
              </w:rPr>
              <w:t>gr</w:t>
            </w:r>
            <w:r>
              <w:rPr>
                <w:rFonts w:hint="default" w:ascii="Times New Roman" w:hAnsi="Times New Roman" w:eastAsia="宋体" w:cs="Times New Roman"/>
                <w:color w:val="000000" w:themeColor="text1"/>
                <w:sz w:val="24"/>
                <w14:textFill>
                  <w14:solidFill>
                    <w14:schemeClr w14:val="tx1"/>
                  </w14:solidFill>
                </w14:textFill>
              </w:rPr>
              <w:t>可用“0”代替。本项目厂区地面除绿化外均为坚实地面，且本次预测仅针对厂界，故A</w:t>
            </w:r>
            <w:r>
              <w:rPr>
                <w:rFonts w:hint="default" w:ascii="Times New Roman" w:hAnsi="Times New Roman" w:eastAsia="宋体" w:cs="Times New Roman"/>
                <w:color w:val="000000" w:themeColor="text1"/>
                <w:sz w:val="24"/>
                <w:vertAlign w:val="subscript"/>
                <w14:textFill>
                  <w14:solidFill>
                    <w14:schemeClr w14:val="tx1"/>
                  </w14:solidFill>
                </w14:textFill>
              </w:rPr>
              <w:t>gr</w:t>
            </w:r>
            <w:r>
              <w:rPr>
                <w:rFonts w:hint="default" w:ascii="Times New Roman" w:hAnsi="Times New Roman" w:eastAsia="宋体" w:cs="Times New Roman"/>
                <w:color w:val="000000" w:themeColor="text1"/>
                <w:sz w:val="24"/>
                <w14:textFill>
                  <w14:solidFill>
                    <w14:schemeClr w14:val="tx1"/>
                  </w14:solidFill>
                </w14:textFill>
              </w:rPr>
              <w:t>可忽略不计。</w:t>
            </w:r>
          </w:p>
          <w:p w14:paraId="47B4EFE3">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(5)其它多方面原因引起的衰减</w:t>
            </w:r>
          </w:p>
          <w:p w14:paraId="2FBA6CDF">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其它衰减包括通过工业场所的衰减，通过房屋群的衰减。在本次预测中可忽略不计。在声环境影响评价中，一般情况下，不考虑自然条件（如风、雾）引起的修正。</w:t>
            </w:r>
          </w:p>
          <w:p w14:paraId="4695EFD0">
            <w:pPr>
              <w:keepNext w:val="0"/>
              <w:keepLines w:val="0"/>
              <w:suppressLineNumbers w:val="0"/>
              <w:adjustRightInd w:val="0"/>
              <w:snapToGrid w:val="0"/>
              <w:spacing w:before="0" w:beforeAutospacing="0" w:after="0" w:afterAutospacing="0" w:line="480" w:lineRule="exact"/>
              <w:ind w:left="0" w:right="0" w:firstLine="482" w:firstLineChars="200"/>
              <w:rPr>
                <w:rFonts w:hint="default" w:ascii="Times New Roman" w:hAnsi="Times New Roman" w:eastAsia="宋体" w:cs="Times New Roman"/>
                <w:b/>
                <w:bCs/>
                <w:color w:val="000000" w:themeColor="text1"/>
                <w:sz w:val="24"/>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14:textFill>
                  <w14:solidFill>
                    <w14:schemeClr w14:val="tx1"/>
                  </w14:solidFill>
                </w14:textFill>
              </w:rPr>
              <w:t>预测程序</w:t>
            </w:r>
          </w:p>
          <w:p w14:paraId="167E80EE">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预测点噪声级预测计算基本步骤如下：</w:t>
            </w:r>
          </w:p>
          <w:p w14:paraId="1CE9F12E">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(1)建立坐标系，确定各声源坐标和预测点坐标，并根据声源性质以及预测点与声源之间距离等情况，把声源简化成点声源，或线声源，或面声源。</w:t>
            </w:r>
          </w:p>
          <w:p w14:paraId="00F9B6F8">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(2)根据已获得的声源源强的数据和各声源到预测点的声波传播条件资料，计算出噪声从各声源传播到预测点的声衰减量，由此计算出各声源单独作用在预测点时产生的A声级L</w:t>
            </w:r>
            <w:r>
              <w:rPr>
                <w:rFonts w:hint="default" w:ascii="Times New Roman" w:hAnsi="Times New Roman" w:eastAsia="宋体" w:cs="Times New Roman"/>
                <w:color w:val="000000" w:themeColor="text1"/>
                <w:sz w:val="24"/>
                <w:vertAlign w:val="subscript"/>
                <w14:textFill>
                  <w14:solidFill>
                    <w14:schemeClr w14:val="tx1"/>
                  </w14:solidFill>
                </w14:textFill>
              </w:rPr>
              <w:t>Ai</w:t>
            </w:r>
            <w:r>
              <w:rPr>
                <w:rFonts w:hint="default" w:ascii="Times New Roman" w:hAnsi="Times New Roman" w:eastAsia="宋体" w:cs="Times New Roman"/>
                <w:color w:val="000000" w:themeColor="text1"/>
                <w:sz w:val="24"/>
                <w14:textFill>
                  <w14:solidFill>
                    <w14:schemeClr w14:val="tx1"/>
                  </w14:solidFill>
                </w14:textFill>
              </w:rPr>
              <w:t>；</w:t>
            </w:r>
          </w:p>
          <w:p w14:paraId="6918C5B4">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(3)声级计算</w:t>
            </w:r>
          </w:p>
          <w:p w14:paraId="7E428D24">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drawing>
                <wp:anchor distT="0" distB="0" distL="114300" distR="114300" simplePos="0" relativeHeight="251660288" behindDoc="1" locked="0" layoutInCell="1" allowOverlap="1">
                  <wp:simplePos x="0" y="0"/>
                  <wp:positionH relativeFrom="column">
                    <wp:posOffset>1978660</wp:posOffset>
                  </wp:positionH>
                  <wp:positionV relativeFrom="paragraph">
                    <wp:posOffset>275590</wp:posOffset>
                  </wp:positionV>
                  <wp:extent cx="1578610" cy="343535"/>
                  <wp:effectExtent l="0" t="0" r="2540" b="18415"/>
                  <wp:wrapNone/>
                  <wp:docPr id="1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6"/>
                          <pic:cNvPicPr>
                            <a:picLocks noChangeAspect="1"/>
                          </pic:cNvPicPr>
                        </pic:nvPicPr>
                        <pic:blipFill>
                          <a:blip r:embed="rId20"/>
                          <a:stretch>
                            <a:fillRect/>
                          </a:stretch>
                        </pic:blipFill>
                        <pic:spPr>
                          <a:xfrm>
                            <a:off x="0" y="0"/>
                            <a:ext cx="1578610" cy="343535"/>
                          </a:xfrm>
                          <a:prstGeom prst="rect">
                            <a:avLst/>
                          </a:prstGeom>
                          <a:noFill/>
                          <a:ln>
                            <a:noFill/>
                          </a:ln>
                        </pic:spPr>
                      </pic:pic>
                    </a:graphicData>
                  </a:graphic>
                </wp:anchor>
              </w:drawing>
            </w:r>
            <w:r>
              <w:rPr>
                <w:rFonts w:hint="default" w:ascii="Times New Roman" w:hAnsi="Times New Roman" w:eastAsia="宋体" w:cs="Times New Roman"/>
                <w:color w:val="000000" w:themeColor="text1"/>
                <w:sz w:val="24"/>
                <w14:textFill>
                  <w14:solidFill>
                    <w14:schemeClr w14:val="tx1"/>
                  </w14:solidFill>
                </w14:textFill>
              </w:rPr>
              <w:t>建设项目声源在预测点产生的等效声级贡献值（L</w:t>
            </w:r>
            <w:r>
              <w:rPr>
                <w:rFonts w:hint="default" w:ascii="Times New Roman" w:hAnsi="Times New Roman" w:eastAsia="宋体" w:cs="Times New Roman"/>
                <w:color w:val="000000" w:themeColor="text1"/>
                <w:sz w:val="24"/>
                <w:vertAlign w:val="subscript"/>
                <w14:textFill>
                  <w14:solidFill>
                    <w14:schemeClr w14:val="tx1"/>
                  </w14:solidFill>
                </w14:textFill>
              </w:rPr>
              <w:t>eqg</w:t>
            </w:r>
            <w:r>
              <w:rPr>
                <w:rFonts w:hint="default" w:ascii="Times New Roman" w:hAnsi="Times New Roman" w:eastAsia="宋体" w:cs="Times New Roman"/>
                <w:color w:val="000000" w:themeColor="text1"/>
                <w:sz w:val="24"/>
                <w14:textFill>
                  <w14:solidFill>
                    <w14:schemeClr w14:val="tx1"/>
                  </w14:solidFill>
                </w14:textFill>
              </w:rPr>
              <w:t>）计算公式：</w:t>
            </w:r>
          </w:p>
          <w:p w14:paraId="12A80E0A">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p>
          <w:p w14:paraId="1790BEDD">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kern w:val="0"/>
                <w:sz w:val="24"/>
                <w:lang w:val="zh-CN"/>
                <w14:textFill>
                  <w14:solidFill>
                    <w14:schemeClr w14:val="tx1"/>
                  </w14:solidFill>
                </w14:textFill>
              </w:rPr>
              <w:t>式中：L</w:t>
            </w:r>
            <w:r>
              <w:rPr>
                <w:rFonts w:hint="default" w:ascii="Times New Roman" w:hAnsi="Times New Roman" w:eastAsia="宋体" w:cs="Times New Roman"/>
                <w:color w:val="000000" w:themeColor="text1"/>
                <w:kern w:val="0"/>
                <w:sz w:val="24"/>
                <w:vertAlign w:val="subscript"/>
                <w:lang w:val="zh-CN"/>
                <w14:textFill>
                  <w14:solidFill>
                    <w14:schemeClr w14:val="tx1"/>
                  </w14:solidFill>
                </w14:textFill>
              </w:rPr>
              <w:t>eqg</w:t>
            </w:r>
            <w:r>
              <w:rPr>
                <w:rFonts w:hint="default" w:ascii="Times New Roman" w:hAnsi="Times New Roman" w:eastAsia="宋体" w:cs="Times New Roman"/>
                <w:color w:val="000000" w:themeColor="text1"/>
                <w:kern w:val="0"/>
                <w:sz w:val="24"/>
                <w:lang w:val="zh-CN"/>
                <w14:textFill>
                  <w14:solidFill>
                    <w14:schemeClr w14:val="tx1"/>
                  </w14:solidFill>
                </w14:textFill>
              </w:rPr>
              <w:t>—建设项目声源在预测点的等效声级贡献值，dB(A)；</w:t>
            </w:r>
          </w:p>
          <w:p w14:paraId="31B67C1E">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kern w:val="0"/>
                <w:sz w:val="24"/>
                <w:lang w:val="zh-CN"/>
                <w14:textFill>
                  <w14:solidFill>
                    <w14:schemeClr w14:val="tx1"/>
                  </w14:solidFill>
                </w14:textFill>
              </w:rPr>
              <w:t xml:space="preserve">      L</w:t>
            </w:r>
            <w:r>
              <w:rPr>
                <w:rFonts w:hint="default" w:ascii="Times New Roman" w:hAnsi="Times New Roman" w:eastAsia="宋体" w:cs="Times New Roman"/>
                <w:color w:val="000000" w:themeColor="text1"/>
                <w:kern w:val="0"/>
                <w:sz w:val="24"/>
                <w:vertAlign w:val="subscript"/>
                <w:lang w:val="zh-CN"/>
                <w14:textFill>
                  <w14:solidFill>
                    <w14:schemeClr w14:val="tx1"/>
                  </w14:solidFill>
                </w14:textFill>
              </w:rPr>
              <w:t>Ai</w:t>
            </w:r>
            <w:r>
              <w:rPr>
                <w:rFonts w:hint="default" w:ascii="Times New Roman" w:hAnsi="Times New Roman" w:eastAsia="宋体" w:cs="Times New Roman"/>
                <w:color w:val="000000" w:themeColor="text1"/>
                <w:kern w:val="0"/>
                <w:sz w:val="24"/>
                <w:lang w:val="zh-CN"/>
                <w14:textFill>
                  <w14:solidFill>
                    <w14:schemeClr w14:val="tx1"/>
                  </w14:solidFill>
                </w14:textFill>
              </w:rPr>
              <w:t>—i声源在预测点产生的A声级，dB(A)；</w:t>
            </w:r>
          </w:p>
          <w:p w14:paraId="6545AB9C">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kern w:val="0"/>
                <w:sz w:val="24"/>
                <w:lang w:val="zh-CN"/>
                <w14:textFill>
                  <w14:solidFill>
                    <w14:schemeClr w14:val="tx1"/>
                  </w14:solidFill>
                </w14:textFill>
              </w:rPr>
              <w:t xml:space="preserve">      T—预测计算的时间段，s；</w:t>
            </w:r>
          </w:p>
          <w:p w14:paraId="7399A4CF">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kern w:val="0"/>
                <w:sz w:val="24"/>
                <w:lang w:val="zh-CN"/>
                <w14:textFill>
                  <w14:solidFill>
                    <w14:schemeClr w14:val="tx1"/>
                  </w14:solidFill>
                </w14:textFill>
              </w:rPr>
              <w:t xml:space="preserve">    t</w:t>
            </w:r>
            <w:r>
              <w:rPr>
                <w:rFonts w:hint="default" w:ascii="Times New Roman" w:hAnsi="Times New Roman" w:eastAsia="宋体" w:cs="Times New Roman"/>
                <w:color w:val="000000" w:themeColor="text1"/>
                <w:kern w:val="0"/>
                <w:sz w:val="24"/>
                <w:vertAlign w:val="subscript"/>
                <w:lang w:val="zh-CN"/>
                <w14:textFill>
                  <w14:solidFill>
                    <w14:schemeClr w14:val="tx1"/>
                  </w14:solidFill>
                </w14:textFill>
              </w:rPr>
              <w:t>i</w:t>
            </w:r>
            <w:r>
              <w:rPr>
                <w:rFonts w:hint="default" w:ascii="Times New Roman" w:hAnsi="Times New Roman" w:eastAsia="宋体" w:cs="Times New Roman"/>
                <w:color w:val="000000" w:themeColor="text1"/>
                <w:kern w:val="0"/>
                <w:sz w:val="24"/>
                <w:lang w:val="zh-CN"/>
                <w14:textFill>
                  <w14:solidFill>
                    <w14:schemeClr w14:val="tx1"/>
                  </w14:solidFill>
                </w14:textFill>
              </w:rPr>
              <w:t>—i声源在T时段内的运行时间，s。</w:t>
            </w:r>
          </w:p>
          <w:p w14:paraId="44881E7F">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kern w:val="0"/>
                <w:sz w:val="24"/>
                <w:lang w:val="zh-CN"/>
                <w14:textFill>
                  <w14:solidFill>
                    <w14:schemeClr w14:val="tx1"/>
                  </w14:solidFill>
                </w14:textFill>
              </w:rPr>
              <w:t>预测点的预测等效声级（L</w:t>
            </w:r>
            <w:r>
              <w:rPr>
                <w:rFonts w:hint="default" w:ascii="Times New Roman" w:hAnsi="Times New Roman" w:eastAsia="宋体" w:cs="Times New Roman"/>
                <w:color w:val="000000" w:themeColor="text1"/>
                <w:kern w:val="0"/>
                <w:sz w:val="24"/>
                <w:vertAlign w:val="subscript"/>
                <w:lang w:val="zh-CN"/>
                <w14:textFill>
                  <w14:solidFill>
                    <w14:schemeClr w14:val="tx1"/>
                  </w14:solidFill>
                </w14:textFill>
              </w:rPr>
              <w:t>eq</w:t>
            </w:r>
            <w:r>
              <w:rPr>
                <w:rFonts w:hint="default" w:ascii="Times New Roman" w:hAnsi="Times New Roman" w:eastAsia="宋体" w:cs="Times New Roman"/>
                <w:color w:val="000000" w:themeColor="text1"/>
                <w:kern w:val="0"/>
                <w:sz w:val="24"/>
                <w:lang w:val="zh-CN"/>
                <w14:textFill>
                  <w14:solidFill>
                    <w14:schemeClr w14:val="tx1"/>
                  </w14:solidFill>
                </w14:textFill>
              </w:rPr>
              <w:t>）计算公式：</w:t>
            </w:r>
          </w:p>
          <w:p w14:paraId="34BAA0CA">
            <w:pPr>
              <w:keepNext w:val="0"/>
              <w:keepLines w:val="0"/>
              <w:suppressLineNumbers w:val="0"/>
              <w:adjustRightInd w:val="0"/>
              <w:snapToGrid w:val="0"/>
              <w:spacing w:before="0" w:beforeAutospacing="0" w:after="0" w:afterAutospacing="0" w:line="480" w:lineRule="exact"/>
              <w:ind w:left="0" w:right="0" w:firstLine="1680" w:firstLineChars="600"/>
              <w:rPr>
                <w:rFonts w:hint="default" w:ascii="Times New Roman" w:hAnsi="Times New Roman" w:eastAsia="宋体" w:cs="Times New Roman"/>
                <w:color w:val="000000" w:themeColor="text1"/>
                <w:sz w:val="28"/>
                <w14:textFill>
                  <w14:solidFill>
                    <w14:schemeClr w14:val="tx1"/>
                  </w14:solidFill>
                </w14:textFill>
              </w:rPr>
            </w:pPr>
            <w:r>
              <w:rPr>
                <w:rFonts w:hint="default" w:ascii="Times New Roman" w:hAnsi="Times New Roman" w:eastAsia="宋体" w:cs="Times New Roman"/>
                <w:color w:val="000000" w:themeColor="text1"/>
                <w:position w:val="-14"/>
                <w:sz w:val="28"/>
                <w14:textFill>
                  <w14:solidFill>
                    <w14:schemeClr w14:val="tx1"/>
                  </w14:solidFill>
                </w14:textFill>
              </w:rPr>
              <w:object>
                <v:shape id="_x0000_i1027" o:spt="75" type="#_x0000_t75" style="height:21.7pt;width:129.05pt;" o:ole="t" filled="f" o:preferrelative="t" stroked="f" coordsize="21600,21600">
                  <v:path/>
                  <v:fill on="f" focussize="0,0"/>
                  <v:stroke on="f"/>
                  <v:imagedata r:id="rId22" o:title=""/>
                  <o:lock v:ext="edit" aspectratio="t"/>
                  <w10:wrap type="none"/>
                  <w10:anchorlock/>
                </v:shape>
                <o:OLEObject Type="Embed" ProgID="Equation.3" ShapeID="_x0000_i1027" DrawAspect="Content" ObjectID="_1468075729" r:id="rId21">
                  <o:LockedField>false</o:LockedField>
                </o:OLEObject>
              </w:object>
            </w:r>
          </w:p>
          <w:p w14:paraId="4531211E">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式中：L</w:t>
            </w:r>
            <w:r>
              <w:rPr>
                <w:rFonts w:hint="default" w:ascii="Times New Roman" w:hAnsi="Times New Roman" w:eastAsia="宋体" w:cs="Times New Roman"/>
                <w:color w:val="000000" w:themeColor="text1"/>
                <w:sz w:val="24"/>
                <w:vertAlign w:val="subscript"/>
                <w14:textFill>
                  <w14:solidFill>
                    <w14:schemeClr w14:val="tx1"/>
                  </w14:solidFill>
                </w14:textFill>
              </w:rPr>
              <w:t>eqg</w:t>
            </w:r>
            <w:r>
              <w:rPr>
                <w:rFonts w:hint="default" w:ascii="Times New Roman" w:hAnsi="Times New Roman" w:eastAsia="宋体" w:cs="Times New Roman"/>
                <w:color w:val="000000" w:themeColor="text1"/>
                <w:sz w:val="24"/>
                <w14:textFill>
                  <w14:solidFill>
                    <w14:schemeClr w14:val="tx1"/>
                  </w14:solidFill>
                </w14:textFill>
              </w:rPr>
              <w:t>—建设项目声源在预测点的等效声级贡献值，</w:t>
            </w:r>
            <w:r>
              <w:rPr>
                <w:rFonts w:hint="default" w:ascii="Times New Roman" w:hAnsi="Times New Roman" w:eastAsia="宋体" w:cs="Times New Roman"/>
                <w:color w:val="000000" w:themeColor="text1"/>
                <w:kern w:val="0"/>
                <w:sz w:val="24"/>
                <w:lang w:val="zh-CN"/>
                <w14:textFill>
                  <w14:solidFill>
                    <w14:schemeClr w14:val="tx1"/>
                  </w14:solidFill>
                </w14:textFill>
              </w:rPr>
              <w:t>dB(A)；</w:t>
            </w:r>
          </w:p>
          <w:p w14:paraId="0E4BCE1D">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color w:val="000000" w:themeColor="text1"/>
                <w:kern w:val="0"/>
                <w:sz w:val="24"/>
                <w:lang w:val="zh-CN"/>
                <w14:textFill>
                  <w14:solidFill>
                    <w14:schemeClr w14:val="tx1"/>
                  </w14:solidFill>
                </w14:textFill>
              </w:rPr>
              <w:t xml:space="preserve">    </w:t>
            </w:r>
            <w:r>
              <w:rPr>
                <w:rFonts w:hint="default" w:ascii="Times New Roman" w:hAnsi="Times New Roman" w:eastAsia="宋体" w:cs="Times New Roman"/>
                <w:color w:val="000000" w:themeColor="text1"/>
                <w:kern w:val="0"/>
                <w:sz w:val="24"/>
                <w14:textFill>
                  <w14:solidFill>
                    <w14:schemeClr w14:val="tx1"/>
                  </w14:solidFill>
                </w14:textFill>
              </w:rPr>
              <w:t xml:space="preserve">     </w:t>
            </w:r>
            <w:r>
              <w:rPr>
                <w:rFonts w:hint="default" w:ascii="Times New Roman" w:hAnsi="Times New Roman" w:eastAsia="宋体" w:cs="Times New Roman"/>
                <w:color w:val="000000" w:themeColor="text1"/>
                <w:kern w:val="0"/>
                <w:sz w:val="24"/>
                <w:lang w:val="zh-CN"/>
                <w14:textFill>
                  <w14:solidFill>
                    <w14:schemeClr w14:val="tx1"/>
                  </w14:solidFill>
                </w14:textFill>
              </w:rPr>
              <w:t xml:space="preserve"> L</w:t>
            </w:r>
            <w:r>
              <w:rPr>
                <w:rFonts w:hint="default" w:ascii="Times New Roman" w:hAnsi="Times New Roman" w:eastAsia="宋体" w:cs="Times New Roman"/>
                <w:color w:val="000000" w:themeColor="text1"/>
                <w:kern w:val="0"/>
                <w:sz w:val="24"/>
                <w:vertAlign w:val="subscript"/>
                <w:lang w:val="zh-CN"/>
                <w14:textFill>
                  <w14:solidFill>
                    <w14:schemeClr w14:val="tx1"/>
                  </w14:solidFill>
                </w14:textFill>
              </w:rPr>
              <w:t>eqb</w:t>
            </w:r>
            <w:r>
              <w:rPr>
                <w:rFonts w:hint="default" w:ascii="Times New Roman" w:hAnsi="Times New Roman" w:eastAsia="宋体" w:cs="Times New Roman"/>
                <w:color w:val="000000" w:themeColor="text1"/>
                <w:kern w:val="0"/>
                <w:sz w:val="24"/>
                <w:lang w:val="zh-CN"/>
                <w14:textFill>
                  <w14:solidFill>
                    <w14:schemeClr w14:val="tx1"/>
                  </w14:solidFill>
                </w14:textFill>
              </w:rPr>
              <w:t>—预测点的背景值，dB(A)。</w:t>
            </w:r>
          </w:p>
          <w:p w14:paraId="693FAFD3">
            <w:pPr>
              <w:keepNext w:val="0"/>
              <w:keepLines w:val="0"/>
              <w:suppressLineNumbers w:val="0"/>
              <w:spacing w:before="0" w:beforeAutospacing="0" w:after="0" w:afterAutospacing="0" w:line="480" w:lineRule="exact"/>
              <w:ind w:left="0" w:right="0" w:firstLine="482" w:firstLineChars="200"/>
              <w:rPr>
                <w:rFonts w:hint="eastAsia"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4、预测结果</w:t>
            </w:r>
          </w:p>
          <w:p w14:paraId="4B24DB04">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根据预测模式及噪声源强参数及各工段距四周厂界的距离，预测噪声源对厂界四周的影响，</w:t>
            </w:r>
            <w:r>
              <w:rPr>
                <w:rFonts w:hint="default" w:ascii="Times New Roman" w:hAnsi="Times New Roman" w:eastAsia="宋体" w:cs="Times New Roman"/>
                <w:color w:val="000000" w:themeColor="text1"/>
                <w:sz w:val="24"/>
                <w14:textFill>
                  <w14:solidFill>
                    <w14:schemeClr w14:val="tx1"/>
                  </w14:solidFill>
                </w14:textFill>
              </w:rPr>
              <w:t>厂界噪声预测结果见表</w:t>
            </w:r>
            <w:r>
              <w:rPr>
                <w:rFonts w:hint="default" w:ascii="Times New Roman" w:hAnsi="Times New Roman" w:eastAsia="宋体" w:cs="Times New Roman"/>
                <w:color w:val="000000" w:themeColor="text1"/>
                <w:sz w:val="24"/>
                <w:lang w:val="en-US" w:eastAsia="zh-CN"/>
                <w14:textFill>
                  <w14:solidFill>
                    <w14:schemeClr w14:val="tx1"/>
                  </w14:solidFill>
                </w14:textFill>
              </w:rPr>
              <w:t>4-1</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w:t>
            </w:r>
          </w:p>
          <w:p w14:paraId="0FC8F3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w:t>
            </w:r>
            <w:r>
              <w:rPr>
                <w:rFonts w:hint="default" w:ascii="Times New Roman" w:hAnsi="Times New Roman" w:eastAsia="宋体" w:cs="Times New Roman"/>
                <w:b/>
                <w:color w:val="000000" w:themeColor="text1"/>
                <w:sz w:val="24"/>
                <w:lang w:val="en-US" w:eastAsia="zh-CN"/>
                <w14:textFill>
                  <w14:solidFill>
                    <w14:schemeClr w14:val="tx1"/>
                  </w14:solidFill>
                </w14:textFill>
              </w:rPr>
              <w:t>4-1</w:t>
            </w:r>
            <w:r>
              <w:rPr>
                <w:rFonts w:hint="eastAsia" w:cs="Times New Roman"/>
                <w:b/>
                <w:color w:val="000000" w:themeColor="text1"/>
                <w:sz w:val="24"/>
                <w:lang w:val="en-US" w:eastAsia="zh-CN"/>
                <w14:textFill>
                  <w14:solidFill>
                    <w14:schemeClr w14:val="tx1"/>
                  </w14:solidFill>
                </w14:textFill>
              </w:rPr>
              <w:t>5</w:t>
            </w:r>
            <w:r>
              <w:rPr>
                <w:rFonts w:hint="default" w:ascii="Times New Roman" w:hAnsi="Times New Roman" w:eastAsia="宋体" w:cs="Times New Roman"/>
                <w:b/>
                <w:color w:val="000000" w:themeColor="text1"/>
                <w:sz w:val="24"/>
                <w14:textFill>
                  <w14:solidFill>
                    <w14:schemeClr w14:val="tx1"/>
                  </w14:solidFill>
                </w14:textFill>
              </w:rPr>
              <w:t xml:space="preserve">  噪声预测结果一览表</w:t>
            </w:r>
          </w:p>
          <w:tbl>
            <w:tblPr>
              <w:tblStyle w:val="33"/>
              <w:tblW w:w="493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71"/>
              <w:gridCol w:w="2299"/>
              <w:gridCol w:w="3573"/>
              <w:gridCol w:w="1425"/>
            </w:tblGrid>
            <w:tr w14:paraId="2C36340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91" w:type="pct"/>
                  <w:vMerge w:val="restart"/>
                  <w:tcBorders>
                    <w:tl2br w:val="nil"/>
                    <w:tr2bl w:val="nil"/>
                  </w:tcBorders>
                  <w:noWrap w:val="0"/>
                  <w:vAlign w:val="center"/>
                </w:tcPr>
                <w:p w14:paraId="33FB42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预测方位</w:t>
                  </w:r>
                </w:p>
              </w:tc>
              <w:tc>
                <w:tcPr>
                  <w:tcW w:w="1357" w:type="pct"/>
                  <w:vMerge w:val="restart"/>
                  <w:tcBorders>
                    <w:tl2br w:val="nil"/>
                    <w:tr2bl w:val="nil"/>
                  </w:tcBorders>
                  <w:noWrap w:val="0"/>
                  <w:vAlign w:val="center"/>
                </w:tcPr>
                <w:p w14:paraId="5EAD29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贡献值</w:t>
                  </w:r>
                </w:p>
                <w:p w14:paraId="1AEC58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（dB(A)）</w:t>
                  </w:r>
                </w:p>
              </w:tc>
              <w:tc>
                <w:tcPr>
                  <w:tcW w:w="2109" w:type="pct"/>
                  <w:tcBorders>
                    <w:tl2br w:val="nil"/>
                    <w:tr2bl w:val="nil"/>
                  </w:tcBorders>
                  <w:noWrap w:val="0"/>
                  <w:vAlign w:val="center"/>
                </w:tcPr>
                <w:p w14:paraId="044974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标准限值（dB(A)）</w:t>
                  </w:r>
                </w:p>
              </w:tc>
              <w:tc>
                <w:tcPr>
                  <w:tcW w:w="841" w:type="pct"/>
                  <w:vMerge w:val="restart"/>
                  <w:tcBorders>
                    <w:tl2br w:val="nil"/>
                    <w:tr2bl w:val="nil"/>
                  </w:tcBorders>
                  <w:noWrap w:val="0"/>
                  <w:vAlign w:val="center"/>
                </w:tcPr>
                <w:p w14:paraId="4B82E8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达标情况</w:t>
                  </w:r>
                </w:p>
              </w:tc>
            </w:tr>
            <w:tr w14:paraId="26EA3D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91" w:type="pct"/>
                  <w:vMerge w:val="continue"/>
                  <w:tcBorders>
                    <w:tl2br w:val="nil"/>
                    <w:tr2bl w:val="nil"/>
                  </w:tcBorders>
                  <w:noWrap w:val="0"/>
                  <w:vAlign w:val="center"/>
                </w:tcPr>
                <w:p w14:paraId="423EE1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c>
                <w:tcPr>
                  <w:tcW w:w="1357" w:type="pct"/>
                  <w:vMerge w:val="continue"/>
                  <w:tcBorders>
                    <w:tl2br w:val="nil"/>
                    <w:tr2bl w:val="nil"/>
                  </w:tcBorders>
                  <w:noWrap w:val="0"/>
                  <w:vAlign w:val="center"/>
                </w:tcPr>
                <w:p w14:paraId="00085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c>
                <w:tcPr>
                  <w:tcW w:w="2109" w:type="pct"/>
                  <w:tcBorders>
                    <w:tl2br w:val="nil"/>
                    <w:tr2bl w:val="nil"/>
                  </w:tcBorders>
                  <w:noWrap w:val="0"/>
                  <w:vAlign w:val="center"/>
                </w:tcPr>
                <w:p w14:paraId="37E899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昼间</w:t>
                  </w:r>
                </w:p>
              </w:tc>
              <w:tc>
                <w:tcPr>
                  <w:tcW w:w="841" w:type="pct"/>
                  <w:vMerge w:val="continue"/>
                  <w:tcBorders>
                    <w:tl2br w:val="nil"/>
                    <w:tr2bl w:val="nil"/>
                  </w:tcBorders>
                  <w:noWrap w:val="0"/>
                  <w:vAlign w:val="center"/>
                </w:tcPr>
                <w:p w14:paraId="71A205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14:paraId="42F4A7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91" w:type="pct"/>
                  <w:tcBorders>
                    <w:tl2br w:val="nil"/>
                    <w:tr2bl w:val="nil"/>
                  </w:tcBorders>
                  <w:noWrap w:val="0"/>
                  <w:vAlign w:val="center"/>
                </w:tcPr>
                <w:p w14:paraId="32C0C6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东侧</w:t>
                  </w:r>
                </w:p>
              </w:tc>
              <w:tc>
                <w:tcPr>
                  <w:tcW w:w="1357" w:type="pct"/>
                  <w:tcBorders>
                    <w:tl2br w:val="nil"/>
                    <w:tr2bl w:val="nil"/>
                  </w:tcBorders>
                  <w:noWrap w:val="0"/>
                  <w:vAlign w:val="center"/>
                </w:tcPr>
                <w:p w14:paraId="78F29CA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40</w:t>
                  </w:r>
                </w:p>
              </w:tc>
              <w:tc>
                <w:tcPr>
                  <w:tcW w:w="2109" w:type="pct"/>
                  <w:tcBorders>
                    <w:tl2br w:val="nil"/>
                    <w:tr2bl w:val="nil"/>
                  </w:tcBorders>
                  <w:noWrap w:val="0"/>
                  <w:vAlign w:val="center"/>
                </w:tcPr>
                <w:p w14:paraId="77B9A3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65</w:t>
                  </w:r>
                </w:p>
              </w:tc>
              <w:tc>
                <w:tcPr>
                  <w:tcW w:w="841" w:type="pct"/>
                  <w:tcBorders>
                    <w:tl2br w:val="nil"/>
                    <w:tr2bl w:val="nil"/>
                  </w:tcBorders>
                  <w:noWrap w:val="0"/>
                  <w:vAlign w:val="center"/>
                </w:tcPr>
                <w:p w14:paraId="7F4AC6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tc>
            </w:tr>
            <w:tr w14:paraId="6DB372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91" w:type="pct"/>
                  <w:tcBorders>
                    <w:tl2br w:val="nil"/>
                    <w:tr2bl w:val="nil"/>
                  </w:tcBorders>
                  <w:noWrap w:val="0"/>
                  <w:vAlign w:val="center"/>
                </w:tcPr>
                <w:p w14:paraId="453523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南侧</w:t>
                  </w:r>
                </w:p>
              </w:tc>
              <w:tc>
                <w:tcPr>
                  <w:tcW w:w="1357" w:type="pct"/>
                  <w:tcBorders>
                    <w:tl2br w:val="nil"/>
                    <w:tr2bl w:val="nil"/>
                  </w:tcBorders>
                  <w:noWrap w:val="0"/>
                  <w:vAlign w:val="center"/>
                </w:tcPr>
                <w:p w14:paraId="16FFDA0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46</w:t>
                  </w:r>
                </w:p>
              </w:tc>
              <w:tc>
                <w:tcPr>
                  <w:tcW w:w="2109" w:type="pct"/>
                  <w:tcBorders>
                    <w:tl2br w:val="nil"/>
                    <w:tr2bl w:val="nil"/>
                  </w:tcBorders>
                  <w:noWrap w:val="0"/>
                  <w:vAlign w:val="center"/>
                </w:tcPr>
                <w:p w14:paraId="081C07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65</w:t>
                  </w:r>
                </w:p>
              </w:tc>
              <w:tc>
                <w:tcPr>
                  <w:tcW w:w="841" w:type="pct"/>
                  <w:tcBorders>
                    <w:tl2br w:val="nil"/>
                    <w:tr2bl w:val="nil"/>
                  </w:tcBorders>
                  <w:noWrap w:val="0"/>
                  <w:vAlign w:val="center"/>
                </w:tcPr>
                <w:p w14:paraId="49684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tc>
            </w:tr>
            <w:tr w14:paraId="405602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91" w:type="pct"/>
                  <w:tcBorders>
                    <w:tl2br w:val="nil"/>
                    <w:tr2bl w:val="nil"/>
                  </w:tcBorders>
                  <w:noWrap w:val="0"/>
                  <w:vAlign w:val="center"/>
                </w:tcPr>
                <w:p w14:paraId="0F6132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西侧</w:t>
                  </w:r>
                </w:p>
              </w:tc>
              <w:tc>
                <w:tcPr>
                  <w:tcW w:w="1357" w:type="pct"/>
                  <w:tcBorders>
                    <w:tl2br w:val="nil"/>
                    <w:tr2bl w:val="nil"/>
                  </w:tcBorders>
                  <w:noWrap w:val="0"/>
                  <w:vAlign w:val="center"/>
                </w:tcPr>
                <w:p w14:paraId="1BCDC53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46</w:t>
                  </w:r>
                </w:p>
              </w:tc>
              <w:tc>
                <w:tcPr>
                  <w:tcW w:w="2109" w:type="pct"/>
                  <w:tcBorders>
                    <w:tl2br w:val="nil"/>
                    <w:tr2bl w:val="nil"/>
                  </w:tcBorders>
                  <w:noWrap w:val="0"/>
                  <w:vAlign w:val="center"/>
                </w:tcPr>
                <w:p w14:paraId="7EFB61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65</w:t>
                  </w:r>
                </w:p>
              </w:tc>
              <w:tc>
                <w:tcPr>
                  <w:tcW w:w="841" w:type="pct"/>
                  <w:tcBorders>
                    <w:tl2br w:val="nil"/>
                    <w:tr2bl w:val="nil"/>
                  </w:tcBorders>
                  <w:noWrap w:val="0"/>
                  <w:vAlign w:val="center"/>
                </w:tcPr>
                <w:p w14:paraId="78285B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tc>
            </w:tr>
            <w:tr w14:paraId="070019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91" w:type="pct"/>
                  <w:tcBorders>
                    <w:tl2br w:val="nil"/>
                    <w:tr2bl w:val="nil"/>
                  </w:tcBorders>
                  <w:noWrap w:val="0"/>
                  <w:vAlign w:val="center"/>
                </w:tcPr>
                <w:p w14:paraId="468229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北侧</w:t>
                  </w:r>
                </w:p>
              </w:tc>
              <w:tc>
                <w:tcPr>
                  <w:tcW w:w="1357" w:type="pct"/>
                  <w:tcBorders>
                    <w:tl2br w:val="nil"/>
                    <w:tr2bl w:val="nil"/>
                  </w:tcBorders>
                  <w:noWrap w:val="0"/>
                  <w:vAlign w:val="center"/>
                </w:tcPr>
                <w:p w14:paraId="158E7D3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46</w:t>
                  </w:r>
                </w:p>
              </w:tc>
              <w:tc>
                <w:tcPr>
                  <w:tcW w:w="2109" w:type="pct"/>
                  <w:tcBorders>
                    <w:tl2br w:val="nil"/>
                    <w:tr2bl w:val="nil"/>
                  </w:tcBorders>
                  <w:noWrap w:val="0"/>
                  <w:vAlign w:val="center"/>
                </w:tcPr>
                <w:p w14:paraId="4641E1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65</w:t>
                  </w:r>
                </w:p>
              </w:tc>
              <w:tc>
                <w:tcPr>
                  <w:tcW w:w="841" w:type="pct"/>
                  <w:tcBorders>
                    <w:tl2br w:val="nil"/>
                    <w:tr2bl w:val="nil"/>
                  </w:tcBorders>
                  <w:noWrap w:val="0"/>
                  <w:vAlign w:val="center"/>
                </w:tcPr>
                <w:p w14:paraId="58CFE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tc>
            </w:tr>
          </w:tbl>
          <w:p w14:paraId="52AE932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项目</w:t>
            </w:r>
            <w:bookmarkStart w:id="162" w:name="_Hlk184974103"/>
            <w:r>
              <w:rPr>
                <w:rFonts w:hint="default" w:ascii="Times New Roman" w:hAnsi="Times New Roman" w:eastAsia="宋体" w:cs="Times New Roman"/>
                <w:bCs/>
                <w:color w:val="000000" w:themeColor="text1"/>
                <w:sz w:val="24"/>
                <w14:textFill>
                  <w14:solidFill>
                    <w14:schemeClr w14:val="tx1"/>
                  </w14:solidFill>
                </w14:textFill>
              </w:rPr>
              <w:t>为最大限度减少噪声对区域声环境质量的影响，主要噪声防治措施如下：</w:t>
            </w:r>
          </w:p>
          <w:bookmarkEnd w:id="162"/>
          <w:p w14:paraId="262AB9F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bookmarkStart w:id="163" w:name="_Hlk184974140"/>
            <w:r>
              <w:rPr>
                <w:rFonts w:hint="default" w:ascii="Times New Roman" w:hAnsi="Times New Roman" w:eastAsia="宋体" w:cs="Times New Roman"/>
                <w:bCs/>
                <w:color w:val="000000" w:themeColor="text1"/>
                <w:sz w:val="24"/>
                <w14:textFill>
                  <w14:solidFill>
                    <w14:schemeClr w14:val="tx1"/>
                  </w14:solidFill>
                </w14:textFill>
              </w:rPr>
              <w:t>（1）项目需将产噪设备布置在全封闭的厂房内；</w:t>
            </w:r>
          </w:p>
          <w:p w14:paraId="1B7A59A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（2）设备选购噪声低的设备，安装时对产噪设备安装减振垫；</w:t>
            </w:r>
          </w:p>
          <w:p w14:paraId="7A68033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（3）对产噪设备定期进行保养，对老化和性能降低的旧设备及时更换，杜绝因设备不正常运转而产生高噪声现象；</w:t>
            </w:r>
          </w:p>
          <w:p w14:paraId="280E002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（4）生产厂房破损后要及时修复；</w:t>
            </w:r>
          </w:p>
          <w:p w14:paraId="46AE087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（5）进出厂区车辆实行减速、禁鸣等措施。</w:t>
            </w:r>
          </w:p>
          <w:bookmarkEnd w:id="163"/>
          <w:p w14:paraId="7220C64B">
            <w:pPr>
              <w:pStyle w:val="18"/>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通过采取上述控制措施后，本项目贡献值可满足</w:t>
            </w:r>
            <w:r>
              <w:rPr>
                <w:rFonts w:hint="default" w:ascii="Times New Roman" w:hAnsi="Times New Roman" w:eastAsia="宋体" w:cs="Times New Roman"/>
                <w:color w:val="000000" w:themeColor="text1"/>
                <w:sz w:val="24"/>
                <w14:textFill>
                  <w14:solidFill>
                    <w14:schemeClr w14:val="tx1"/>
                  </w14:solidFill>
                </w14:textFill>
              </w:rPr>
              <w:t>《工业企业厂界环境噪声排放标准》(GB12348-2008)中的3类标准要求，</w:t>
            </w:r>
            <w:r>
              <w:rPr>
                <w:rFonts w:hint="default" w:ascii="Times New Roman" w:hAnsi="Times New Roman" w:eastAsia="宋体" w:cs="Times New Roman"/>
                <w:bCs/>
                <w:color w:val="000000" w:themeColor="text1"/>
                <w:sz w:val="24"/>
                <w14:textFill>
                  <w14:solidFill>
                    <w14:schemeClr w14:val="tx1"/>
                  </w14:solidFill>
                </w14:textFill>
              </w:rPr>
              <w:t>项目</w:t>
            </w:r>
            <w:bookmarkStart w:id="164" w:name="_Hlk184974082"/>
            <w:r>
              <w:rPr>
                <w:rFonts w:hint="default" w:ascii="Times New Roman" w:hAnsi="Times New Roman" w:eastAsia="宋体" w:cs="Times New Roman"/>
                <w:color w:val="000000" w:themeColor="text1"/>
                <w:sz w:val="24"/>
                <w14:textFill>
                  <w14:solidFill>
                    <w14:schemeClr w14:val="tx1"/>
                  </w14:solidFill>
                </w14:textFill>
              </w:rPr>
              <w:t>厂界噪声可满足《工业企业厂界环境噪声排放标准》(GB12348-2008)中的3类标准。</w:t>
            </w:r>
            <w:bookmarkEnd w:id="164"/>
          </w:p>
          <w:p w14:paraId="6048E641">
            <w:pPr>
              <w:keepNext/>
              <w:keepLines w:val="0"/>
              <w:widowControl/>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val="0"/>
                <w:color w:val="000000" w:themeColor="text1"/>
                <w:sz w:val="24"/>
                <w14:textFill>
                  <w14:solidFill>
                    <w14:schemeClr w14:val="tx1"/>
                  </w14:solidFill>
                </w14:textFill>
              </w:rPr>
            </w:pPr>
            <w:r>
              <w:rPr>
                <w:rFonts w:hint="eastAsia" w:cs="Times New Roman"/>
                <w:b/>
                <w:bCs w:val="0"/>
                <w:color w:val="000000" w:themeColor="text1"/>
                <w:sz w:val="24"/>
                <w:lang w:val="en-US" w:eastAsia="zh-CN"/>
                <w14:textFill>
                  <w14:solidFill>
                    <w14:schemeClr w14:val="tx1"/>
                  </w14:solidFill>
                </w14:textFill>
              </w:rPr>
              <w:t>5、</w:t>
            </w:r>
            <w:r>
              <w:rPr>
                <w:rFonts w:hint="default" w:ascii="Times New Roman" w:hAnsi="Times New Roman" w:eastAsia="宋体" w:cs="Times New Roman"/>
                <w:b/>
                <w:bCs w:val="0"/>
                <w:color w:val="000000" w:themeColor="text1"/>
                <w:sz w:val="24"/>
                <w14:textFill>
                  <w14:solidFill>
                    <w14:schemeClr w14:val="tx1"/>
                  </w14:solidFill>
                </w14:textFill>
              </w:rPr>
              <w:t>噪声源监测计划</w:t>
            </w:r>
          </w:p>
          <w:p w14:paraId="10E60329">
            <w:pPr>
              <w:keepNext/>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根据《排污单位自行监测技术指南 总则》（HJ819-2017）</w:t>
            </w:r>
            <w:r>
              <w:rPr>
                <w:rFonts w:hint="eastAsia" w:cs="Times New Roman"/>
                <w:bCs/>
                <w:color w:val="000000" w:themeColor="text1"/>
                <w:sz w:val="24"/>
                <w:lang w:eastAsia="zh-CN"/>
                <w14:textFill>
                  <w14:solidFill>
                    <w14:schemeClr w14:val="tx1"/>
                  </w14:solidFill>
                </w14:textFill>
              </w:rPr>
              <w:t>及</w:t>
            </w:r>
            <w:r>
              <w:rPr>
                <w:rFonts w:hint="default" w:ascii="Times New Roman" w:hAnsi="Times New Roman" w:eastAsia="宋体" w:cs="Times New Roman"/>
                <w:bCs/>
                <w:color w:val="000000" w:themeColor="text1"/>
                <w:sz w:val="24"/>
                <w:lang w:val="en-US" w:eastAsia="zh-CN"/>
                <w14:textFill>
                  <w14:solidFill>
                    <w14:schemeClr w14:val="tx1"/>
                  </w14:solidFill>
                </w14:textFill>
              </w:rPr>
              <w:t>《排污许可证申请与核发技术规范 工业噪声》（HJ 1301-2023）</w:t>
            </w:r>
            <w:r>
              <w:rPr>
                <w:rFonts w:hint="default" w:ascii="Times New Roman" w:hAnsi="Times New Roman" w:eastAsia="宋体" w:cs="Times New Roman"/>
                <w:bCs/>
                <w:color w:val="000000" w:themeColor="text1"/>
                <w:sz w:val="24"/>
                <w14:textFill>
                  <w14:solidFill>
                    <w14:schemeClr w14:val="tx1"/>
                  </w14:solidFill>
                </w14:textFill>
              </w:rPr>
              <w:t>企业自行监测要求，制定噪声污染物监测计划见表</w:t>
            </w:r>
            <w:r>
              <w:rPr>
                <w:rFonts w:hint="default" w:ascii="Times New Roman" w:hAnsi="Times New Roman" w:eastAsia="宋体" w:cs="Times New Roman"/>
                <w:bCs/>
                <w:color w:val="000000" w:themeColor="text1"/>
                <w:sz w:val="24"/>
                <w:lang w:val="en-US" w:eastAsia="zh-CN"/>
                <w14:textFill>
                  <w14:solidFill>
                    <w14:schemeClr w14:val="tx1"/>
                  </w14:solidFill>
                </w14:textFill>
              </w:rPr>
              <w:t>4-1</w:t>
            </w:r>
            <w:r>
              <w:rPr>
                <w:rFonts w:hint="eastAsia" w:cs="Times New Roman"/>
                <w:bCs/>
                <w:color w:val="000000" w:themeColor="text1"/>
                <w:sz w:val="24"/>
                <w:lang w:val="en-US" w:eastAsia="zh-CN"/>
                <w14:textFill>
                  <w14:solidFill>
                    <w14:schemeClr w14:val="tx1"/>
                  </w14:solidFill>
                </w14:textFill>
              </w:rPr>
              <w:t>6</w:t>
            </w:r>
            <w:r>
              <w:rPr>
                <w:rFonts w:hint="default" w:ascii="Times New Roman" w:hAnsi="Times New Roman" w:eastAsia="宋体" w:cs="Times New Roman"/>
                <w:bCs/>
                <w:color w:val="000000" w:themeColor="text1"/>
                <w:sz w:val="24"/>
                <w14:textFill>
                  <w14:solidFill>
                    <w14:schemeClr w14:val="tx1"/>
                  </w14:solidFill>
                </w14:textFill>
              </w:rPr>
              <w:t>。</w:t>
            </w:r>
          </w:p>
          <w:p w14:paraId="77CF261A">
            <w:pPr>
              <w:keepNext/>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w:t>
            </w:r>
            <w:r>
              <w:rPr>
                <w:rFonts w:hint="default" w:ascii="Times New Roman" w:hAnsi="Times New Roman" w:eastAsia="宋体" w:cs="Times New Roman"/>
                <w:b/>
                <w:color w:val="000000" w:themeColor="text1"/>
                <w:sz w:val="24"/>
                <w:lang w:val="en-US" w:eastAsia="zh-CN"/>
                <w14:textFill>
                  <w14:solidFill>
                    <w14:schemeClr w14:val="tx1"/>
                  </w14:solidFill>
                </w14:textFill>
              </w:rPr>
              <w:t>4-1</w:t>
            </w:r>
            <w:r>
              <w:rPr>
                <w:rFonts w:hint="eastAsia" w:cs="Times New Roman"/>
                <w:b/>
                <w:color w:val="000000" w:themeColor="text1"/>
                <w:sz w:val="24"/>
                <w:lang w:val="en-US" w:eastAsia="zh-CN"/>
                <w14:textFill>
                  <w14:solidFill>
                    <w14:schemeClr w14:val="tx1"/>
                  </w14:solidFill>
                </w14:textFill>
              </w:rPr>
              <w:t>6</w:t>
            </w:r>
            <w:r>
              <w:rPr>
                <w:rFonts w:hint="default" w:ascii="Times New Roman" w:hAnsi="Times New Roman" w:eastAsia="宋体" w:cs="Times New Roman"/>
                <w:b/>
                <w:color w:val="000000" w:themeColor="text1"/>
                <w:sz w:val="24"/>
                <w14:textFill>
                  <w14:solidFill>
                    <w14:schemeClr w14:val="tx1"/>
                  </w14:solidFill>
                </w14:textFill>
              </w:rPr>
              <w:t xml:space="preserve">  噪声污染源监测计划表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570"/>
              <w:gridCol w:w="1036"/>
              <w:gridCol w:w="1069"/>
              <w:gridCol w:w="1481"/>
              <w:gridCol w:w="3838"/>
            </w:tblGrid>
            <w:tr w14:paraId="69261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44" w:type="pct"/>
                  <w:tcBorders>
                    <w:tl2br w:val="nil"/>
                    <w:tr2bl w:val="nil"/>
                  </w:tcBorders>
                  <w:noWrap w:val="0"/>
                  <w:vAlign w:val="center"/>
                </w:tcPr>
                <w:p w14:paraId="2B6757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序号</w:t>
                  </w:r>
                </w:p>
              </w:tc>
              <w:tc>
                <w:tcPr>
                  <w:tcW w:w="332" w:type="pct"/>
                  <w:tcBorders>
                    <w:tl2br w:val="nil"/>
                    <w:tr2bl w:val="nil"/>
                  </w:tcBorders>
                  <w:noWrap w:val="0"/>
                  <w:vAlign w:val="center"/>
                </w:tcPr>
                <w:p w14:paraId="4F05B7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类别</w:t>
                  </w:r>
                </w:p>
              </w:tc>
              <w:tc>
                <w:tcPr>
                  <w:tcW w:w="603" w:type="pct"/>
                  <w:tcBorders>
                    <w:tl2br w:val="nil"/>
                    <w:tr2bl w:val="nil"/>
                  </w:tcBorders>
                  <w:noWrap w:val="0"/>
                  <w:vAlign w:val="center"/>
                </w:tcPr>
                <w:p w14:paraId="32896C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监测位置</w:t>
                  </w:r>
                </w:p>
              </w:tc>
              <w:tc>
                <w:tcPr>
                  <w:tcW w:w="622" w:type="pct"/>
                  <w:tcBorders>
                    <w:tl2br w:val="nil"/>
                    <w:tr2bl w:val="nil"/>
                  </w:tcBorders>
                  <w:noWrap w:val="0"/>
                  <w:vAlign w:val="center"/>
                </w:tcPr>
                <w:p w14:paraId="0A2B2B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监测因子</w:t>
                  </w:r>
                </w:p>
              </w:tc>
              <w:tc>
                <w:tcPr>
                  <w:tcW w:w="862" w:type="pct"/>
                  <w:tcBorders>
                    <w:tl2br w:val="nil"/>
                    <w:tr2bl w:val="nil"/>
                  </w:tcBorders>
                  <w:noWrap w:val="0"/>
                  <w:vAlign w:val="center"/>
                </w:tcPr>
                <w:p w14:paraId="6D2560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最低监测频率</w:t>
                  </w:r>
                </w:p>
              </w:tc>
              <w:tc>
                <w:tcPr>
                  <w:tcW w:w="2234" w:type="pct"/>
                  <w:tcBorders>
                    <w:tl2br w:val="nil"/>
                    <w:tr2bl w:val="nil"/>
                  </w:tcBorders>
                  <w:noWrap w:val="0"/>
                  <w:vAlign w:val="center"/>
                </w:tcPr>
                <w:p w14:paraId="14F24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执行标准</w:t>
                  </w:r>
                </w:p>
              </w:tc>
            </w:tr>
            <w:tr w14:paraId="1E4B19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44" w:type="pct"/>
                  <w:tcBorders>
                    <w:tl2br w:val="nil"/>
                    <w:tr2bl w:val="nil"/>
                  </w:tcBorders>
                  <w:noWrap w:val="0"/>
                  <w:vAlign w:val="center"/>
                </w:tcPr>
                <w:p w14:paraId="544C4B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w:t>
                  </w:r>
                </w:p>
              </w:tc>
              <w:tc>
                <w:tcPr>
                  <w:tcW w:w="332" w:type="pct"/>
                  <w:tcBorders>
                    <w:tl2br w:val="nil"/>
                    <w:tr2bl w:val="nil"/>
                  </w:tcBorders>
                  <w:noWrap w:val="0"/>
                  <w:vAlign w:val="center"/>
                </w:tcPr>
                <w:p w14:paraId="0AB7FF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噪声</w:t>
                  </w:r>
                </w:p>
              </w:tc>
              <w:tc>
                <w:tcPr>
                  <w:tcW w:w="603" w:type="pct"/>
                  <w:tcBorders>
                    <w:tl2br w:val="nil"/>
                    <w:tr2bl w:val="nil"/>
                  </w:tcBorders>
                  <w:noWrap w:val="0"/>
                  <w:vAlign w:val="center"/>
                </w:tcPr>
                <w:p w14:paraId="6D86CF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厂界</w:t>
                  </w:r>
                </w:p>
              </w:tc>
              <w:tc>
                <w:tcPr>
                  <w:tcW w:w="622" w:type="pct"/>
                  <w:tcBorders>
                    <w:tl2br w:val="nil"/>
                    <w:tr2bl w:val="nil"/>
                  </w:tcBorders>
                  <w:noWrap w:val="0"/>
                  <w:vAlign w:val="center"/>
                </w:tcPr>
                <w:p w14:paraId="2A25B9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L</w:t>
                  </w:r>
                  <w:r>
                    <w:rPr>
                      <w:rFonts w:hint="default" w:ascii="Times New Roman" w:hAnsi="Times New Roman" w:eastAsia="宋体" w:cs="Times New Roman"/>
                      <w:color w:val="000000" w:themeColor="text1"/>
                      <w:szCs w:val="21"/>
                      <w:vertAlign w:val="subscript"/>
                      <w14:textFill>
                        <w14:solidFill>
                          <w14:schemeClr w14:val="tx1"/>
                        </w14:solidFill>
                      </w14:textFill>
                    </w:rPr>
                    <w:t>Aeq</w:t>
                  </w:r>
                </w:p>
              </w:tc>
              <w:tc>
                <w:tcPr>
                  <w:tcW w:w="862" w:type="pct"/>
                  <w:tcBorders>
                    <w:tl2br w:val="nil"/>
                    <w:tr2bl w:val="nil"/>
                  </w:tcBorders>
                  <w:noWrap w:val="0"/>
                  <w:vAlign w:val="center"/>
                </w:tcPr>
                <w:p w14:paraId="56323B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1季度/次</w:t>
                  </w:r>
                </w:p>
              </w:tc>
              <w:tc>
                <w:tcPr>
                  <w:tcW w:w="2234" w:type="pct"/>
                  <w:tcBorders>
                    <w:tl2br w:val="nil"/>
                    <w:tr2bl w:val="nil"/>
                  </w:tcBorders>
                  <w:noWrap w:val="0"/>
                  <w:vAlign w:val="center"/>
                </w:tcPr>
                <w:p w14:paraId="03A30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《工业企业厂界环境噪声排放标准》（GB12348-2008）3类标准</w:t>
                  </w:r>
                </w:p>
              </w:tc>
            </w:tr>
          </w:tbl>
          <w:p w14:paraId="1F183DD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eastAsia"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因此，该项目运营过程中产生的噪声不会对周围声环境产生明显影响</w:t>
            </w:r>
            <w:r>
              <w:rPr>
                <w:rFonts w:hint="eastAsia" w:cs="Times New Roman"/>
                <w:color w:val="000000" w:themeColor="text1"/>
                <w:sz w:val="24"/>
                <w:lang w:eastAsia="zh-CN"/>
                <w14:textFill>
                  <w14:solidFill>
                    <w14:schemeClr w14:val="tx1"/>
                  </w14:solidFill>
                </w14:textFill>
              </w:rPr>
              <w:t>。</w:t>
            </w:r>
          </w:p>
          <w:p w14:paraId="55B6521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四、固体废物影响分析</w:t>
            </w:r>
          </w:p>
          <w:p w14:paraId="395CEF4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1、项目固废产生量</w:t>
            </w:r>
          </w:p>
          <w:p w14:paraId="155B897E">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本项目</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一般工业固体废物</w:t>
            </w:r>
          </w:p>
          <w:p w14:paraId="3FDC4D4C">
            <w:pPr>
              <w:keepNext w:val="0"/>
              <w:keepLines w:val="0"/>
              <w:widowControl/>
              <w:suppressLineNumbers w:val="0"/>
              <w:tabs>
                <w:tab w:val="left" w:pos="377"/>
              </w:tabs>
              <w:spacing w:before="0" w:beforeAutospacing="0" w:after="0" w:afterAutospacing="0" w:line="360" w:lineRule="auto"/>
              <w:ind w:left="0" w:right="0"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1</w:t>
            </w:r>
            <w:r>
              <w:rPr>
                <w:rFonts w:hint="eastAsia" w:cs="Times New Roman"/>
                <w:b w:val="0"/>
                <w:bCs w:val="0"/>
                <w:color w:val="000000" w:themeColor="text1"/>
                <w:sz w:val="24"/>
                <w:szCs w:val="24"/>
                <w:lang w:val="en-US" w:eastAsia="zh-CN"/>
                <w14:textFill>
                  <w14:solidFill>
                    <w14:schemeClr w14:val="tx1"/>
                  </w14:solidFill>
                </w14:textFill>
              </w:rPr>
              <w:t>)废包装材料</w:t>
            </w:r>
          </w:p>
          <w:p w14:paraId="1F1A1620">
            <w:pPr>
              <w:keepNext w:val="0"/>
              <w:keepLines w:val="0"/>
              <w:widowControl/>
              <w:suppressLineNumbers w:val="0"/>
              <w:tabs>
                <w:tab w:val="left" w:pos="377"/>
              </w:tabs>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cs="Times New Roman"/>
                <w:color w:val="000000" w:themeColor="text1"/>
                <w:sz w:val="24"/>
                <w:szCs w:val="24"/>
                <w:lang w:val="en-US" w:eastAsia="zh-CN"/>
                <w14:textFill>
                  <w14:solidFill>
                    <w14:schemeClr w14:val="tx1"/>
                  </w14:solidFill>
                </w14:textFill>
              </w:rPr>
              <w:t>生产过程会产生废包装材料</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，产生量约为</w:t>
            </w:r>
            <w:r>
              <w:rPr>
                <w:rFonts w:hint="eastAsia" w:cs="Times New Roman"/>
                <w:color w:val="000000" w:themeColor="text1"/>
                <w:sz w:val="24"/>
                <w:szCs w:val="24"/>
                <w:lang w:val="en-US" w:eastAsia="zh-CN"/>
                <w14:textFill>
                  <w14:solidFill>
                    <w14:schemeClr w14:val="tx1"/>
                  </w14:solidFill>
                </w14:textFill>
              </w:rPr>
              <w:t>0.5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b w:val="0"/>
                <w:bCs w:val="0"/>
                <w:color w:val="000000" w:themeColor="text1"/>
                <w:sz w:val="24"/>
                <w:szCs w:val="24"/>
                <w:lang w:val="en-US" w:eastAsia="zh-CN"/>
                <w14:textFill>
                  <w14:solidFill>
                    <w14:schemeClr w14:val="tx1"/>
                  </w14:solidFill>
                </w14:textFill>
              </w:rPr>
              <w:t>收集后外售综合利用。</w:t>
            </w:r>
          </w:p>
          <w:p w14:paraId="4F3A430D">
            <w:pPr>
              <w:keepNext w:val="0"/>
              <w:keepLines w:val="0"/>
              <w:pageBreakBefore w:val="0"/>
              <w:widowControl/>
              <w:numPr>
                <w:ilvl w:val="0"/>
                <w:numId w:val="7"/>
              </w:numPr>
              <w:suppressLineNumbers w:val="0"/>
              <w:tabs>
                <w:tab w:val="left" w:pos="377"/>
                <w:tab w:val="clear" w:pos="312"/>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不合格品</w:t>
            </w:r>
          </w:p>
          <w:p w14:paraId="0E449C4E">
            <w:pPr>
              <w:keepNext w:val="0"/>
              <w:keepLines w:val="0"/>
              <w:pageBreakBefore w:val="0"/>
              <w:widowControl/>
              <w:suppressLineNumbers w:val="0"/>
              <w:tabs>
                <w:tab w:val="left" w:pos="377"/>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本项目面筋制品生产过程中会产生部分不合格产品，产生量为0.1t/a，收集后存放一般固废暂存间，定期外售综合利用。</w:t>
            </w:r>
          </w:p>
          <w:p w14:paraId="3A77999F">
            <w:pPr>
              <w:keepNext w:val="0"/>
              <w:keepLines w:val="0"/>
              <w:pageBreakBefore w:val="0"/>
              <w:widowControl/>
              <w:numPr>
                <w:ilvl w:val="0"/>
                <w:numId w:val="0"/>
              </w:numPr>
              <w:suppressLineNumbers w:val="0"/>
              <w:tabs>
                <w:tab w:val="left" w:pos="377"/>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(3)浸泡清洗工序</w:t>
            </w:r>
          </w:p>
          <w:p w14:paraId="775B131B">
            <w:pPr>
              <w:keepNext w:val="0"/>
              <w:keepLines w:val="0"/>
              <w:pageBreakBefore w:val="0"/>
              <w:widowControl/>
              <w:numPr>
                <w:ilvl w:val="0"/>
                <w:numId w:val="0"/>
              </w:numPr>
              <w:suppressLineNumbers w:val="0"/>
              <w:tabs>
                <w:tab w:val="left" w:pos="377"/>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szCs w:val="24"/>
                <w:highlight w:val="none"/>
                <w:lang w:val="en-US" w:eastAsia="zh-CN"/>
                <w14:textFill>
                  <w14:solidFill>
                    <w14:schemeClr w14:val="tx1"/>
                  </w14:solidFill>
                </w14:textFill>
              </w:rPr>
              <w:t>浸泡清洗工序会产生面筋废渣，产生量较小，根据企业经验数据，</w:t>
            </w:r>
            <w:r>
              <w:rPr>
                <w:rFonts w:hint="eastAsia"/>
                <w:color w:val="auto"/>
                <w:sz w:val="24"/>
                <w:highlight w:val="none"/>
              </w:rPr>
              <w:t>本项目</w:t>
            </w:r>
            <w:r>
              <w:rPr>
                <w:rFonts w:hint="eastAsia"/>
                <w:color w:val="auto"/>
                <w:sz w:val="24"/>
                <w:highlight w:val="none"/>
                <w:lang w:eastAsia="zh-CN"/>
              </w:rPr>
              <w:t>面筋浸泡清洗废渣</w:t>
            </w:r>
            <w:r>
              <w:rPr>
                <w:rFonts w:hint="eastAsia"/>
                <w:color w:val="auto"/>
                <w:sz w:val="24"/>
                <w:highlight w:val="none"/>
              </w:rPr>
              <w:t>产生量</w:t>
            </w:r>
            <w:r>
              <w:rPr>
                <w:rFonts w:hint="eastAsia"/>
                <w:color w:val="auto"/>
                <w:sz w:val="24"/>
                <w:highlight w:val="none"/>
                <w:lang w:eastAsia="zh-CN"/>
              </w:rPr>
              <w:t>约</w:t>
            </w:r>
            <w:r>
              <w:rPr>
                <w:rFonts w:hint="eastAsia"/>
                <w:color w:val="auto"/>
                <w:sz w:val="24"/>
                <w:highlight w:val="none"/>
                <w:lang w:val="en-US" w:eastAsia="zh-CN"/>
              </w:rPr>
              <w:t>0.5</w:t>
            </w:r>
            <w:r>
              <w:rPr>
                <w:rFonts w:hint="eastAsia"/>
                <w:color w:val="auto"/>
                <w:sz w:val="24"/>
                <w:highlight w:val="none"/>
              </w:rPr>
              <w:t>t/a</w:t>
            </w:r>
            <w:r>
              <w:rPr>
                <w:rFonts w:hint="eastAsia"/>
                <w:color w:val="auto"/>
                <w:sz w:val="24"/>
                <w:highlight w:val="none"/>
                <w:lang w:eastAsia="zh-CN"/>
              </w:rPr>
              <w:t>，外售综合利用。</w:t>
            </w:r>
          </w:p>
          <w:p w14:paraId="6115246F">
            <w:pPr>
              <w:keepNext w:val="0"/>
              <w:keepLines w:val="0"/>
              <w:pageBreakBefore w:val="0"/>
              <w:widowControl/>
              <w:numPr>
                <w:ilvl w:val="0"/>
                <w:numId w:val="0"/>
              </w:numPr>
              <w:suppressLineNumbers w:val="0"/>
              <w:tabs>
                <w:tab w:val="left" w:pos="377"/>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袋式除尘器</w:t>
            </w:r>
            <w:r>
              <w:rPr>
                <w:rFonts w:hint="eastAsia" w:cs="Times New Roman"/>
                <w:b w:val="0"/>
                <w:bCs w:val="0"/>
                <w:color w:val="000000" w:themeColor="text1"/>
                <w:sz w:val="24"/>
                <w:szCs w:val="24"/>
                <w:lang w:val="en-US" w:eastAsia="zh-CN"/>
                <w14:textFill>
                  <w14:solidFill>
                    <w14:schemeClr w14:val="tx1"/>
                  </w14:solidFill>
                </w14:textFill>
              </w:rPr>
              <w:t>除尘灰</w:t>
            </w:r>
          </w:p>
          <w:p w14:paraId="67399467">
            <w:pPr>
              <w:keepNext w:val="0"/>
              <w:keepLines w:val="0"/>
              <w:pageBreakBefore w:val="0"/>
              <w:widowControl/>
              <w:suppressLineNumbers w:val="0"/>
              <w:tabs>
                <w:tab w:val="left" w:pos="377"/>
              </w:tabs>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项目和面、搅拌工序会产生废气，废气采用袋式除尘器收集，收集的颗粒物为一般固废，颗粒物收集量为14.87t/a，收集后存放一般固废暂存间，定期外售综合利用。</w:t>
            </w:r>
          </w:p>
          <w:p w14:paraId="057AF8E5">
            <w:pPr>
              <w:keepNext w:val="0"/>
              <w:keepLines w:val="0"/>
              <w:pageBreakBefore w:val="0"/>
              <w:widowControl/>
              <w:suppressLineNumbers w:val="0"/>
              <w:tabs>
                <w:tab w:val="left" w:pos="377"/>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废离子交换树脂</w:t>
            </w:r>
          </w:p>
          <w:p w14:paraId="0929F80C">
            <w:pPr>
              <w:keepNext w:val="0"/>
              <w:keepLines w:val="0"/>
              <w:pageBreakBefore w:val="0"/>
              <w:widowControl/>
              <w:suppressLineNumbers w:val="0"/>
              <w:tabs>
                <w:tab w:val="left" w:pos="377"/>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本项目纯水制备系统配有离子交换树脂，离子交换树脂每年更换一次，会产生废弃离子交换树脂，废弃离子交换树脂产生量为0.8t/a，根据《国家危险废物名录》（202</w:t>
            </w:r>
            <w:r>
              <w:rPr>
                <w:rFonts w:hint="eastAsia"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年版）及《国家危险废物名录》（202</w:t>
            </w:r>
            <w:r>
              <w:rPr>
                <w:rFonts w:hint="eastAsia"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版）常见问题答疑（中国环境科学研究院），本项目废弃离子交换树脂并非来源于工业企业工艺生产过程中的废水处理过程，因此纯水制备过程中的废离子交换树脂不属于危险废物，属于一般固废，收集后存放一般固废暂存间，定期外售综合利用</w:t>
            </w:r>
            <w:r>
              <w:rPr>
                <w:rFonts w:hint="eastAsia" w:cs="Times New Roman"/>
                <w:b w:val="0"/>
                <w:bCs w:val="0"/>
                <w:color w:val="000000" w:themeColor="text1"/>
                <w:sz w:val="24"/>
                <w:szCs w:val="24"/>
                <w:lang w:val="en-US" w:eastAsia="zh-CN"/>
                <w14:textFill>
                  <w14:solidFill>
                    <w14:schemeClr w14:val="tx1"/>
                  </w14:solidFill>
                </w14:textFill>
              </w:rPr>
              <w:t>。</w:t>
            </w:r>
          </w:p>
          <w:p w14:paraId="7AB2992B">
            <w:pPr>
              <w:keepNext w:val="0"/>
              <w:keepLines w:val="0"/>
              <w:pageBreakBefore w:val="0"/>
              <w:widowControl/>
              <w:numPr>
                <w:ilvl w:val="0"/>
                <w:numId w:val="0"/>
              </w:numPr>
              <w:suppressLineNumbers w:val="0"/>
              <w:tabs>
                <w:tab w:val="left" w:pos="377"/>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废水处理污泥</w:t>
            </w:r>
          </w:p>
          <w:p w14:paraId="6C246F2A">
            <w:pPr>
              <w:keepNext w:val="0"/>
              <w:keepLines w:val="0"/>
              <w:pageBreakBefore w:val="0"/>
              <w:widowControl/>
              <w:numPr>
                <w:ilvl w:val="0"/>
                <w:numId w:val="0"/>
              </w:numPr>
              <w:suppressLineNumbers w:val="0"/>
              <w:tabs>
                <w:tab w:val="left" w:pos="377"/>
              </w:tabs>
              <w:kinsoku/>
              <w:wordWrap/>
              <w:overflowPunct/>
              <w:topLinePunct w:val="0"/>
              <w:autoSpaceDE/>
              <w:autoSpaceDN/>
              <w:bidi w:val="0"/>
              <w:spacing w:before="0" w:beforeAutospacing="0" w:after="0" w:afterAutospacing="0" w:line="360" w:lineRule="auto"/>
              <w:ind w:left="0" w:right="0" w:rightChars="0" w:firstLine="480" w:firstLineChars="200"/>
              <w:textAlignment w:val="auto"/>
              <w:rPr>
                <w:rFonts w:hint="eastAsia"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本项目废水处理过程中会产生少量的污泥，污泥产生量约为废水处理量的0.05%，本项目废水年处理量为</w:t>
            </w:r>
            <w:r>
              <w:rPr>
                <w:rFonts w:hint="eastAsia" w:cs="Times New Roman"/>
                <w:b w:val="0"/>
                <w:bCs w:val="0"/>
                <w:color w:val="000000" w:themeColor="text1"/>
                <w:sz w:val="24"/>
                <w:szCs w:val="24"/>
                <w:lang w:val="en-US" w:eastAsia="zh-CN"/>
                <w14:textFill>
                  <w14:solidFill>
                    <w14:schemeClr w14:val="tx1"/>
                  </w14:solidFill>
                </w14:textFill>
              </w:rPr>
              <w:t>11829</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t/a，则污泥年产生量约为</w:t>
            </w:r>
            <w:r>
              <w:rPr>
                <w:rFonts w:hint="eastAsia" w:cs="Times New Roman"/>
                <w:b w:val="0"/>
                <w:bCs w:val="0"/>
                <w:color w:val="000000" w:themeColor="text1"/>
                <w:sz w:val="24"/>
                <w:szCs w:val="24"/>
                <w:lang w:val="en-US" w:eastAsia="zh-CN"/>
                <w14:textFill>
                  <w14:solidFill>
                    <w14:schemeClr w14:val="tx1"/>
                  </w14:solidFill>
                </w14:textFill>
              </w:rPr>
              <w:t>5.9</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t/a，定期</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清</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运至垃圾填埋场处理</w:t>
            </w:r>
            <w:r>
              <w:rPr>
                <w:rFonts w:hint="eastAsia" w:cs="Times New Roman"/>
                <w:b w:val="0"/>
                <w:bCs w:val="0"/>
                <w:color w:val="000000" w:themeColor="text1"/>
                <w:sz w:val="24"/>
                <w:szCs w:val="24"/>
                <w:lang w:val="en-US" w:eastAsia="zh-CN"/>
                <w14:textFill>
                  <w14:solidFill>
                    <w14:schemeClr w14:val="tx1"/>
                  </w14:solidFill>
                </w14:textFill>
              </w:rPr>
              <w:t>。</w:t>
            </w:r>
          </w:p>
          <w:p w14:paraId="6DD20726">
            <w:pPr>
              <w:keepNext w:val="0"/>
              <w:keepLines w:val="0"/>
              <w:pageBreakBefore w:val="0"/>
              <w:widowControl/>
              <w:numPr>
                <w:ilvl w:val="0"/>
                <w:numId w:val="0"/>
              </w:numPr>
              <w:suppressLineNumbers w:val="0"/>
              <w:tabs>
                <w:tab w:val="left" w:pos="377"/>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 xml:space="preserve"> </w:t>
            </w:r>
            <w:r>
              <w:rPr>
                <w:rFonts w:hint="eastAsia" w:cs="Times New Roman"/>
                <w:b w:val="0"/>
                <w:bCs w:val="0"/>
                <w:color w:val="000000" w:themeColor="text1"/>
                <w:sz w:val="24"/>
                <w:szCs w:val="24"/>
                <w:lang w:val="en-US" w:eastAsia="zh-CN"/>
                <w14:textFill>
                  <w14:solidFill>
                    <w14:schemeClr w14:val="tx1"/>
                  </w14:solidFill>
                </w14:textFill>
              </w:rPr>
              <w:t>(7)蒸煮/卤制工序废渣</w:t>
            </w:r>
          </w:p>
          <w:p w14:paraId="703051D2">
            <w:pPr>
              <w:keepNext w:val="0"/>
              <w:keepLines w:val="0"/>
              <w:pageBreakBefore w:val="0"/>
              <w:widowControl/>
              <w:numPr>
                <w:ilvl w:val="0"/>
                <w:numId w:val="0"/>
              </w:numPr>
              <w:suppressLineNumbers w:val="0"/>
              <w:tabs>
                <w:tab w:val="left" w:pos="377"/>
              </w:tabs>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cs="Times New Roman"/>
                <w:b w:val="0"/>
                <w:bCs w:val="0"/>
                <w:color w:val="000000" w:themeColor="text1"/>
                <w:sz w:val="24"/>
                <w:szCs w:val="24"/>
                <w:lang w:val="en-US" w:eastAsia="zh-CN"/>
                <w14:textFill>
                  <w14:solidFill>
                    <w14:schemeClr w14:val="tx1"/>
                  </w14:solidFill>
                </w14:textFill>
              </w:rPr>
            </w:pPr>
            <w:r>
              <w:rPr>
                <w:rFonts w:hint="default"/>
                <w:color w:val="auto"/>
                <w:sz w:val="24"/>
                <w:highlight w:val="none"/>
              </w:rPr>
              <w:t>卤制</w:t>
            </w:r>
            <w:r>
              <w:rPr>
                <w:rFonts w:hint="eastAsia"/>
                <w:color w:val="auto"/>
                <w:sz w:val="24"/>
                <w:highlight w:val="none"/>
              </w:rPr>
              <w:t>后</w:t>
            </w:r>
            <w:r>
              <w:rPr>
                <w:rFonts w:hint="default"/>
                <w:color w:val="auto"/>
                <w:sz w:val="24"/>
                <w:highlight w:val="none"/>
              </w:rPr>
              <w:t>会产生卤料废渣，</w:t>
            </w:r>
            <w:r>
              <w:rPr>
                <w:rFonts w:hint="eastAsia"/>
                <w:color w:val="auto"/>
                <w:sz w:val="24"/>
                <w:highlight w:val="none"/>
              </w:rPr>
              <w:t>本项目</w:t>
            </w:r>
            <w:r>
              <w:rPr>
                <w:rFonts w:hint="eastAsia"/>
                <w:color w:val="auto"/>
                <w:sz w:val="24"/>
                <w:highlight w:val="none"/>
                <w:lang w:eastAsia="zh-CN"/>
              </w:rPr>
              <w:t>调味</w:t>
            </w:r>
            <w:r>
              <w:rPr>
                <w:rFonts w:hint="eastAsia"/>
                <w:color w:val="auto"/>
                <w:sz w:val="24"/>
                <w:highlight w:val="none"/>
              </w:rPr>
              <w:t>料用量</w:t>
            </w:r>
            <w:r>
              <w:rPr>
                <w:rFonts w:hint="eastAsia"/>
                <w:color w:val="auto"/>
                <w:sz w:val="24"/>
                <w:highlight w:val="none"/>
                <w:lang w:val="en-US" w:eastAsia="zh-CN"/>
              </w:rPr>
              <w:t>22</w:t>
            </w:r>
            <w:r>
              <w:rPr>
                <w:rFonts w:hint="eastAsia"/>
                <w:color w:val="auto"/>
                <w:sz w:val="24"/>
                <w:highlight w:val="none"/>
              </w:rPr>
              <w:t>t/a，废</w:t>
            </w:r>
            <w:r>
              <w:rPr>
                <w:rFonts w:hint="eastAsia"/>
                <w:color w:val="auto"/>
                <w:sz w:val="24"/>
                <w:highlight w:val="none"/>
                <w:lang w:eastAsia="zh-CN"/>
              </w:rPr>
              <w:t>调味</w:t>
            </w:r>
            <w:r>
              <w:rPr>
                <w:rFonts w:hint="eastAsia"/>
                <w:color w:val="auto"/>
                <w:sz w:val="24"/>
                <w:highlight w:val="none"/>
              </w:rPr>
              <w:t>料含水率约为20%，则废卤料产生量</w:t>
            </w:r>
            <w:r>
              <w:rPr>
                <w:rFonts w:hint="eastAsia"/>
                <w:color w:val="auto"/>
                <w:sz w:val="24"/>
                <w:highlight w:val="none"/>
                <w:lang w:val="en-US" w:eastAsia="zh-CN"/>
              </w:rPr>
              <w:t>26.4</w:t>
            </w:r>
            <w:r>
              <w:rPr>
                <w:rFonts w:hint="eastAsia"/>
                <w:color w:val="auto"/>
                <w:sz w:val="24"/>
                <w:highlight w:val="none"/>
              </w:rPr>
              <w:t>t/a</w:t>
            </w:r>
            <w:r>
              <w:rPr>
                <w:rFonts w:hint="eastAsia"/>
                <w:color w:val="auto"/>
                <w:sz w:val="24"/>
                <w:highlight w:val="none"/>
                <w:lang w:eastAsia="zh-CN"/>
              </w:rPr>
              <w:t>，外售综合利用</w:t>
            </w:r>
            <w:r>
              <w:rPr>
                <w:rFonts w:hint="eastAsia" w:cs="Times New Roman"/>
                <w:b w:val="0"/>
                <w:bCs w:val="0"/>
                <w:color w:val="000000" w:themeColor="text1"/>
                <w:sz w:val="24"/>
                <w:szCs w:val="24"/>
                <w:lang w:val="en-US" w:eastAsia="zh-CN"/>
                <w14:textFill>
                  <w14:solidFill>
                    <w14:schemeClr w14:val="tx1"/>
                  </w14:solidFill>
                </w14:textFill>
              </w:rPr>
              <w:t>。</w:t>
            </w:r>
          </w:p>
        </w:tc>
      </w:tr>
      <w:tr w14:paraId="1015D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68" w:hRule="atLeast"/>
          <w:jc w:val="center"/>
        </w:trPr>
        <w:tc>
          <w:tcPr>
            <w:tcW w:w="372" w:type="dxa"/>
            <w:vAlign w:val="center"/>
          </w:tcPr>
          <w:p w14:paraId="1AD5FE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highlight w:val="yellow"/>
                <w14:textFill>
                  <w14:solidFill>
                    <w14:schemeClr w14:val="tx1"/>
                  </w14:solidFill>
                </w14:textFill>
              </w:rPr>
            </w:pPr>
          </w:p>
        </w:tc>
        <w:tc>
          <w:tcPr>
            <w:tcW w:w="8804" w:type="dxa"/>
            <w:vAlign w:val="center"/>
          </w:tcPr>
          <w:p w14:paraId="5D91F84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bCs/>
                <w:color w:val="000000" w:themeColor="text1"/>
                <w:sz w:val="24"/>
                <w:szCs w:val="24"/>
                <w14:textFill>
                  <w14:solidFill>
                    <w14:schemeClr w14:val="tx1"/>
                  </w14:solidFill>
                </w14:textFill>
              </w:rPr>
              <w:t>危险废物产生情况</w:t>
            </w:r>
          </w:p>
          <w:p w14:paraId="321DF1AC">
            <w:pPr>
              <w:keepNext w:val="0"/>
              <w:keepLines w:val="0"/>
              <w:pageBreakBefore w:val="0"/>
              <w:widowControl/>
              <w:numPr>
                <w:ilvl w:val="0"/>
                <w:numId w:val="0"/>
              </w:numPr>
              <w:suppressLineNumbers w:val="0"/>
              <w:tabs>
                <w:tab w:val="left" w:pos="377"/>
              </w:tabs>
              <w:kinsoku/>
              <w:wordWrap/>
              <w:overflowPunct/>
              <w:topLinePunct w:val="0"/>
              <w:autoSpaceDE/>
              <w:autoSpaceDN/>
              <w:bidi w:val="0"/>
              <w:spacing w:before="0" w:beforeAutospacing="0" w:after="0" w:afterAutospacing="0" w:line="360" w:lineRule="auto"/>
              <w:ind w:left="480" w:leftChars="0" w:right="0"/>
              <w:textAlignment w:val="auto"/>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(1)</w:t>
            </w:r>
            <w:r>
              <w:rPr>
                <w:rFonts w:hint="eastAsia" w:cs="Times New Roman"/>
                <w:b w:val="0"/>
                <w:bCs w:val="0"/>
                <w:color w:val="000000" w:themeColor="text1"/>
                <w:sz w:val="24"/>
                <w:szCs w:val="24"/>
                <w:lang w:eastAsia="zh-CN"/>
                <w14:textFill>
                  <w14:solidFill>
                    <w14:schemeClr w14:val="tx1"/>
                  </w14:solidFill>
                </w14:textFill>
              </w:rPr>
              <w:t>废活性炭</w:t>
            </w:r>
          </w:p>
          <w:p w14:paraId="43AC63E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项目污水处理站</w:t>
            </w:r>
            <w:r>
              <w:rPr>
                <w:rFonts w:hint="eastAsia" w:ascii="Times New Roman" w:hAnsi="Times New Roman" w:cs="Times New Roman"/>
                <w:b w:val="0"/>
                <w:bCs w:val="0"/>
                <w:color w:val="auto"/>
                <w:sz w:val="24"/>
                <w:szCs w:val="24"/>
                <w:highlight w:val="none"/>
                <w:lang w:val="en-US" w:eastAsia="zh-CN"/>
              </w:rPr>
              <w:t>及</w:t>
            </w:r>
            <w:r>
              <w:rPr>
                <w:rFonts w:hint="eastAsia" w:cs="Times New Roman"/>
                <w:b w:val="0"/>
                <w:bCs w:val="0"/>
                <w:color w:val="auto"/>
                <w:sz w:val="24"/>
                <w:szCs w:val="24"/>
                <w:highlight w:val="none"/>
                <w:lang w:val="en-US" w:eastAsia="zh-CN"/>
              </w:rPr>
              <w:t>卤制工序</w:t>
            </w:r>
            <w:r>
              <w:rPr>
                <w:rFonts w:hint="eastAsia" w:ascii="Times New Roman" w:hAnsi="Times New Roman" w:cs="Times New Roman"/>
                <w:b w:val="0"/>
                <w:bCs w:val="0"/>
                <w:color w:val="auto"/>
                <w:sz w:val="24"/>
                <w:szCs w:val="24"/>
                <w:highlight w:val="none"/>
                <w:lang w:val="en-US" w:eastAsia="zh-CN"/>
              </w:rPr>
              <w:t>废气治理均会产生废</w:t>
            </w:r>
            <w:r>
              <w:rPr>
                <w:rFonts w:hint="default" w:ascii="Times New Roman" w:hAnsi="Times New Roman" w:cs="Times New Roman"/>
                <w:b w:val="0"/>
                <w:bCs w:val="0"/>
                <w:color w:val="auto"/>
                <w:sz w:val="24"/>
                <w:szCs w:val="24"/>
                <w:highlight w:val="none"/>
                <w:lang w:val="en-US" w:eastAsia="zh-CN"/>
              </w:rPr>
              <w:t>活性炭，废活性炭产生量为</w:t>
            </w:r>
            <w:r>
              <w:rPr>
                <w:rFonts w:hint="eastAsia" w:cs="Times New Roman"/>
                <w:b w:val="0"/>
                <w:bCs w:val="0"/>
                <w:color w:val="auto"/>
                <w:sz w:val="24"/>
                <w:szCs w:val="24"/>
                <w:highlight w:val="none"/>
                <w:lang w:val="en-US" w:eastAsia="zh-CN"/>
              </w:rPr>
              <w:t>0.8</w:t>
            </w:r>
            <w:r>
              <w:rPr>
                <w:rFonts w:hint="default" w:ascii="Times New Roman" w:hAnsi="Times New Roman" w:cs="Times New Roman"/>
                <w:b w:val="0"/>
                <w:bCs w:val="0"/>
                <w:color w:val="auto"/>
                <w:sz w:val="24"/>
                <w:szCs w:val="24"/>
                <w:highlight w:val="none"/>
                <w:lang w:val="en-US" w:eastAsia="zh-CN"/>
              </w:rPr>
              <w:t>t/a</w:t>
            </w:r>
            <w:r>
              <w:rPr>
                <w:rFonts w:hint="default" w:ascii="Times New Roman" w:hAnsi="Times New Roman" w:cs="Times New Roman"/>
                <w:color w:val="auto"/>
                <w:sz w:val="24"/>
                <w:szCs w:val="24"/>
                <w:highlight w:val="none"/>
                <w:lang w:val="en-US" w:eastAsia="zh-CN"/>
              </w:rPr>
              <w:t>。废活性炭</w:t>
            </w:r>
            <w:r>
              <w:rPr>
                <w:rFonts w:hint="default" w:ascii="Times New Roman" w:hAnsi="Times New Roman" w:eastAsia="宋体" w:cs="Times New Roman"/>
                <w:b w:val="0"/>
                <w:bCs w:val="0"/>
                <w:color w:val="auto"/>
                <w:kern w:val="2"/>
                <w:sz w:val="24"/>
                <w:szCs w:val="24"/>
                <w:highlight w:val="none"/>
                <w:lang w:val="en-US" w:eastAsia="zh-CN" w:bidi="ar-SA"/>
              </w:rPr>
              <w:t>属于HW49类危险废物，废物代码为900-039-49，暂存危废间，交有资质的单位统一处置。</w:t>
            </w:r>
          </w:p>
          <w:p w14:paraId="1C54D117">
            <w:pPr>
              <w:pStyle w:val="24"/>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000000" w:themeColor="text1"/>
                <w:sz w:val="24"/>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1.3</w:t>
            </w:r>
            <w:r>
              <w:rPr>
                <w:rFonts w:hint="default" w:ascii="Times New Roman" w:hAnsi="Times New Roman" w:eastAsia="宋体" w:cs="Times New Roman"/>
                <w:b/>
                <w:bCs/>
                <w:color w:val="000000" w:themeColor="text1"/>
                <w:sz w:val="24"/>
                <w14:textFill>
                  <w14:solidFill>
                    <w14:schemeClr w14:val="tx1"/>
                  </w14:solidFill>
                </w14:textFill>
              </w:rPr>
              <w:t>生活垃圾</w:t>
            </w:r>
          </w:p>
          <w:p w14:paraId="1B5DE4C1">
            <w:pPr>
              <w:pStyle w:val="24"/>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本项目劳动定员</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人，年工作300天，生活垃圾产量按0.6</w:t>
            </w:r>
            <w:r>
              <w:rPr>
                <w:rFonts w:hint="eastAsia" w:cs="Times New Roman"/>
                <w:color w:val="000000" w:themeColor="text1"/>
                <w:sz w:val="24"/>
                <w:szCs w:val="24"/>
                <w:lang w:eastAsia="zh-CN"/>
                <w14:textFill>
                  <w14:solidFill>
                    <w14:schemeClr w14:val="tx1"/>
                  </w14:solidFill>
                </w14:textFill>
              </w:rPr>
              <w:t>kg</w:t>
            </w:r>
            <w:r>
              <w:rPr>
                <w:rFonts w:hint="default" w:ascii="Times New Roman" w:hAnsi="Times New Roman" w:eastAsia="宋体" w:cs="Times New Roman"/>
                <w:color w:val="000000" w:themeColor="text1"/>
                <w:sz w:val="24"/>
                <w:szCs w:val="24"/>
                <w14:textFill>
                  <w14:solidFill>
                    <w14:schemeClr w14:val="tx1"/>
                  </w14:solidFill>
                </w14:textFill>
              </w:rPr>
              <w:t>/（人·d）计，则生活垃圾产生量约为</w:t>
            </w:r>
            <w:r>
              <w:rPr>
                <w:rFonts w:hint="eastAsia" w:cs="Times New Roman"/>
                <w:color w:val="000000" w:themeColor="text1"/>
                <w:sz w:val="24"/>
                <w:szCs w:val="24"/>
                <w:lang w:val="en-US" w:eastAsia="zh-CN"/>
                <w14:textFill>
                  <w14:solidFill>
                    <w14:schemeClr w14:val="tx1"/>
                  </w14:solidFill>
                </w14:textFill>
              </w:rPr>
              <w:t>5.4</w:t>
            </w:r>
            <w:r>
              <w:rPr>
                <w:rFonts w:hint="default" w:ascii="Times New Roman" w:hAnsi="Times New Roman" w:eastAsia="宋体" w:cs="Times New Roman"/>
                <w:color w:val="000000" w:themeColor="text1"/>
                <w:sz w:val="24"/>
                <w:szCs w:val="24"/>
                <w14:textFill>
                  <w14:solidFill>
                    <w14:schemeClr w14:val="tx1"/>
                  </w14:solidFill>
                </w14:textFill>
              </w:rPr>
              <w:t>t/a，统一收集后委托环卫部门定期清运。</w:t>
            </w:r>
          </w:p>
          <w:p w14:paraId="0B8522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41" w:firstLineChars="100"/>
              <w:jc w:val="left"/>
              <w:textAlignment w:val="auto"/>
              <w:outlineLvl w:val="1"/>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 1.4</w:t>
            </w:r>
            <w:r>
              <w:rPr>
                <w:rFonts w:hint="default" w:ascii="Times New Roman" w:hAnsi="Times New Roman" w:eastAsia="宋体" w:cs="Times New Roman"/>
                <w:b/>
                <w:bCs/>
                <w:color w:val="000000" w:themeColor="text1"/>
                <w:sz w:val="24"/>
                <w:szCs w:val="24"/>
                <w14:textFill>
                  <w14:solidFill>
                    <w14:schemeClr w14:val="tx1"/>
                  </w14:solidFill>
                </w14:textFill>
              </w:rPr>
              <w:t>固体废物产生及排放情况汇总</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情况</w:t>
            </w:r>
          </w:p>
          <w:p w14:paraId="0686D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bCs/>
                <w:color w:val="000000" w:themeColor="text1"/>
                <w:kern w:val="2"/>
                <w:sz w:val="24"/>
                <w:szCs w:val="24"/>
                <w:lang w:val="zh-CN"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本项目固体废物产生及排放情况汇总</w:t>
            </w:r>
            <w:r>
              <w:rPr>
                <w:rFonts w:hint="eastAsia" w:cs="Times New Roman"/>
                <w:b w:val="0"/>
                <w:bCs w:val="0"/>
                <w:color w:val="000000" w:themeColor="text1"/>
                <w:sz w:val="24"/>
                <w:szCs w:val="24"/>
                <w:lang w:eastAsia="zh-CN"/>
                <w14:textFill>
                  <w14:solidFill>
                    <w14:schemeClr w14:val="tx1"/>
                  </w14:solidFill>
                </w14:textFill>
              </w:rPr>
              <w:t>情况</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见表</w:t>
            </w:r>
            <w:r>
              <w:rPr>
                <w:rFonts w:hint="eastAsia" w:cs="Times New Roman"/>
                <w:b w:val="0"/>
                <w:bCs w:val="0"/>
                <w:color w:val="000000" w:themeColor="text1"/>
                <w:sz w:val="24"/>
                <w:szCs w:val="24"/>
                <w:lang w:val="en-US" w:eastAsia="zh-CN"/>
                <w14:textFill>
                  <w14:solidFill>
                    <w14:schemeClr w14:val="tx1"/>
                  </w14:solidFill>
                </w14:textFill>
              </w:rPr>
              <w:t>4-17</w:t>
            </w:r>
            <w: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t>。</w:t>
            </w:r>
          </w:p>
          <w:p w14:paraId="1BFE93C9">
            <w:pPr>
              <w:pStyle w:val="6"/>
              <w:keepNext w:val="0"/>
              <w:keepLines w:val="0"/>
              <w:widowControl/>
              <w:suppressLineNumbers w:val="0"/>
              <w:spacing w:before="0" w:beforeAutospacing="0" w:after="0" w:afterAutospacing="0"/>
              <w:ind w:left="0" w:right="0"/>
              <w:jc w:val="center"/>
              <w:outlineLvl w:val="2"/>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4-1</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14:textFill>
                  <w14:solidFill>
                    <w14:schemeClr w14:val="tx1"/>
                  </w14:solidFill>
                </w14:textFill>
              </w:rPr>
              <w:t xml:space="preserve">  本项目一般固体废物产生及处置情况统计表</w:t>
            </w:r>
          </w:p>
          <w:tbl>
            <w:tblPr>
              <w:tblStyle w:val="33"/>
              <w:tblW w:w="487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063"/>
              <w:gridCol w:w="1218"/>
              <w:gridCol w:w="873"/>
              <w:gridCol w:w="925"/>
              <w:gridCol w:w="697"/>
              <w:gridCol w:w="391"/>
              <w:gridCol w:w="726"/>
              <w:gridCol w:w="391"/>
              <w:gridCol w:w="391"/>
              <w:gridCol w:w="818"/>
              <w:gridCol w:w="493"/>
            </w:tblGrid>
            <w:tr w14:paraId="07B692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30" w:type="pct"/>
                  <w:tcBorders>
                    <w:tl2br w:val="nil"/>
                    <w:tr2bl w:val="nil"/>
                  </w:tcBorders>
                  <w:noWrap w:val="0"/>
                  <w:vAlign w:val="center"/>
                </w:tcPr>
                <w:p w14:paraId="02FF698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634" w:type="pct"/>
                  <w:tcBorders>
                    <w:tl2br w:val="nil"/>
                    <w:tr2bl w:val="nil"/>
                  </w:tcBorders>
                  <w:noWrap w:val="0"/>
                  <w:vAlign w:val="center"/>
                </w:tcPr>
                <w:p w14:paraId="1EF31C9A">
                  <w:pPr>
                    <w:keepNext w:val="0"/>
                    <w:keepLines w:val="0"/>
                    <w:suppressLineNumbers w:val="0"/>
                    <w:adjustRightInd w:val="0"/>
                    <w:snapToGrid w:val="0"/>
                    <w:spacing w:before="24" w:beforeLines="1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固体废物名称</w:t>
                  </w:r>
                </w:p>
              </w:tc>
              <w:tc>
                <w:tcPr>
                  <w:tcW w:w="727" w:type="pct"/>
                  <w:tcBorders>
                    <w:tl2br w:val="nil"/>
                    <w:tr2bl w:val="nil"/>
                  </w:tcBorders>
                  <w:noWrap w:val="0"/>
                  <w:vAlign w:val="center"/>
                </w:tcPr>
                <w:p w14:paraId="3AA0C88F">
                  <w:pPr>
                    <w:keepNext w:val="0"/>
                    <w:keepLines w:val="0"/>
                    <w:suppressLineNumbers w:val="0"/>
                    <w:adjustRightInd w:val="0"/>
                    <w:snapToGrid w:val="0"/>
                    <w:spacing w:before="24" w:beforeLines="1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废物种类</w:t>
                  </w:r>
                </w:p>
              </w:tc>
              <w:tc>
                <w:tcPr>
                  <w:tcW w:w="521" w:type="pct"/>
                  <w:tcBorders>
                    <w:tl2br w:val="nil"/>
                    <w:tr2bl w:val="nil"/>
                  </w:tcBorders>
                  <w:noWrap w:val="0"/>
                  <w:vAlign w:val="center"/>
                </w:tcPr>
                <w:p w14:paraId="18295C60">
                  <w:pPr>
                    <w:keepNext w:val="0"/>
                    <w:keepLines w:val="0"/>
                    <w:suppressLineNumbers w:val="0"/>
                    <w:adjustRightInd w:val="0"/>
                    <w:snapToGrid w:val="0"/>
                    <w:spacing w:before="24" w:beforeLines="10" w:beforeAutospacing="0" w:after="0" w:afterAutospacing="0"/>
                    <w:ind w:left="0" w:right="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废物</w:t>
                  </w:r>
                </w:p>
                <w:p w14:paraId="156AEC96">
                  <w:pPr>
                    <w:keepNext w:val="0"/>
                    <w:keepLines w:val="0"/>
                    <w:suppressLineNumbers w:val="0"/>
                    <w:adjustRightInd w:val="0"/>
                    <w:snapToGrid w:val="0"/>
                    <w:spacing w:before="24" w:beforeLines="10" w:beforeAutospacing="0" w:after="0" w:afterAutospacing="0"/>
                    <w:ind w:left="0" w:right="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代码</w:t>
                  </w:r>
                </w:p>
              </w:tc>
              <w:tc>
                <w:tcPr>
                  <w:tcW w:w="552" w:type="pct"/>
                  <w:tcBorders>
                    <w:tl2br w:val="nil"/>
                    <w:tr2bl w:val="nil"/>
                  </w:tcBorders>
                  <w:noWrap w:val="0"/>
                  <w:vAlign w:val="center"/>
                </w:tcPr>
                <w:p w14:paraId="3BA57C7E">
                  <w:pPr>
                    <w:keepNext w:val="0"/>
                    <w:keepLines w:val="0"/>
                    <w:suppressLineNumbers w:val="0"/>
                    <w:adjustRightInd w:val="0"/>
                    <w:snapToGrid w:val="0"/>
                    <w:spacing w:before="24" w:beforeLines="1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产生工序</w:t>
                  </w:r>
                </w:p>
              </w:tc>
              <w:tc>
                <w:tcPr>
                  <w:tcW w:w="416" w:type="pct"/>
                  <w:tcBorders>
                    <w:tl2br w:val="nil"/>
                    <w:tr2bl w:val="nil"/>
                  </w:tcBorders>
                  <w:noWrap w:val="0"/>
                  <w:vAlign w:val="center"/>
                </w:tcPr>
                <w:p w14:paraId="7F7D446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属性</w:t>
                  </w:r>
                </w:p>
              </w:tc>
              <w:tc>
                <w:tcPr>
                  <w:tcW w:w="233" w:type="pct"/>
                  <w:tcBorders>
                    <w:tl2br w:val="nil"/>
                    <w:tr2bl w:val="nil"/>
                  </w:tcBorders>
                  <w:noWrap w:val="0"/>
                  <w:vAlign w:val="center"/>
                </w:tcPr>
                <w:p w14:paraId="7FEA7C3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物理性状</w:t>
                  </w:r>
                </w:p>
              </w:tc>
              <w:tc>
                <w:tcPr>
                  <w:tcW w:w="433" w:type="pct"/>
                  <w:tcBorders>
                    <w:tl2br w:val="nil"/>
                    <w:tr2bl w:val="nil"/>
                  </w:tcBorders>
                  <w:noWrap w:val="0"/>
                  <w:vAlign w:val="center"/>
                </w:tcPr>
                <w:p w14:paraId="5C85B5C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产生量t/a</w:t>
                  </w:r>
                </w:p>
              </w:tc>
              <w:tc>
                <w:tcPr>
                  <w:tcW w:w="233" w:type="pct"/>
                  <w:tcBorders>
                    <w:tl2br w:val="nil"/>
                    <w:tr2bl w:val="nil"/>
                  </w:tcBorders>
                  <w:noWrap w:val="0"/>
                  <w:vAlign w:val="center"/>
                </w:tcPr>
                <w:p w14:paraId="21F6A88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危险特性</w:t>
                  </w:r>
                </w:p>
              </w:tc>
              <w:tc>
                <w:tcPr>
                  <w:tcW w:w="233" w:type="pct"/>
                  <w:tcBorders>
                    <w:tl2br w:val="nil"/>
                    <w:tr2bl w:val="nil"/>
                  </w:tcBorders>
                  <w:noWrap w:val="0"/>
                  <w:vAlign w:val="center"/>
                </w:tcPr>
                <w:p w14:paraId="5DF0DC4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贮存方式</w:t>
                  </w:r>
                </w:p>
              </w:tc>
              <w:tc>
                <w:tcPr>
                  <w:tcW w:w="488" w:type="pct"/>
                  <w:tcBorders>
                    <w:tl2br w:val="nil"/>
                    <w:tr2bl w:val="nil"/>
                  </w:tcBorders>
                  <w:noWrap w:val="0"/>
                  <w:vAlign w:val="center"/>
                </w:tcPr>
                <w:p w14:paraId="290984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处理方式及数量</w:t>
                  </w:r>
                </w:p>
              </w:tc>
              <w:tc>
                <w:tcPr>
                  <w:tcW w:w="294" w:type="pct"/>
                  <w:tcBorders>
                    <w:tl2br w:val="nil"/>
                    <w:tr2bl w:val="nil"/>
                  </w:tcBorders>
                  <w:noWrap w:val="0"/>
                  <w:vAlign w:val="center"/>
                </w:tcPr>
                <w:p w14:paraId="3B57FDC2">
                  <w:pPr>
                    <w:pStyle w:val="6"/>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环境管理要求</w:t>
                  </w:r>
                </w:p>
              </w:tc>
            </w:tr>
            <w:tr w14:paraId="44C7D4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 w:type="pct"/>
                  <w:tcBorders>
                    <w:tl2br w:val="nil"/>
                    <w:tr2bl w:val="nil"/>
                  </w:tcBorders>
                  <w:noWrap w:val="0"/>
                  <w:vAlign w:val="center"/>
                </w:tcPr>
                <w:p w14:paraId="16EC1A6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w:t>
                  </w:r>
                </w:p>
              </w:tc>
              <w:tc>
                <w:tcPr>
                  <w:tcW w:w="634" w:type="pct"/>
                  <w:tcBorders>
                    <w:tl2br w:val="nil"/>
                    <w:tr2bl w:val="nil"/>
                  </w:tcBorders>
                  <w:noWrap w:val="0"/>
                  <w:vAlign w:val="center"/>
                </w:tcPr>
                <w:p w14:paraId="0566777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废包装</w:t>
                  </w:r>
                </w:p>
                <w:p w14:paraId="2119619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材料</w:t>
                  </w:r>
                </w:p>
              </w:tc>
              <w:tc>
                <w:tcPr>
                  <w:tcW w:w="727" w:type="pct"/>
                  <w:tcBorders>
                    <w:tl2br w:val="nil"/>
                    <w:tr2bl w:val="nil"/>
                  </w:tcBorders>
                  <w:noWrap w:val="0"/>
                  <w:vAlign w:val="center"/>
                </w:tcPr>
                <w:p w14:paraId="430289E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SW59 </w:t>
                  </w:r>
                </w:p>
                <w:p w14:paraId="657B562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其他工业固体废物</w:t>
                  </w:r>
                </w:p>
              </w:tc>
              <w:tc>
                <w:tcPr>
                  <w:tcW w:w="521" w:type="pct"/>
                  <w:tcBorders>
                    <w:tl2br w:val="nil"/>
                    <w:tr2bl w:val="nil"/>
                  </w:tcBorders>
                  <w:noWrap w:val="0"/>
                  <w:vAlign w:val="center"/>
                </w:tcPr>
                <w:p w14:paraId="1388A9B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900-001-S59</w:t>
                  </w:r>
                </w:p>
              </w:tc>
              <w:tc>
                <w:tcPr>
                  <w:tcW w:w="552" w:type="pct"/>
                  <w:tcBorders>
                    <w:tl2br w:val="nil"/>
                    <w:tr2bl w:val="nil"/>
                  </w:tcBorders>
                  <w:noWrap w:val="0"/>
                  <w:vAlign w:val="center"/>
                </w:tcPr>
                <w:p w14:paraId="5BE1E15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原料包材</w:t>
                  </w:r>
                </w:p>
              </w:tc>
              <w:tc>
                <w:tcPr>
                  <w:tcW w:w="416" w:type="pct"/>
                  <w:tcBorders>
                    <w:tl2br w:val="nil"/>
                    <w:tr2bl w:val="nil"/>
                  </w:tcBorders>
                  <w:noWrap w:val="0"/>
                  <w:vAlign w:val="center"/>
                </w:tcPr>
                <w:p w14:paraId="0C1B5CD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一般固废</w:t>
                  </w:r>
                </w:p>
              </w:tc>
              <w:tc>
                <w:tcPr>
                  <w:tcW w:w="233" w:type="pct"/>
                  <w:tcBorders>
                    <w:tl2br w:val="nil"/>
                    <w:tr2bl w:val="nil"/>
                  </w:tcBorders>
                  <w:noWrap w:val="0"/>
                  <w:vAlign w:val="center"/>
                </w:tcPr>
                <w:p w14:paraId="4C02E3A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433" w:type="pct"/>
                  <w:tcBorders>
                    <w:tl2br w:val="nil"/>
                    <w:tr2bl w:val="nil"/>
                  </w:tcBorders>
                  <w:noWrap w:val="0"/>
                  <w:vAlign w:val="center"/>
                </w:tcPr>
                <w:p w14:paraId="1537B44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0.5</w:t>
                  </w:r>
                </w:p>
              </w:tc>
              <w:tc>
                <w:tcPr>
                  <w:tcW w:w="233" w:type="pct"/>
                  <w:tcBorders>
                    <w:tl2br w:val="nil"/>
                    <w:tr2bl w:val="nil"/>
                  </w:tcBorders>
                  <w:noWrap w:val="0"/>
                  <w:vAlign w:val="center"/>
                </w:tcPr>
                <w:p w14:paraId="42FFDE6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233" w:type="pct"/>
                  <w:tcBorders>
                    <w:tl2br w:val="nil"/>
                    <w:tr2bl w:val="nil"/>
                  </w:tcBorders>
                  <w:noWrap w:val="0"/>
                  <w:vAlign w:val="center"/>
                </w:tcPr>
                <w:p w14:paraId="2D62F18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袋装</w:t>
                  </w:r>
                </w:p>
              </w:tc>
              <w:tc>
                <w:tcPr>
                  <w:tcW w:w="488" w:type="pct"/>
                  <w:tcBorders>
                    <w:tl2br w:val="nil"/>
                    <w:tr2bl w:val="nil"/>
                  </w:tcBorders>
                  <w:noWrap w:val="0"/>
                  <w:vAlign w:val="center"/>
                </w:tcPr>
                <w:p w14:paraId="564FA43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收集后作外售</w:t>
                  </w:r>
                </w:p>
              </w:tc>
              <w:tc>
                <w:tcPr>
                  <w:tcW w:w="294" w:type="pct"/>
                  <w:vMerge w:val="restart"/>
                  <w:tcBorders>
                    <w:tl2br w:val="nil"/>
                    <w:tr2bl w:val="nil"/>
                  </w:tcBorders>
                  <w:noWrap w:val="0"/>
                  <w:vAlign w:val="center"/>
                </w:tcPr>
                <w:p w14:paraId="1BC10246">
                  <w:pPr>
                    <w:pStyle w:val="6"/>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一般固废暂存间暂存</w:t>
                  </w:r>
                </w:p>
              </w:tc>
            </w:tr>
            <w:tr w14:paraId="69780B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30" w:type="pct"/>
                  <w:tcBorders>
                    <w:tl2br w:val="nil"/>
                    <w:tr2bl w:val="nil"/>
                  </w:tcBorders>
                  <w:noWrap w:val="0"/>
                  <w:vAlign w:val="center"/>
                </w:tcPr>
                <w:p w14:paraId="25FF2F7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p>
              </w:tc>
              <w:tc>
                <w:tcPr>
                  <w:tcW w:w="634" w:type="pct"/>
                  <w:tcBorders>
                    <w:tl2br w:val="nil"/>
                    <w:tr2bl w:val="nil"/>
                  </w:tcBorders>
                  <w:noWrap w:val="0"/>
                  <w:vAlign w:val="center"/>
                </w:tcPr>
                <w:p w14:paraId="07219B5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不合格品</w:t>
                  </w:r>
                </w:p>
              </w:tc>
              <w:tc>
                <w:tcPr>
                  <w:tcW w:w="727" w:type="pct"/>
                  <w:tcBorders>
                    <w:tl2br w:val="nil"/>
                    <w:tr2bl w:val="nil"/>
                  </w:tcBorders>
                  <w:noWrap w:val="0"/>
                  <w:vAlign w:val="center"/>
                </w:tcPr>
                <w:p w14:paraId="6675CA7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SW59 </w:t>
                  </w:r>
                </w:p>
                <w:p w14:paraId="1EE3F3A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其他工业固体废物</w:t>
                  </w:r>
                </w:p>
              </w:tc>
              <w:tc>
                <w:tcPr>
                  <w:tcW w:w="521" w:type="pct"/>
                  <w:tcBorders>
                    <w:tl2br w:val="nil"/>
                    <w:tr2bl w:val="nil"/>
                  </w:tcBorders>
                  <w:noWrap w:val="0"/>
                  <w:vAlign w:val="center"/>
                </w:tcPr>
                <w:p w14:paraId="156B5A2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900-001-S59</w:t>
                  </w:r>
                </w:p>
              </w:tc>
              <w:tc>
                <w:tcPr>
                  <w:tcW w:w="552" w:type="pct"/>
                  <w:tcBorders>
                    <w:tl2br w:val="nil"/>
                    <w:tr2bl w:val="nil"/>
                  </w:tcBorders>
                  <w:noWrap w:val="0"/>
                  <w:vAlign w:val="center"/>
                </w:tcPr>
                <w:p w14:paraId="7A155F6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检验</w:t>
                  </w:r>
                </w:p>
              </w:tc>
              <w:tc>
                <w:tcPr>
                  <w:tcW w:w="416" w:type="pct"/>
                  <w:tcBorders>
                    <w:tl2br w:val="nil"/>
                    <w:tr2bl w:val="nil"/>
                  </w:tcBorders>
                  <w:noWrap w:val="0"/>
                  <w:vAlign w:val="center"/>
                </w:tcPr>
                <w:p w14:paraId="4C77FB8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一般固废</w:t>
                  </w:r>
                </w:p>
              </w:tc>
              <w:tc>
                <w:tcPr>
                  <w:tcW w:w="233" w:type="pct"/>
                  <w:tcBorders>
                    <w:tl2br w:val="nil"/>
                    <w:tr2bl w:val="nil"/>
                  </w:tcBorders>
                  <w:noWrap w:val="0"/>
                  <w:vAlign w:val="center"/>
                </w:tcPr>
                <w:p w14:paraId="15E4292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433" w:type="pct"/>
                  <w:tcBorders>
                    <w:tl2br w:val="nil"/>
                    <w:tr2bl w:val="nil"/>
                  </w:tcBorders>
                  <w:noWrap w:val="0"/>
                  <w:vAlign w:val="center"/>
                </w:tcPr>
                <w:p w14:paraId="402A305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0.1</w:t>
                  </w:r>
                </w:p>
              </w:tc>
              <w:tc>
                <w:tcPr>
                  <w:tcW w:w="233" w:type="pct"/>
                  <w:tcBorders>
                    <w:tl2br w:val="nil"/>
                    <w:tr2bl w:val="nil"/>
                  </w:tcBorders>
                  <w:noWrap w:val="0"/>
                  <w:vAlign w:val="center"/>
                </w:tcPr>
                <w:p w14:paraId="3383ABA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233" w:type="pct"/>
                  <w:tcBorders>
                    <w:tl2br w:val="nil"/>
                    <w:tr2bl w:val="nil"/>
                  </w:tcBorders>
                  <w:noWrap w:val="0"/>
                  <w:vAlign w:val="center"/>
                </w:tcPr>
                <w:p w14:paraId="7D40DBC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袋装</w:t>
                  </w:r>
                </w:p>
              </w:tc>
              <w:tc>
                <w:tcPr>
                  <w:tcW w:w="488" w:type="pct"/>
                  <w:tcBorders>
                    <w:tl2br w:val="nil"/>
                    <w:tr2bl w:val="nil"/>
                  </w:tcBorders>
                  <w:noWrap w:val="0"/>
                  <w:vAlign w:val="center"/>
                </w:tcPr>
                <w:p w14:paraId="40AAADC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收集后作外售</w:t>
                  </w:r>
                </w:p>
              </w:tc>
              <w:tc>
                <w:tcPr>
                  <w:tcW w:w="294" w:type="pct"/>
                  <w:vMerge w:val="continue"/>
                  <w:tcBorders>
                    <w:tl2br w:val="nil"/>
                    <w:tr2bl w:val="nil"/>
                  </w:tcBorders>
                  <w:noWrap w:val="0"/>
                  <w:vAlign w:val="center"/>
                </w:tcPr>
                <w:p w14:paraId="26D749C1">
                  <w:pPr>
                    <w:pStyle w:val="6"/>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83A43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30" w:type="pct"/>
                  <w:tcBorders>
                    <w:tl2br w:val="nil"/>
                    <w:tr2bl w:val="nil"/>
                  </w:tcBorders>
                  <w:noWrap w:val="0"/>
                  <w:vAlign w:val="center"/>
                </w:tcPr>
                <w:p w14:paraId="55A0E0F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634" w:type="pct"/>
                  <w:tcBorders>
                    <w:tl2br w:val="nil"/>
                    <w:tr2bl w:val="nil"/>
                  </w:tcBorders>
                  <w:noWrap w:val="0"/>
                  <w:vAlign w:val="center"/>
                </w:tcPr>
                <w:p w14:paraId="26E4BDF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袋式除尘器</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除尘灰</w:t>
                  </w:r>
                </w:p>
              </w:tc>
              <w:tc>
                <w:tcPr>
                  <w:tcW w:w="727" w:type="pct"/>
                  <w:tcBorders>
                    <w:tl2br w:val="nil"/>
                    <w:tr2bl w:val="nil"/>
                  </w:tcBorders>
                  <w:noWrap w:val="0"/>
                  <w:vAlign w:val="center"/>
                </w:tcPr>
                <w:p w14:paraId="2972DD7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SW59 </w:t>
                  </w:r>
                </w:p>
                <w:p w14:paraId="2C5BF6F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其他工业固体废物</w:t>
                  </w:r>
                </w:p>
              </w:tc>
              <w:tc>
                <w:tcPr>
                  <w:tcW w:w="521" w:type="pct"/>
                  <w:tcBorders>
                    <w:tl2br w:val="nil"/>
                    <w:tr2bl w:val="nil"/>
                  </w:tcBorders>
                  <w:noWrap w:val="0"/>
                  <w:vAlign w:val="center"/>
                </w:tcPr>
                <w:p w14:paraId="5440E11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900-001-S59</w:t>
                  </w:r>
                </w:p>
              </w:tc>
              <w:tc>
                <w:tcPr>
                  <w:tcW w:w="552" w:type="pct"/>
                  <w:tcBorders>
                    <w:tl2br w:val="nil"/>
                    <w:tr2bl w:val="nil"/>
                  </w:tcBorders>
                  <w:noWrap w:val="0"/>
                  <w:vAlign w:val="center"/>
                </w:tcPr>
                <w:p w14:paraId="48FE86C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袋式除尘器</w:t>
                  </w:r>
                </w:p>
              </w:tc>
              <w:tc>
                <w:tcPr>
                  <w:tcW w:w="416" w:type="pct"/>
                  <w:tcBorders>
                    <w:tl2br w:val="nil"/>
                    <w:tr2bl w:val="nil"/>
                  </w:tcBorders>
                  <w:noWrap w:val="0"/>
                  <w:vAlign w:val="center"/>
                </w:tcPr>
                <w:p w14:paraId="4309263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一般固废</w:t>
                  </w:r>
                </w:p>
              </w:tc>
              <w:tc>
                <w:tcPr>
                  <w:tcW w:w="233" w:type="pct"/>
                  <w:tcBorders>
                    <w:tl2br w:val="nil"/>
                    <w:tr2bl w:val="nil"/>
                  </w:tcBorders>
                  <w:noWrap w:val="0"/>
                  <w:vAlign w:val="center"/>
                </w:tcPr>
                <w:p w14:paraId="4F36679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433" w:type="pct"/>
                  <w:tcBorders>
                    <w:tl2br w:val="nil"/>
                    <w:tr2bl w:val="nil"/>
                  </w:tcBorders>
                  <w:noWrap w:val="0"/>
                  <w:vAlign w:val="center"/>
                </w:tcPr>
                <w:p w14:paraId="2095D40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14.87</w:t>
                  </w:r>
                </w:p>
              </w:tc>
              <w:tc>
                <w:tcPr>
                  <w:tcW w:w="233" w:type="pct"/>
                  <w:tcBorders>
                    <w:tl2br w:val="nil"/>
                    <w:tr2bl w:val="nil"/>
                  </w:tcBorders>
                  <w:noWrap w:val="0"/>
                  <w:vAlign w:val="center"/>
                </w:tcPr>
                <w:p w14:paraId="0661F78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233" w:type="pct"/>
                  <w:tcBorders>
                    <w:tl2br w:val="nil"/>
                    <w:tr2bl w:val="nil"/>
                  </w:tcBorders>
                  <w:noWrap w:val="0"/>
                  <w:vAlign w:val="center"/>
                </w:tcPr>
                <w:p w14:paraId="0E4E75D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袋装</w:t>
                  </w:r>
                </w:p>
              </w:tc>
              <w:tc>
                <w:tcPr>
                  <w:tcW w:w="488" w:type="pct"/>
                  <w:tcBorders>
                    <w:tl2br w:val="nil"/>
                    <w:tr2bl w:val="nil"/>
                  </w:tcBorders>
                  <w:noWrap w:val="0"/>
                  <w:vAlign w:val="center"/>
                </w:tcPr>
                <w:p w14:paraId="2DC9349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收集后作外售</w:t>
                  </w:r>
                </w:p>
              </w:tc>
              <w:tc>
                <w:tcPr>
                  <w:tcW w:w="294" w:type="pct"/>
                  <w:vMerge w:val="continue"/>
                  <w:tcBorders>
                    <w:tl2br w:val="nil"/>
                    <w:tr2bl w:val="nil"/>
                  </w:tcBorders>
                  <w:noWrap w:val="0"/>
                  <w:vAlign w:val="center"/>
                </w:tcPr>
                <w:p w14:paraId="5EC8EF5A">
                  <w:pPr>
                    <w:pStyle w:val="6"/>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38500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30" w:type="pct"/>
                  <w:tcBorders>
                    <w:tl2br w:val="nil"/>
                    <w:tr2bl w:val="nil"/>
                  </w:tcBorders>
                  <w:noWrap w:val="0"/>
                  <w:vAlign w:val="center"/>
                </w:tcPr>
                <w:p w14:paraId="42FD478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4</w:t>
                  </w:r>
                </w:p>
              </w:tc>
              <w:tc>
                <w:tcPr>
                  <w:tcW w:w="634" w:type="pct"/>
                  <w:tcBorders>
                    <w:tl2br w:val="nil"/>
                    <w:tr2bl w:val="nil"/>
                  </w:tcBorders>
                  <w:noWrap w:val="0"/>
                  <w:vAlign w:val="center"/>
                </w:tcPr>
                <w:p w14:paraId="2619112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废离子交换树脂</w:t>
                  </w:r>
                </w:p>
              </w:tc>
              <w:tc>
                <w:tcPr>
                  <w:tcW w:w="727" w:type="pct"/>
                  <w:tcBorders>
                    <w:tl2br w:val="nil"/>
                    <w:tr2bl w:val="nil"/>
                  </w:tcBorders>
                  <w:noWrap w:val="0"/>
                  <w:vAlign w:val="center"/>
                </w:tcPr>
                <w:p w14:paraId="51AC53F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SW17</w:t>
                  </w:r>
                </w:p>
                <w:p w14:paraId="1806186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可再生类废物</w:t>
                  </w:r>
                </w:p>
              </w:tc>
              <w:tc>
                <w:tcPr>
                  <w:tcW w:w="521" w:type="pct"/>
                  <w:tcBorders>
                    <w:tl2br w:val="nil"/>
                    <w:tr2bl w:val="nil"/>
                  </w:tcBorders>
                  <w:noWrap w:val="0"/>
                  <w:vAlign w:val="center"/>
                </w:tcPr>
                <w:p w14:paraId="1498A26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900-001-S17 </w:t>
                  </w:r>
                </w:p>
              </w:tc>
              <w:tc>
                <w:tcPr>
                  <w:tcW w:w="552" w:type="pct"/>
                  <w:tcBorders>
                    <w:tl2br w:val="nil"/>
                    <w:tr2bl w:val="nil"/>
                  </w:tcBorders>
                  <w:noWrap w:val="0"/>
                  <w:vAlign w:val="center"/>
                </w:tcPr>
                <w:p w14:paraId="38A800B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纯水制备</w:t>
                  </w:r>
                </w:p>
              </w:tc>
              <w:tc>
                <w:tcPr>
                  <w:tcW w:w="416" w:type="pct"/>
                  <w:tcBorders>
                    <w:tl2br w:val="nil"/>
                    <w:tr2bl w:val="nil"/>
                  </w:tcBorders>
                  <w:noWrap w:val="0"/>
                  <w:vAlign w:val="center"/>
                </w:tcPr>
                <w:p w14:paraId="59CB674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一般固废</w:t>
                  </w:r>
                </w:p>
              </w:tc>
              <w:tc>
                <w:tcPr>
                  <w:tcW w:w="233" w:type="pct"/>
                  <w:tcBorders>
                    <w:tl2br w:val="nil"/>
                    <w:tr2bl w:val="nil"/>
                  </w:tcBorders>
                  <w:noWrap w:val="0"/>
                  <w:vAlign w:val="center"/>
                </w:tcPr>
                <w:p w14:paraId="04CAD7A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433" w:type="pct"/>
                  <w:tcBorders>
                    <w:tl2br w:val="nil"/>
                    <w:tr2bl w:val="nil"/>
                  </w:tcBorders>
                  <w:noWrap w:val="0"/>
                  <w:vAlign w:val="center"/>
                </w:tcPr>
                <w:p w14:paraId="3D199D4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0.8</w:t>
                  </w:r>
                </w:p>
              </w:tc>
              <w:tc>
                <w:tcPr>
                  <w:tcW w:w="233" w:type="pct"/>
                  <w:tcBorders>
                    <w:tl2br w:val="nil"/>
                    <w:tr2bl w:val="nil"/>
                  </w:tcBorders>
                  <w:noWrap w:val="0"/>
                  <w:vAlign w:val="center"/>
                </w:tcPr>
                <w:p w14:paraId="77733D7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233" w:type="pct"/>
                  <w:tcBorders>
                    <w:tl2br w:val="nil"/>
                    <w:tr2bl w:val="nil"/>
                  </w:tcBorders>
                  <w:noWrap w:val="0"/>
                  <w:vAlign w:val="center"/>
                </w:tcPr>
                <w:p w14:paraId="308992E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袋装</w:t>
                  </w:r>
                </w:p>
              </w:tc>
              <w:tc>
                <w:tcPr>
                  <w:tcW w:w="488" w:type="pct"/>
                  <w:tcBorders>
                    <w:tl2br w:val="nil"/>
                    <w:tr2bl w:val="nil"/>
                  </w:tcBorders>
                  <w:noWrap w:val="0"/>
                  <w:vAlign w:val="center"/>
                </w:tcPr>
                <w:p w14:paraId="4562751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收集后回用</w:t>
                  </w:r>
                </w:p>
              </w:tc>
              <w:tc>
                <w:tcPr>
                  <w:tcW w:w="294" w:type="pct"/>
                  <w:vMerge w:val="continue"/>
                  <w:tcBorders>
                    <w:tl2br w:val="nil"/>
                    <w:tr2bl w:val="nil"/>
                  </w:tcBorders>
                  <w:noWrap w:val="0"/>
                  <w:vAlign w:val="center"/>
                </w:tcPr>
                <w:p w14:paraId="17C9876D">
                  <w:pPr>
                    <w:pStyle w:val="6"/>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53B987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0" w:type="pct"/>
                  <w:tcBorders>
                    <w:tl2br w:val="nil"/>
                    <w:tr2bl w:val="nil"/>
                  </w:tcBorders>
                  <w:noWrap w:val="0"/>
                  <w:vAlign w:val="center"/>
                </w:tcPr>
                <w:p w14:paraId="0606BCE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5</w:t>
                  </w:r>
                </w:p>
              </w:tc>
              <w:tc>
                <w:tcPr>
                  <w:tcW w:w="634" w:type="pct"/>
                  <w:tcBorders>
                    <w:tl2br w:val="nil"/>
                    <w:tr2bl w:val="nil"/>
                  </w:tcBorders>
                  <w:noWrap w:val="0"/>
                  <w:vAlign w:val="center"/>
                </w:tcPr>
                <w:p w14:paraId="3FD7681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污泥</w:t>
                  </w:r>
                </w:p>
              </w:tc>
              <w:tc>
                <w:tcPr>
                  <w:tcW w:w="727" w:type="pct"/>
                  <w:tcBorders>
                    <w:tl2br w:val="nil"/>
                    <w:tr2bl w:val="nil"/>
                  </w:tcBorders>
                  <w:noWrap w:val="0"/>
                  <w:vAlign w:val="center"/>
                </w:tcPr>
                <w:p w14:paraId="53D2B7B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SW59 </w:t>
                  </w:r>
                </w:p>
                <w:p w14:paraId="72C6950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其他工业固体废物</w:t>
                  </w:r>
                </w:p>
              </w:tc>
              <w:tc>
                <w:tcPr>
                  <w:tcW w:w="521" w:type="pct"/>
                  <w:tcBorders>
                    <w:tl2br w:val="nil"/>
                    <w:tr2bl w:val="nil"/>
                  </w:tcBorders>
                  <w:noWrap w:val="0"/>
                  <w:vAlign w:val="center"/>
                </w:tcPr>
                <w:p w14:paraId="76FFD1D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900-001-S59</w:t>
                  </w:r>
                </w:p>
              </w:tc>
              <w:tc>
                <w:tcPr>
                  <w:tcW w:w="552" w:type="pct"/>
                  <w:tcBorders>
                    <w:tl2br w:val="nil"/>
                    <w:tr2bl w:val="nil"/>
                  </w:tcBorders>
                  <w:noWrap w:val="0"/>
                  <w:vAlign w:val="center"/>
                </w:tcPr>
                <w:p w14:paraId="2EF4D27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废水处理</w:t>
                  </w:r>
                </w:p>
              </w:tc>
              <w:tc>
                <w:tcPr>
                  <w:tcW w:w="416" w:type="pct"/>
                  <w:tcBorders>
                    <w:tl2br w:val="nil"/>
                    <w:tr2bl w:val="nil"/>
                  </w:tcBorders>
                  <w:noWrap w:val="0"/>
                  <w:vAlign w:val="center"/>
                </w:tcPr>
                <w:p w14:paraId="0B84CF8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一般固废</w:t>
                  </w:r>
                </w:p>
              </w:tc>
              <w:tc>
                <w:tcPr>
                  <w:tcW w:w="233" w:type="pct"/>
                  <w:tcBorders>
                    <w:tl2br w:val="nil"/>
                    <w:tr2bl w:val="nil"/>
                  </w:tcBorders>
                  <w:noWrap w:val="0"/>
                  <w:vAlign w:val="center"/>
                </w:tcPr>
                <w:p w14:paraId="35258B5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433" w:type="pct"/>
                  <w:tcBorders>
                    <w:tl2br w:val="nil"/>
                    <w:tr2bl w:val="nil"/>
                  </w:tcBorders>
                  <w:noWrap w:val="0"/>
                  <w:vAlign w:val="center"/>
                </w:tcPr>
                <w:p w14:paraId="323BBC7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5.9</w:t>
                  </w:r>
                </w:p>
              </w:tc>
              <w:tc>
                <w:tcPr>
                  <w:tcW w:w="233" w:type="pct"/>
                  <w:tcBorders>
                    <w:tl2br w:val="nil"/>
                    <w:tr2bl w:val="nil"/>
                  </w:tcBorders>
                  <w:noWrap w:val="0"/>
                  <w:vAlign w:val="center"/>
                </w:tcPr>
                <w:p w14:paraId="21547AC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233" w:type="pct"/>
                  <w:tcBorders>
                    <w:tl2br w:val="nil"/>
                    <w:tr2bl w:val="nil"/>
                  </w:tcBorders>
                  <w:noWrap w:val="0"/>
                  <w:vAlign w:val="center"/>
                </w:tcPr>
                <w:p w14:paraId="7F6B1B6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袋装</w:t>
                  </w:r>
                </w:p>
              </w:tc>
              <w:tc>
                <w:tcPr>
                  <w:tcW w:w="488" w:type="pct"/>
                  <w:tcBorders>
                    <w:tl2br w:val="nil"/>
                    <w:tr2bl w:val="nil"/>
                  </w:tcBorders>
                  <w:noWrap w:val="0"/>
                  <w:vAlign w:val="center"/>
                </w:tcPr>
                <w:p w14:paraId="33E6714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定期清运至垃圾填埋场处理</w:t>
                  </w:r>
                </w:p>
              </w:tc>
              <w:tc>
                <w:tcPr>
                  <w:tcW w:w="294" w:type="pct"/>
                  <w:vMerge w:val="continue"/>
                  <w:tcBorders>
                    <w:tl2br w:val="nil"/>
                    <w:tr2bl w:val="nil"/>
                  </w:tcBorders>
                  <w:noWrap w:val="0"/>
                  <w:vAlign w:val="center"/>
                </w:tcPr>
                <w:p w14:paraId="6D155D86">
                  <w:pPr>
                    <w:pStyle w:val="6"/>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59A6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0" w:type="pct"/>
                  <w:tcBorders>
                    <w:tl2br w:val="nil"/>
                    <w:tr2bl w:val="nil"/>
                  </w:tcBorders>
                  <w:noWrap w:val="0"/>
                  <w:vAlign w:val="center"/>
                </w:tcPr>
                <w:p w14:paraId="44B47BD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6</w:t>
                  </w:r>
                </w:p>
              </w:tc>
              <w:tc>
                <w:tcPr>
                  <w:tcW w:w="634" w:type="pct"/>
                  <w:tcBorders>
                    <w:tl2br w:val="nil"/>
                    <w:tr2bl w:val="nil"/>
                  </w:tcBorders>
                  <w:noWrap w:val="0"/>
                  <w:vAlign w:val="center"/>
                </w:tcPr>
                <w:p w14:paraId="44F4D3D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浸泡清洗</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废渣</w:t>
                  </w:r>
                </w:p>
              </w:tc>
              <w:tc>
                <w:tcPr>
                  <w:tcW w:w="727" w:type="pct"/>
                  <w:vMerge w:val="restart"/>
                  <w:tcBorders>
                    <w:tl2br w:val="nil"/>
                    <w:tr2bl w:val="nil"/>
                  </w:tcBorders>
                  <w:noWrap w:val="0"/>
                  <w:vAlign w:val="center"/>
                </w:tcPr>
                <w:p w14:paraId="2E5D850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SW59 </w:t>
                  </w:r>
                </w:p>
                <w:p w14:paraId="11AF3C9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其他工业固体废物</w:t>
                  </w:r>
                </w:p>
              </w:tc>
              <w:tc>
                <w:tcPr>
                  <w:tcW w:w="521" w:type="pct"/>
                  <w:vMerge w:val="restart"/>
                  <w:tcBorders>
                    <w:tl2br w:val="nil"/>
                    <w:tr2bl w:val="nil"/>
                  </w:tcBorders>
                  <w:noWrap w:val="0"/>
                  <w:vAlign w:val="center"/>
                </w:tcPr>
                <w:p w14:paraId="0340944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900-099-S59</w:t>
                  </w:r>
                </w:p>
              </w:tc>
              <w:tc>
                <w:tcPr>
                  <w:tcW w:w="552" w:type="pct"/>
                  <w:tcBorders>
                    <w:tl2br w:val="nil"/>
                    <w:tr2bl w:val="nil"/>
                  </w:tcBorders>
                  <w:noWrap w:val="0"/>
                  <w:vAlign w:val="center"/>
                </w:tcPr>
                <w:p w14:paraId="3CB49B9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浸泡清洗</w:t>
                  </w:r>
                </w:p>
              </w:tc>
              <w:tc>
                <w:tcPr>
                  <w:tcW w:w="416" w:type="pct"/>
                  <w:vMerge w:val="restart"/>
                  <w:tcBorders>
                    <w:tl2br w:val="nil"/>
                    <w:tr2bl w:val="nil"/>
                  </w:tcBorders>
                  <w:noWrap w:val="0"/>
                  <w:vAlign w:val="center"/>
                </w:tcPr>
                <w:p w14:paraId="46484AB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一般固废</w:t>
                  </w:r>
                </w:p>
              </w:tc>
              <w:tc>
                <w:tcPr>
                  <w:tcW w:w="233" w:type="pct"/>
                  <w:vMerge w:val="restart"/>
                  <w:tcBorders>
                    <w:tl2br w:val="nil"/>
                    <w:tr2bl w:val="nil"/>
                  </w:tcBorders>
                  <w:noWrap w:val="0"/>
                  <w:vAlign w:val="center"/>
                </w:tcPr>
                <w:p w14:paraId="3955029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433" w:type="pct"/>
                  <w:tcBorders>
                    <w:tl2br w:val="nil"/>
                    <w:tr2bl w:val="nil"/>
                  </w:tcBorders>
                  <w:noWrap w:val="0"/>
                  <w:vAlign w:val="center"/>
                </w:tcPr>
                <w:p w14:paraId="3E294A9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0.5</w:t>
                  </w:r>
                </w:p>
              </w:tc>
              <w:tc>
                <w:tcPr>
                  <w:tcW w:w="233" w:type="pct"/>
                  <w:vMerge w:val="restart"/>
                  <w:tcBorders>
                    <w:tl2br w:val="nil"/>
                    <w:tr2bl w:val="nil"/>
                  </w:tcBorders>
                  <w:noWrap w:val="0"/>
                  <w:vAlign w:val="center"/>
                </w:tcPr>
                <w:p w14:paraId="330FAB1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233" w:type="pct"/>
                  <w:vMerge w:val="restart"/>
                  <w:tcBorders>
                    <w:tl2br w:val="nil"/>
                    <w:tr2bl w:val="nil"/>
                  </w:tcBorders>
                  <w:noWrap w:val="0"/>
                  <w:vAlign w:val="center"/>
                </w:tcPr>
                <w:p w14:paraId="2A4E5CD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袋装</w:t>
                  </w:r>
                </w:p>
              </w:tc>
              <w:tc>
                <w:tcPr>
                  <w:tcW w:w="488" w:type="pct"/>
                  <w:vMerge w:val="restart"/>
                  <w:tcBorders>
                    <w:tl2br w:val="nil"/>
                    <w:tr2bl w:val="nil"/>
                  </w:tcBorders>
                  <w:noWrap w:val="0"/>
                  <w:vAlign w:val="center"/>
                </w:tcPr>
                <w:p w14:paraId="19A43BB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收集后作外售</w:t>
                  </w:r>
                </w:p>
              </w:tc>
              <w:tc>
                <w:tcPr>
                  <w:tcW w:w="294" w:type="pct"/>
                  <w:vMerge w:val="continue"/>
                  <w:tcBorders>
                    <w:tl2br w:val="nil"/>
                    <w:tr2bl w:val="nil"/>
                  </w:tcBorders>
                  <w:noWrap w:val="0"/>
                  <w:vAlign w:val="center"/>
                </w:tcPr>
                <w:p w14:paraId="41FC7D9F">
                  <w:pPr>
                    <w:pStyle w:val="6"/>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5BCA6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0" w:type="pct"/>
                  <w:tcBorders>
                    <w:tl2br w:val="nil"/>
                    <w:tr2bl w:val="nil"/>
                  </w:tcBorders>
                  <w:noWrap w:val="0"/>
                  <w:vAlign w:val="center"/>
                </w:tcPr>
                <w:p w14:paraId="32E400F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7</w:t>
                  </w:r>
                </w:p>
              </w:tc>
              <w:tc>
                <w:tcPr>
                  <w:tcW w:w="634" w:type="pct"/>
                  <w:tcBorders>
                    <w:tl2br w:val="nil"/>
                    <w:tr2bl w:val="nil"/>
                  </w:tcBorders>
                  <w:noWrap w:val="0"/>
                  <w:vAlign w:val="center"/>
                </w:tcPr>
                <w:p w14:paraId="1531D491">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卤制工序废渣</w:t>
                  </w:r>
                </w:p>
              </w:tc>
              <w:tc>
                <w:tcPr>
                  <w:tcW w:w="727" w:type="pct"/>
                  <w:vMerge w:val="continue"/>
                  <w:tcBorders>
                    <w:tl2br w:val="nil"/>
                    <w:tr2bl w:val="nil"/>
                  </w:tcBorders>
                  <w:noWrap w:val="0"/>
                  <w:vAlign w:val="center"/>
                </w:tcPr>
                <w:p w14:paraId="3889E5A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21" w:type="pct"/>
                  <w:vMerge w:val="continue"/>
                  <w:tcBorders>
                    <w:tl2br w:val="nil"/>
                    <w:tr2bl w:val="nil"/>
                  </w:tcBorders>
                  <w:noWrap w:val="0"/>
                  <w:vAlign w:val="center"/>
                </w:tcPr>
                <w:p w14:paraId="7DF2EF1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52" w:type="pct"/>
                  <w:tcBorders>
                    <w:tl2br w:val="nil"/>
                    <w:tr2bl w:val="nil"/>
                  </w:tcBorders>
                  <w:noWrap w:val="0"/>
                  <w:vAlign w:val="center"/>
                </w:tcPr>
                <w:p w14:paraId="7268119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卤制工序</w:t>
                  </w:r>
                </w:p>
              </w:tc>
              <w:tc>
                <w:tcPr>
                  <w:tcW w:w="416" w:type="pct"/>
                  <w:vMerge w:val="continue"/>
                  <w:tcBorders>
                    <w:tl2br w:val="nil"/>
                    <w:tr2bl w:val="nil"/>
                  </w:tcBorders>
                  <w:noWrap w:val="0"/>
                  <w:vAlign w:val="center"/>
                </w:tcPr>
                <w:p w14:paraId="0340B4D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33" w:type="pct"/>
                  <w:vMerge w:val="continue"/>
                  <w:tcBorders>
                    <w:tl2br w:val="nil"/>
                    <w:tr2bl w:val="nil"/>
                  </w:tcBorders>
                  <w:noWrap w:val="0"/>
                  <w:vAlign w:val="center"/>
                </w:tcPr>
                <w:p w14:paraId="75D06FD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33" w:type="pct"/>
                  <w:tcBorders>
                    <w:tl2br w:val="nil"/>
                    <w:tr2bl w:val="nil"/>
                  </w:tcBorders>
                  <w:noWrap w:val="0"/>
                  <w:vAlign w:val="center"/>
                </w:tcPr>
                <w:p w14:paraId="31051CD2">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26.4</w:t>
                  </w:r>
                </w:p>
              </w:tc>
              <w:tc>
                <w:tcPr>
                  <w:tcW w:w="233" w:type="pct"/>
                  <w:vMerge w:val="continue"/>
                  <w:tcBorders>
                    <w:tl2br w:val="nil"/>
                    <w:tr2bl w:val="nil"/>
                  </w:tcBorders>
                  <w:noWrap w:val="0"/>
                  <w:vAlign w:val="center"/>
                </w:tcPr>
                <w:p w14:paraId="21FB8C7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33" w:type="pct"/>
                  <w:vMerge w:val="continue"/>
                  <w:tcBorders>
                    <w:tl2br w:val="nil"/>
                    <w:tr2bl w:val="nil"/>
                  </w:tcBorders>
                  <w:noWrap w:val="0"/>
                  <w:vAlign w:val="center"/>
                </w:tcPr>
                <w:p w14:paraId="6DAFF1C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88" w:type="pct"/>
                  <w:vMerge w:val="continue"/>
                  <w:tcBorders>
                    <w:tl2br w:val="nil"/>
                    <w:tr2bl w:val="nil"/>
                  </w:tcBorders>
                  <w:noWrap w:val="0"/>
                  <w:vAlign w:val="center"/>
                </w:tcPr>
                <w:p w14:paraId="666B986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94" w:type="pct"/>
                  <w:vMerge w:val="continue"/>
                  <w:tcBorders>
                    <w:tl2br w:val="nil"/>
                    <w:tr2bl w:val="nil"/>
                  </w:tcBorders>
                  <w:noWrap w:val="0"/>
                  <w:vAlign w:val="center"/>
                </w:tcPr>
                <w:p w14:paraId="6330AF12">
                  <w:pPr>
                    <w:pStyle w:val="6"/>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619AB3D7">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szCs w:val="24"/>
                <w14:textFill>
                  <w14:solidFill>
                    <w14:schemeClr w14:val="tx1"/>
                  </w14:solidFill>
                </w14:textFill>
              </w:rPr>
            </w:pPr>
          </w:p>
          <w:p w14:paraId="09DFCEAD">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4-1</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14:textFill>
                  <w14:solidFill>
                    <w14:schemeClr w14:val="tx1"/>
                  </w14:solidFill>
                </w14:textFill>
              </w:rPr>
              <w:t xml:space="preserve">  本项目</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危险废物</w:t>
            </w:r>
            <w:r>
              <w:rPr>
                <w:rFonts w:hint="default" w:ascii="Times New Roman" w:hAnsi="Times New Roman" w:eastAsia="宋体" w:cs="Times New Roman"/>
                <w:b/>
                <w:bCs/>
                <w:color w:val="000000" w:themeColor="text1"/>
                <w:sz w:val="24"/>
                <w:szCs w:val="24"/>
                <w14:textFill>
                  <w14:solidFill>
                    <w14:schemeClr w14:val="tx1"/>
                  </w14:solidFill>
                </w14:textFill>
              </w:rPr>
              <w:t>产生及处置情况统计表</w:t>
            </w:r>
          </w:p>
          <w:tbl>
            <w:tblPr>
              <w:tblStyle w:val="33"/>
              <w:tblW w:w="464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3"/>
              <w:gridCol w:w="1067"/>
              <w:gridCol w:w="734"/>
              <w:gridCol w:w="1185"/>
              <w:gridCol w:w="870"/>
              <w:gridCol w:w="736"/>
              <w:gridCol w:w="736"/>
              <w:gridCol w:w="400"/>
              <w:gridCol w:w="630"/>
              <w:gridCol w:w="640"/>
              <w:gridCol w:w="631"/>
            </w:tblGrid>
            <w:tr w14:paraId="7A6C40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 w:type="pct"/>
                  <w:tcBorders>
                    <w:tl2br w:val="nil"/>
                    <w:tr2bl w:val="nil"/>
                  </w:tcBorders>
                  <w:noWrap w:val="0"/>
                  <w:vAlign w:val="center"/>
                </w:tcPr>
                <w:p w14:paraId="0AE6E08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序号</w:t>
                  </w:r>
                </w:p>
              </w:tc>
              <w:tc>
                <w:tcPr>
                  <w:tcW w:w="668" w:type="pct"/>
                  <w:tcBorders>
                    <w:tl2br w:val="nil"/>
                    <w:tr2bl w:val="nil"/>
                  </w:tcBorders>
                  <w:noWrap w:val="0"/>
                  <w:vAlign w:val="center"/>
                </w:tcPr>
                <w:p w14:paraId="1E44D74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危险废物名称</w:t>
                  </w:r>
                </w:p>
              </w:tc>
              <w:tc>
                <w:tcPr>
                  <w:tcW w:w="459" w:type="pct"/>
                  <w:tcBorders>
                    <w:tl2br w:val="nil"/>
                    <w:tr2bl w:val="nil"/>
                  </w:tcBorders>
                  <w:noWrap w:val="0"/>
                  <w:vAlign w:val="center"/>
                </w:tcPr>
                <w:p w14:paraId="58E12C2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危废类别</w:t>
                  </w:r>
                </w:p>
              </w:tc>
              <w:tc>
                <w:tcPr>
                  <w:tcW w:w="742" w:type="pct"/>
                  <w:tcBorders>
                    <w:tl2br w:val="nil"/>
                    <w:tr2bl w:val="nil"/>
                  </w:tcBorders>
                  <w:noWrap w:val="0"/>
                  <w:vAlign w:val="center"/>
                </w:tcPr>
                <w:p w14:paraId="3973741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危废代码及行业来源</w:t>
                  </w:r>
                </w:p>
              </w:tc>
              <w:tc>
                <w:tcPr>
                  <w:tcW w:w="544" w:type="pct"/>
                  <w:tcBorders>
                    <w:tl2br w:val="nil"/>
                    <w:tr2bl w:val="nil"/>
                  </w:tcBorders>
                  <w:noWrap w:val="0"/>
                  <w:vAlign w:val="center"/>
                </w:tcPr>
                <w:p w14:paraId="15C3EAD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产生量t/a</w:t>
                  </w:r>
                </w:p>
              </w:tc>
              <w:tc>
                <w:tcPr>
                  <w:tcW w:w="461" w:type="pct"/>
                  <w:tcBorders>
                    <w:tl2br w:val="nil"/>
                    <w:tr2bl w:val="nil"/>
                  </w:tcBorders>
                  <w:noWrap w:val="0"/>
                  <w:vAlign w:val="center"/>
                </w:tcPr>
                <w:p w14:paraId="7106A5B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最大储存量</w:t>
                  </w:r>
                  <w:r>
                    <w:rPr>
                      <w:rFonts w:hint="eastAsia" w:cs="Times New Roman"/>
                      <w:color w:val="000000" w:themeColor="text1"/>
                      <w:sz w:val="21"/>
                      <w:szCs w:val="21"/>
                      <w:lang w:val="en-US" w:eastAsia="zh-CN"/>
                      <w14:textFill>
                        <w14:solidFill>
                          <w14:schemeClr w14:val="tx1"/>
                        </w14:solidFill>
                      </w14:textFill>
                    </w:rPr>
                    <w:t>t/a</w:t>
                  </w:r>
                </w:p>
              </w:tc>
              <w:tc>
                <w:tcPr>
                  <w:tcW w:w="461" w:type="pct"/>
                  <w:tcBorders>
                    <w:tl2br w:val="nil"/>
                    <w:tr2bl w:val="nil"/>
                  </w:tcBorders>
                  <w:noWrap w:val="0"/>
                  <w:vAlign w:val="center"/>
                </w:tcPr>
                <w:p w14:paraId="504A754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产生工序</w:t>
                  </w:r>
                </w:p>
              </w:tc>
              <w:tc>
                <w:tcPr>
                  <w:tcW w:w="250" w:type="pct"/>
                  <w:tcBorders>
                    <w:tl2br w:val="nil"/>
                    <w:tr2bl w:val="nil"/>
                  </w:tcBorders>
                  <w:noWrap w:val="0"/>
                  <w:vAlign w:val="center"/>
                </w:tcPr>
                <w:p w14:paraId="4FEFF7A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形态</w:t>
                  </w:r>
                </w:p>
              </w:tc>
              <w:tc>
                <w:tcPr>
                  <w:tcW w:w="394" w:type="pct"/>
                  <w:tcBorders>
                    <w:tl2br w:val="nil"/>
                    <w:tr2bl w:val="nil"/>
                  </w:tcBorders>
                  <w:noWrap w:val="0"/>
                  <w:vAlign w:val="center"/>
                </w:tcPr>
                <w:p w14:paraId="066FEA5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有害成分</w:t>
                  </w:r>
                </w:p>
              </w:tc>
              <w:tc>
                <w:tcPr>
                  <w:tcW w:w="400" w:type="pct"/>
                  <w:tcBorders>
                    <w:tl2br w:val="nil"/>
                    <w:tr2bl w:val="nil"/>
                  </w:tcBorders>
                  <w:noWrap w:val="0"/>
                  <w:vAlign w:val="center"/>
                </w:tcPr>
                <w:p w14:paraId="15293A3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产废周期</w:t>
                  </w:r>
                </w:p>
              </w:tc>
              <w:tc>
                <w:tcPr>
                  <w:tcW w:w="395" w:type="pct"/>
                  <w:tcBorders>
                    <w:tl2br w:val="nil"/>
                    <w:tr2bl w:val="nil"/>
                  </w:tcBorders>
                  <w:noWrap w:val="0"/>
                  <w:vAlign w:val="center"/>
                </w:tcPr>
                <w:p w14:paraId="791C7D6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危险特性</w:t>
                  </w:r>
                </w:p>
              </w:tc>
            </w:tr>
            <w:tr w14:paraId="532420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 w:type="pct"/>
                  <w:tcBorders>
                    <w:tl2br w:val="nil"/>
                    <w:tr2bl w:val="nil"/>
                  </w:tcBorders>
                  <w:shd w:val="clear" w:color="auto" w:fill="auto"/>
                  <w:noWrap w:val="0"/>
                  <w:vAlign w:val="center"/>
                </w:tcPr>
                <w:p w14:paraId="3D723797">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668" w:type="pct"/>
                  <w:tcBorders>
                    <w:tl2br w:val="nil"/>
                    <w:tr2bl w:val="nil"/>
                  </w:tcBorders>
                  <w:shd w:val="clear" w:color="auto" w:fill="auto"/>
                  <w:noWrap w:val="0"/>
                  <w:vAlign w:val="center"/>
                </w:tcPr>
                <w:p w14:paraId="0C0528EB">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废活性炭</w:t>
                  </w:r>
                </w:p>
              </w:tc>
              <w:tc>
                <w:tcPr>
                  <w:tcW w:w="459" w:type="pct"/>
                  <w:tcBorders>
                    <w:tl2br w:val="nil"/>
                    <w:tr2bl w:val="nil"/>
                  </w:tcBorders>
                  <w:shd w:val="clear" w:color="auto" w:fill="auto"/>
                  <w:noWrap w:val="0"/>
                  <w:vAlign w:val="center"/>
                </w:tcPr>
                <w:p w14:paraId="49E73B58">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spacing w:val="-2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t>HW49</w:t>
                  </w:r>
                </w:p>
              </w:tc>
              <w:tc>
                <w:tcPr>
                  <w:tcW w:w="742" w:type="pct"/>
                  <w:tcBorders>
                    <w:tl2br w:val="nil"/>
                    <w:tr2bl w:val="nil"/>
                  </w:tcBorders>
                  <w:shd w:val="clear" w:color="auto" w:fill="auto"/>
                  <w:noWrap w:val="0"/>
                  <w:vAlign w:val="center"/>
                </w:tcPr>
                <w:p w14:paraId="17DD3C64">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spacing w:val="-2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20"/>
                      <w:sz w:val="21"/>
                      <w:szCs w:val="21"/>
                      <w:lang w:val="en-US" w:eastAsia="zh-CN"/>
                      <w14:textFill>
                        <w14:solidFill>
                          <w14:schemeClr w14:val="tx1"/>
                        </w14:solidFill>
                      </w14:textFill>
                    </w:rPr>
                    <w:t>900-039-49</w:t>
                  </w:r>
                </w:p>
              </w:tc>
              <w:tc>
                <w:tcPr>
                  <w:tcW w:w="544" w:type="pct"/>
                  <w:tcBorders>
                    <w:tl2br w:val="nil"/>
                    <w:tr2bl w:val="nil"/>
                  </w:tcBorders>
                  <w:shd w:val="clear" w:color="auto" w:fill="auto"/>
                  <w:noWrap w:val="0"/>
                  <w:vAlign w:val="center"/>
                </w:tcPr>
                <w:p w14:paraId="496D0231">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0.8</w:t>
                  </w:r>
                </w:p>
              </w:tc>
              <w:tc>
                <w:tcPr>
                  <w:tcW w:w="461" w:type="pct"/>
                  <w:tcBorders>
                    <w:tl2br w:val="nil"/>
                    <w:tr2bl w:val="nil"/>
                  </w:tcBorders>
                  <w:shd w:val="clear" w:color="auto" w:fill="auto"/>
                  <w:noWrap w:val="0"/>
                  <w:vAlign w:val="center"/>
                </w:tcPr>
                <w:p w14:paraId="2DEEF6C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0.8</w:t>
                  </w:r>
                </w:p>
              </w:tc>
              <w:tc>
                <w:tcPr>
                  <w:tcW w:w="461" w:type="pct"/>
                  <w:tcBorders>
                    <w:tl2br w:val="nil"/>
                    <w:tr2bl w:val="nil"/>
                  </w:tcBorders>
                  <w:shd w:val="clear" w:color="auto" w:fill="auto"/>
                  <w:noWrap w:val="0"/>
                  <w:vAlign w:val="center"/>
                </w:tcPr>
                <w:p w14:paraId="71FE1E0F">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废气处理</w:t>
                  </w:r>
                </w:p>
              </w:tc>
              <w:tc>
                <w:tcPr>
                  <w:tcW w:w="250" w:type="pct"/>
                  <w:tcBorders>
                    <w:tl2br w:val="nil"/>
                    <w:tr2bl w:val="nil"/>
                  </w:tcBorders>
                  <w:shd w:val="clear" w:color="auto" w:fill="auto"/>
                  <w:noWrap w:val="0"/>
                  <w:vAlign w:val="center"/>
                </w:tcPr>
                <w:p w14:paraId="4627D6DF">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w:t>
                  </w:r>
                </w:p>
              </w:tc>
              <w:tc>
                <w:tcPr>
                  <w:tcW w:w="394" w:type="pct"/>
                  <w:tcBorders>
                    <w:tl2br w:val="nil"/>
                    <w:tr2bl w:val="nil"/>
                  </w:tcBorders>
                  <w:shd w:val="clear" w:color="auto" w:fill="auto"/>
                  <w:noWrap w:val="0"/>
                  <w:vAlign w:val="center"/>
                </w:tcPr>
                <w:p w14:paraId="7EA4275B">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400" w:type="pct"/>
                  <w:tcBorders>
                    <w:tl2br w:val="nil"/>
                    <w:tr2bl w:val="nil"/>
                  </w:tcBorders>
                  <w:shd w:val="clear" w:color="auto" w:fill="auto"/>
                  <w:noWrap w:val="0"/>
                  <w:vAlign w:val="center"/>
                </w:tcPr>
                <w:p w14:paraId="179084B5">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月</w:t>
                  </w:r>
                </w:p>
              </w:tc>
              <w:tc>
                <w:tcPr>
                  <w:tcW w:w="395" w:type="pct"/>
                  <w:tcBorders>
                    <w:tl2br w:val="nil"/>
                    <w:tr2bl w:val="nil"/>
                  </w:tcBorders>
                  <w:shd w:val="clear" w:color="auto" w:fill="auto"/>
                  <w:noWrap w:val="0"/>
                  <w:vAlign w:val="center"/>
                </w:tcPr>
                <w:p w14:paraId="41CF5ED7">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p>
              </w:tc>
            </w:tr>
          </w:tbl>
          <w:p w14:paraId="07B89955">
            <w:pPr>
              <w:pStyle w:val="7"/>
              <w:keepNext w:val="0"/>
              <w:keepLines w:val="0"/>
              <w:pageBreakBefore w:val="0"/>
              <w:widowControl w:val="0"/>
              <w:numPr>
                <w:ilvl w:val="3"/>
                <w:numId w:val="0"/>
              </w:numPr>
              <w:suppressLineNumbers w:val="0"/>
              <w:kinsoku/>
              <w:wordWrap/>
              <w:overflowPunct/>
              <w:topLinePunct w:val="0"/>
              <w:bidi w:val="0"/>
              <w:snapToGrid/>
              <w:spacing w:before="0" w:beforeLines="0" w:beforeAutospacing="0" w:after="0" w:afterAutospacing="0" w:line="360" w:lineRule="auto"/>
              <w:ind w:left="420" w:leftChars="200" w:right="0" w:rightChars="0"/>
              <w:textAlignment w:val="auto"/>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default" w:ascii="Times New Roman" w:hAnsi="Times New Roman" w:eastAsia="宋体" w:cs="Times New Roman"/>
                <w:b/>
                <w:bCs/>
                <w:color w:val="000000" w:themeColor="text1"/>
                <w:kern w:val="2"/>
                <w:sz w:val="24"/>
                <w:szCs w:val="24"/>
                <w14:textFill>
                  <w14:solidFill>
                    <w14:schemeClr w14:val="tx1"/>
                  </w14:solidFill>
                </w14:textFill>
              </w:rPr>
              <w:t>2、环境管理要求</w:t>
            </w:r>
          </w:p>
          <w:p w14:paraId="21983B47">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2.1</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一般固废管理要求</w:t>
            </w:r>
          </w:p>
          <w:p w14:paraId="436F40C5">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本项目各类一般工业固体废物分类收集、定点堆放在</w:t>
            </w:r>
            <w:r>
              <w:rPr>
                <w:rFonts w:hint="eastAsia" w:cs="Times New Roman"/>
                <w:color w:val="000000" w:themeColor="text1"/>
                <w:kern w:val="0"/>
                <w:sz w:val="24"/>
                <w:szCs w:val="24"/>
                <w:lang w:val="en-US" w:eastAsia="zh-CN" w:bidi="ar"/>
                <w14:textFill>
                  <w14:solidFill>
                    <w14:schemeClr w14:val="tx1"/>
                  </w14:solidFill>
                </w14:textFill>
              </w:rPr>
              <w:t>生产车间一般固废暂存间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，定期外售综合利用。根据《一般工业固体废物贮存和填埋污染控制标准》(GB 18599-2020)要求，采取防扬散、防流失、防渗漏等措施。禁止危险废物和生活垃圾混入</w:t>
            </w:r>
            <w:r>
              <w:rPr>
                <w:rFonts w:hint="eastAsia" w:cs="Times New Roman"/>
                <w:color w:val="000000" w:themeColor="text1"/>
                <w:kern w:val="0"/>
                <w:sz w:val="24"/>
                <w:szCs w:val="24"/>
                <w:lang w:val="en-US" w:eastAsia="zh-CN" w:bidi="ar"/>
                <w14:textFill>
                  <w14:solidFill>
                    <w14:schemeClr w14:val="tx1"/>
                  </w14:solidFill>
                </w14:textFill>
              </w:rPr>
              <w:t>一般固废暂存间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p>
          <w:p w14:paraId="2120EC79">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采用库房、包装工具（罐、桶、包装袋等）贮存一般工业固体废物的，贮存过程应满足相应防渗漏、防雨淋、防扬尘等环境保护要求；危险废物和生活垃圾不得进入</w:t>
            </w:r>
            <w:r>
              <w:rPr>
                <w:rFonts w:hint="eastAsia" w:cs="Times New Roman"/>
                <w:color w:val="000000" w:themeColor="text1"/>
                <w:kern w:val="0"/>
                <w:sz w:val="24"/>
                <w:szCs w:val="24"/>
                <w:lang w:val="en-US" w:eastAsia="zh-CN" w:bidi="ar"/>
                <w14:textFill>
                  <w14:solidFill>
                    <w14:schemeClr w14:val="tx1"/>
                  </w14:solidFill>
                </w14:textFill>
              </w:rPr>
              <w:t>一般固废暂存间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；不相容的一般工业固体废物应设置不同的分区进行贮存，本项目在</w:t>
            </w:r>
            <w:r>
              <w:rPr>
                <w:rFonts w:hint="eastAsia" w:cs="Times New Roman"/>
                <w:color w:val="000000" w:themeColor="text1"/>
                <w:kern w:val="0"/>
                <w:sz w:val="24"/>
                <w:szCs w:val="24"/>
                <w:lang w:val="en-US" w:eastAsia="zh-CN" w:bidi="ar"/>
                <w14:textFill>
                  <w14:solidFill>
                    <w14:schemeClr w14:val="tx1"/>
                  </w14:solidFill>
                </w14:textFill>
              </w:rPr>
              <w:t>一般固废暂存间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内单独设置空气瓶储存区；贮存场应设置清晰、完整的一般工业固体废物标志牌等。排污单位生产运营期间一般工业固体废物自行贮存/利用/处置设施的环境管理和相关设施运行维护要求还应符合GB 15562.2、GB 18599、GB 30485 和HJ 2035等相关标准规范要求。</w:t>
            </w:r>
          </w:p>
          <w:p w14:paraId="55F97A7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firstLine="482" w:firstLineChars="200"/>
              <w:jc w:val="both"/>
              <w:textAlignment w:val="baseline"/>
              <w:rPr>
                <w:rFonts w:hint="default" w:ascii="Times New Roman" w:hAnsi="Times New Roman" w:eastAsia="宋体" w:cs="Times New Roman"/>
                <w:b/>
                <w:bCs/>
                <w:color w:val="000000" w:themeColor="text1"/>
                <w:kern w:val="2"/>
                <w:sz w:val="24"/>
                <w:szCs w:val="24"/>
                <w:vertAlign w:val="baseline"/>
                <w14:textFill>
                  <w14:solidFill>
                    <w14:schemeClr w14:val="tx1"/>
                  </w14:solidFill>
                </w14:textFill>
              </w:rPr>
            </w:pPr>
            <w:r>
              <w:rPr>
                <w:rFonts w:hint="eastAsia" w:cs="Times New Roman"/>
                <w:b/>
                <w:bCs/>
                <w:color w:val="000000" w:themeColor="text1"/>
                <w:kern w:val="2"/>
                <w:sz w:val="24"/>
                <w:szCs w:val="24"/>
                <w:vertAlign w:val="baseline"/>
                <w:lang w:val="en-US" w:eastAsia="zh-CN" w:bidi="ar"/>
                <w14:textFill>
                  <w14:solidFill>
                    <w14:schemeClr w14:val="tx1"/>
                  </w14:solidFill>
                </w14:textFill>
              </w:rPr>
              <w:t>2.2</w:t>
            </w:r>
            <w:r>
              <w:rPr>
                <w:rFonts w:hint="default" w:ascii="Times New Roman" w:hAnsi="Times New Roman" w:eastAsia="宋体" w:cs="Times New Roman"/>
                <w:b/>
                <w:bCs/>
                <w:color w:val="000000" w:themeColor="text1"/>
                <w:kern w:val="2"/>
                <w:sz w:val="24"/>
                <w:szCs w:val="24"/>
                <w:vertAlign w:val="baseline"/>
                <w:lang w:val="en-US" w:eastAsia="zh-CN" w:bidi="ar"/>
                <w14:textFill>
                  <w14:solidFill>
                    <w14:schemeClr w14:val="tx1"/>
                  </w14:solidFill>
                </w14:textFill>
              </w:rPr>
              <w:t>危废暂存间贮存管理要求</w:t>
            </w:r>
          </w:p>
          <w:p w14:paraId="6816779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z w:val="24"/>
                <w:szCs w:val="24"/>
                <w:lang w:val="zh-CN" w:eastAsia="zh-CN" w:bidi="zh-CN"/>
                <w14:textFill>
                  <w14:solidFill>
                    <w14:schemeClr w14:val="tx1"/>
                  </w14:solidFill>
                </w14:textFill>
              </w:rPr>
              <w:t>根据《建设项目危险废物环境影响评价指南》要求，按照《中华人民共和国固体废物污染环境防治法》、《固体废物鉴别标准通则》（GB34330），对建设项目产生的物质，依据产生来源、利用和处置过程鉴别属于固体废物并且作为固体废物管理的物质，并按照《国家危险废物名录》（</w:t>
            </w:r>
            <w:r>
              <w:rPr>
                <w:rFonts w:hint="default" w:ascii="Times New Roman" w:hAnsi="Times New Roman" w:eastAsia="宋体" w:cs="Times New Roman"/>
                <w:color w:val="000000" w:themeColor="text1"/>
                <w:sz w:val="24"/>
                <w:szCs w:val="24"/>
                <w:lang w:val="en-US" w:eastAsia="zh-CN" w:bidi="zh-CN"/>
                <w14:textFill>
                  <w14:solidFill>
                    <w14:schemeClr w14:val="tx1"/>
                  </w14:solidFill>
                </w14:textFill>
              </w:rPr>
              <w:t>2025年版</w:t>
            </w:r>
            <w:r>
              <w:rPr>
                <w:rFonts w:hint="default" w:ascii="Times New Roman" w:hAnsi="Times New Roman" w:eastAsia="宋体" w:cs="Times New Roman"/>
                <w:color w:val="000000" w:themeColor="text1"/>
                <w:sz w:val="24"/>
                <w:szCs w:val="24"/>
                <w:lang w:val="zh-CN" w:eastAsia="zh-CN" w:bidi="zh-CN"/>
                <w14:textFill>
                  <w14:solidFill>
                    <w14:schemeClr w14:val="tx1"/>
                  </w14:solidFill>
                </w14:textFill>
              </w:rPr>
              <w:t>）、《危险废物鉴别标准 通则》（GB5085.7）等进行属性判定。</w:t>
            </w:r>
          </w:p>
          <w:p w14:paraId="2D6F1EE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危险废物贮存间建设时已满足以下要求：</w:t>
            </w:r>
          </w:p>
          <w:p w14:paraId="4E7AF4D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1</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应建有堵截泄漏的裙脚，地面与裙脚要用坚固防渗的材料建造。应有隔离设施、报警装置；②基础防渗层为粘土层的，其厚度应在1m以上，渗透系数应小于1.0×10</w:t>
            </w:r>
            <w:r>
              <w:rPr>
                <w:rFonts w:hint="default" w:ascii="Times New Roman" w:hAnsi="Times New Roman" w:eastAsia="宋体" w:cs="Times New Roman"/>
                <w:color w:val="000000" w:themeColor="text1"/>
                <w:sz w:val="24"/>
                <w:vertAlign w:val="superscript"/>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cm/s；基础防渗层也可用厚度在2mm以上的高密度聚乙烯或其他人工防渗材料组成，渗透系数应小于1.0×10</w:t>
            </w:r>
            <w:r>
              <w:rPr>
                <w:rFonts w:hint="default" w:ascii="Times New Roman" w:hAnsi="Times New Roman" w:eastAsia="宋体" w:cs="Times New Roman"/>
                <w:color w:val="000000" w:themeColor="text1"/>
                <w:sz w:val="24"/>
                <w:vertAlign w:val="superscript"/>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cm/s；③须有泄漏液体收集装置；④用于存放危险废物的地方，还须有耐腐蚀的硬化地面，地面无裂隙；⑤在储存过程中进行妥善处理，采用不易破损、变形、老化的容器运装废物，在装有危险废物的容器上贴注标签，在标签上详细标明危险废物的名称、重量、成分、特性以及发生泄漏、扩散污染事故时的应急措施和补救方法等；⑥危废外运时，公司应当向环保局提交下列材料：拟转移危险废物的名称、种类、特性、形态、包装方式、数量、转移时间、主要危险废物成分等基本情况；运输单位具有运输危险货物资格的证明材料；</w:t>
            </w:r>
            <w:r>
              <w:rPr>
                <w:rFonts w:hint="eastAsia" w:cs="Times New Roman"/>
                <w:color w:val="000000" w:themeColor="text1"/>
                <w:sz w:val="24"/>
                <w:lang w:eastAsia="zh-CN"/>
                <w14:textFill>
                  <w14:solidFill>
                    <w14:schemeClr w14:val="tx1"/>
                  </w14:solidFill>
                </w14:textFill>
              </w:rPr>
              <w:t>接收</w:t>
            </w:r>
            <w:r>
              <w:rPr>
                <w:rFonts w:hint="default" w:ascii="Times New Roman" w:hAnsi="Times New Roman" w:eastAsia="宋体" w:cs="Times New Roman"/>
                <w:color w:val="000000" w:themeColor="text1"/>
                <w:sz w:val="24"/>
                <w14:textFill>
                  <w14:solidFill>
                    <w14:schemeClr w14:val="tx1"/>
                  </w14:solidFill>
                </w14:textFill>
              </w:rPr>
              <w:t>单位具有利用和处置危险废物资格及同意</w:t>
            </w:r>
            <w:r>
              <w:rPr>
                <w:rFonts w:hint="eastAsia" w:cs="Times New Roman"/>
                <w:color w:val="000000" w:themeColor="text1"/>
                <w:sz w:val="24"/>
                <w:lang w:eastAsia="zh-CN"/>
                <w14:textFill>
                  <w14:solidFill>
                    <w14:schemeClr w14:val="tx1"/>
                  </w14:solidFill>
                </w14:textFill>
              </w:rPr>
              <w:t>接收</w:t>
            </w:r>
            <w:r>
              <w:rPr>
                <w:rFonts w:hint="default" w:ascii="Times New Roman" w:hAnsi="Times New Roman" w:eastAsia="宋体" w:cs="Times New Roman"/>
                <w:color w:val="000000" w:themeColor="text1"/>
                <w:sz w:val="24"/>
                <w14:textFill>
                  <w14:solidFill>
                    <w14:schemeClr w14:val="tx1"/>
                  </w14:solidFill>
                </w14:textFill>
              </w:rPr>
              <w:t>的证明材料。</w:t>
            </w:r>
          </w:p>
          <w:p w14:paraId="2E173587">
            <w:pPr>
              <w:keepNext w:val="0"/>
              <w:keepLines w:val="0"/>
              <w:pageBreakBefore w:val="0"/>
              <w:widowControl w:val="0"/>
              <w:suppressLineNumbers w:val="0"/>
              <w:kinsoku/>
              <w:wordWrap/>
              <w:overflowPunct/>
              <w:topLinePunct w:val="0"/>
              <w:bidi w:val="0"/>
              <w:adjustRightIn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危险废物在暂存间内全部采用密闭容器储存，并按照</w:t>
            </w:r>
            <w:r>
              <w:rPr>
                <w:rFonts w:hint="default" w:ascii="Times New Roman" w:hAnsi="Times New Roman" w:eastAsia="宋体" w:cs="Times New Roman"/>
                <w:color w:val="000000" w:themeColor="text1"/>
                <w:sz w:val="24"/>
                <w14:textFill>
                  <w14:solidFill>
                    <w14:schemeClr w14:val="tx1"/>
                  </w14:solidFill>
                </w14:textFill>
              </w:rPr>
              <w:t>《危险废物贮存污染控制标准》（GB18597-2023）</w:t>
            </w:r>
            <w:r>
              <w:rPr>
                <w:rFonts w:hint="default" w:ascii="Times New Roman" w:hAnsi="Times New Roman" w:eastAsia="宋体" w:cs="Times New Roman"/>
                <w:color w:val="000000" w:themeColor="text1"/>
                <w:sz w:val="24"/>
                <w:szCs w:val="32"/>
                <w14:textFill>
                  <w14:solidFill>
                    <w14:schemeClr w14:val="tx1"/>
                  </w14:solidFill>
                </w14:textFill>
              </w:rPr>
              <w:t>、《危险废物收集、贮存、运输技术规范》(HJ2025-2012)、《环境保护图形标志－固体废物贮存(处置)场》(GB15562.2-1995)相关要求采取了以下措施：</w:t>
            </w:r>
          </w:p>
          <w:p w14:paraId="5CAF5B16">
            <w:pPr>
              <w:keepNext w:val="0"/>
              <w:keepLines w:val="0"/>
              <w:pageBreakBefore w:val="0"/>
              <w:widowControl w:val="0"/>
              <w:suppressLineNumbers w:val="0"/>
              <w:kinsoku/>
              <w:wordWrap/>
              <w:overflowPunct/>
              <w:topLinePunct w:val="0"/>
              <w:bidi w:val="0"/>
              <w:adjustRightIn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①分类收集、储存</w:t>
            </w:r>
          </w:p>
          <w:p w14:paraId="1B14A6C7">
            <w:pPr>
              <w:keepNext w:val="0"/>
              <w:keepLines w:val="0"/>
              <w:pageBreakBefore w:val="0"/>
              <w:widowControl w:val="0"/>
              <w:suppressLineNumbers w:val="0"/>
              <w:kinsoku/>
              <w:wordWrap/>
              <w:overflowPunct/>
              <w:topLinePunct w:val="0"/>
              <w:bidi w:val="0"/>
              <w:adjustRightIn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为防止危险固体废物在危废暂存间存储过程中对环境产生污染影响，危废暂存间已采取了相应的收集、储存措施，包括：</w:t>
            </w:r>
          </w:p>
          <w:p w14:paraId="6B08049C">
            <w:pPr>
              <w:keepNext w:val="0"/>
              <w:keepLines w:val="0"/>
              <w:pageBreakBefore w:val="0"/>
              <w:widowControl w:val="0"/>
              <w:suppressLineNumbers w:val="0"/>
              <w:kinsoku/>
              <w:wordWrap/>
              <w:overflowPunct/>
              <w:topLinePunct w:val="0"/>
              <w:bidi w:val="0"/>
              <w:adjustRightIn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为防止危险固体废物在危废暂存间存储过程中对环境产生污染影响，危废暂存间采取了以下收集、储存措施：</w:t>
            </w:r>
          </w:p>
          <w:p w14:paraId="0E1A27E7">
            <w:pPr>
              <w:keepNext w:val="0"/>
              <w:keepLines w:val="0"/>
              <w:pageBreakBefore w:val="0"/>
              <w:widowControl w:val="0"/>
              <w:suppressLineNumbers w:val="0"/>
              <w:kinsoku/>
              <w:wordWrap/>
              <w:overflowPunct/>
              <w:topLinePunct w:val="0"/>
              <w:bidi w:val="0"/>
              <w:adjustRightIn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①</w:t>
            </w:r>
            <w:r>
              <w:rPr>
                <w:rFonts w:hint="default" w:ascii="Times New Roman" w:hAnsi="Times New Roman" w:eastAsia="宋体" w:cs="Times New Roman"/>
                <w:color w:val="000000" w:themeColor="text1"/>
                <w:sz w:val="24"/>
                <w:szCs w:val="32"/>
                <w14:textFill>
                  <w14:solidFill>
                    <w14:schemeClr w14:val="tx1"/>
                  </w14:solidFill>
                </w14:textFill>
              </w:rPr>
              <w:t>a.在危废暂存间设立危险废物警示标志，由专人进行管理并做好危险废物排放量及处置记录。</w:t>
            </w:r>
          </w:p>
          <w:p w14:paraId="1EAD9AB2">
            <w:pPr>
              <w:keepNext w:val="0"/>
              <w:keepLines w:val="0"/>
              <w:pageBreakBefore w:val="0"/>
              <w:widowControl w:val="0"/>
              <w:suppressLineNumbers w:val="0"/>
              <w:kinsoku/>
              <w:wordWrap/>
              <w:overflowPunct/>
              <w:topLinePunct w:val="0"/>
              <w:bidi w:val="0"/>
              <w:adjustRightIn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②b.在危废暂存间的地面和四周围挡均需进行防渗处理，保证防渗层渗透系数小于1×10</w:t>
            </w:r>
            <w:r>
              <w:rPr>
                <w:rFonts w:hint="default" w:ascii="Times New Roman" w:hAnsi="Times New Roman" w:eastAsia="宋体" w:cs="Times New Roman"/>
                <w:color w:val="000000" w:themeColor="text1"/>
                <w:sz w:val="24"/>
                <w:szCs w:val="32"/>
                <w:vertAlign w:val="superscript"/>
                <w14:textFill>
                  <w14:solidFill>
                    <w14:schemeClr w14:val="tx1"/>
                  </w14:solidFill>
                </w14:textFill>
              </w:rPr>
              <w:t>-10</w:t>
            </w:r>
            <w:r>
              <w:rPr>
                <w:rFonts w:hint="default" w:ascii="Times New Roman" w:hAnsi="Times New Roman" w:eastAsia="宋体" w:cs="Times New Roman"/>
                <w:color w:val="000000" w:themeColor="text1"/>
                <w:sz w:val="24"/>
                <w:szCs w:val="32"/>
                <w14:textFill>
                  <w14:solidFill>
                    <w14:schemeClr w14:val="tx1"/>
                  </w14:solidFill>
                </w14:textFill>
              </w:rPr>
              <w:t>cm/s，同时设置泄漏液体的收集装置。</w:t>
            </w:r>
          </w:p>
          <w:p w14:paraId="1437027B">
            <w:pPr>
              <w:keepNext w:val="0"/>
              <w:keepLines w:val="0"/>
              <w:pageBreakBefore w:val="0"/>
              <w:widowControl w:val="0"/>
              <w:suppressLineNumbers w:val="0"/>
              <w:kinsoku/>
              <w:wordWrap/>
              <w:overflowPunct/>
              <w:topLinePunct w:val="0"/>
              <w:bidi w:val="0"/>
              <w:adjustRightIn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fldChar w:fldCharType="begin"/>
            </w:r>
            <w:r>
              <w:rPr>
                <w:rFonts w:hint="default" w:ascii="Times New Roman" w:hAnsi="Times New Roman" w:eastAsia="宋体" w:cs="Times New Roman"/>
                <w:color w:val="000000" w:themeColor="text1"/>
                <w:sz w:val="24"/>
                <w:szCs w:val="32"/>
                <w14:textFill>
                  <w14:solidFill>
                    <w14:schemeClr w14:val="tx1"/>
                  </w14:solidFill>
                </w14:textFill>
              </w:rPr>
              <w:instrText xml:space="preserve"> = 3 \* GB3 \* MERGEFORMAT </w:instrText>
            </w:r>
            <w:r>
              <w:rPr>
                <w:rFonts w:hint="default" w:ascii="Times New Roman" w:hAnsi="Times New Roman" w:eastAsia="宋体" w:cs="Times New Roman"/>
                <w:color w:val="000000" w:themeColor="text1"/>
                <w:sz w:val="24"/>
                <w:szCs w:val="32"/>
                <w14:textFill>
                  <w14:solidFill>
                    <w14:schemeClr w14:val="tx1"/>
                  </w14:solidFill>
                </w14:textFill>
              </w:rPr>
              <w:fldChar w:fldCharType="separate"/>
            </w:r>
            <w:r>
              <w:rPr>
                <w:rFonts w:hint="default"/>
              </w:rPr>
              <w:t>③</w:t>
            </w:r>
            <w:r>
              <w:rPr>
                <w:rFonts w:hint="default" w:ascii="Times New Roman" w:hAnsi="Times New Roman" w:eastAsia="宋体" w:cs="Times New Roman"/>
                <w:color w:val="000000" w:themeColor="text1"/>
                <w:sz w:val="24"/>
                <w:szCs w:val="32"/>
                <w14:textFill>
                  <w14:solidFill>
                    <w14:schemeClr w14:val="tx1"/>
                  </w14:solidFill>
                </w14:textFill>
              </w:rPr>
              <w:fldChar w:fldCharType="end"/>
            </w:r>
            <w:r>
              <w:rPr>
                <w:rFonts w:hint="default" w:ascii="Times New Roman" w:hAnsi="Times New Roman" w:eastAsia="宋体" w:cs="Times New Roman"/>
                <w:color w:val="000000" w:themeColor="text1"/>
                <w:sz w:val="24"/>
                <w:szCs w:val="32"/>
                <w14:textFill>
                  <w14:solidFill>
                    <w14:schemeClr w14:val="tx1"/>
                  </w14:solidFill>
                </w14:textFill>
              </w:rPr>
              <w:t>液体危废采用专用的容器存放并定期检查容器是否泄漏。</w:t>
            </w:r>
          </w:p>
          <w:p w14:paraId="1A91FDAB">
            <w:pPr>
              <w:keepNext w:val="0"/>
              <w:keepLines w:val="0"/>
              <w:pageBreakBefore w:val="0"/>
              <w:widowControl w:val="0"/>
              <w:suppressLineNumbers w:val="0"/>
              <w:kinsoku/>
              <w:wordWrap/>
              <w:overflowPunct/>
              <w:topLinePunct w:val="0"/>
              <w:bidi w:val="0"/>
              <w:adjustRightIn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eastAsia" w:cs="Times New Roman"/>
                <w:color w:val="000000" w:themeColor="text1"/>
                <w:sz w:val="24"/>
                <w:szCs w:val="32"/>
                <w:lang w:eastAsia="zh-CN"/>
                <w14:textFill>
                  <w14:solidFill>
                    <w14:schemeClr w14:val="tx1"/>
                  </w14:solidFill>
                </w14:textFill>
              </w:rPr>
              <w:t>（</w:t>
            </w:r>
            <w:r>
              <w:rPr>
                <w:rFonts w:hint="eastAsia" w:cs="Times New Roman"/>
                <w:color w:val="000000" w:themeColor="text1"/>
                <w:sz w:val="24"/>
                <w:szCs w:val="32"/>
                <w:lang w:val="en-US" w:eastAsia="zh-CN"/>
                <w14:textFill>
                  <w14:solidFill>
                    <w14:schemeClr w14:val="tx1"/>
                  </w14:solidFill>
                </w14:textFill>
              </w:rPr>
              <w:t>2</w:t>
            </w:r>
            <w:r>
              <w:rPr>
                <w:rFonts w:hint="eastAsia" w:cs="Times New Roman"/>
                <w:color w:val="000000" w:themeColor="text1"/>
                <w:sz w:val="24"/>
                <w:szCs w:val="32"/>
                <w:lang w:eastAsia="zh-CN"/>
                <w14:textFill>
                  <w14:solidFill>
                    <w14:schemeClr w14:val="tx1"/>
                  </w14:solidFill>
                </w14:textFill>
              </w:rPr>
              <w:t>）</w:t>
            </w:r>
            <w:r>
              <w:rPr>
                <w:rFonts w:hint="default" w:ascii="Times New Roman" w:hAnsi="Times New Roman" w:eastAsia="宋体" w:cs="Times New Roman"/>
                <w:color w:val="000000" w:themeColor="text1"/>
                <w:sz w:val="24"/>
                <w:szCs w:val="32"/>
                <w14:textFill>
                  <w14:solidFill>
                    <w14:schemeClr w14:val="tx1"/>
                  </w14:solidFill>
                </w14:textFill>
              </w:rPr>
              <w:t>包装与处置措施</w:t>
            </w:r>
          </w:p>
          <w:p w14:paraId="1D9CB2D5">
            <w:pPr>
              <w:keepNext w:val="0"/>
              <w:keepLines w:val="0"/>
              <w:pageBreakBefore w:val="0"/>
              <w:widowControl w:val="0"/>
              <w:suppressLineNumbers w:val="0"/>
              <w:kinsoku/>
              <w:wordWrap/>
              <w:overflowPunct/>
              <w:topLinePunct w:val="0"/>
              <w:bidi w:val="0"/>
              <w:adjustRightInd/>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参照</w:t>
            </w:r>
            <w:r>
              <w:rPr>
                <w:rFonts w:hint="default" w:ascii="Times New Roman" w:hAnsi="Times New Roman" w:eastAsia="宋体" w:cs="Times New Roman"/>
                <w:color w:val="000000" w:themeColor="text1"/>
                <w:sz w:val="24"/>
                <w14:textFill>
                  <w14:solidFill>
                    <w14:schemeClr w14:val="tx1"/>
                  </w14:solidFill>
                </w14:textFill>
              </w:rPr>
              <w:t>《危险废物贮存污染控制标准》（GB18597-2023）</w:t>
            </w:r>
            <w:r>
              <w:rPr>
                <w:rFonts w:hint="default" w:ascii="Times New Roman" w:hAnsi="Times New Roman" w:eastAsia="宋体" w:cs="Times New Roman"/>
                <w:color w:val="000000" w:themeColor="text1"/>
                <w:sz w:val="24"/>
                <w:szCs w:val="32"/>
                <w14:textFill>
                  <w14:solidFill>
                    <w14:schemeClr w14:val="tx1"/>
                  </w14:solidFill>
                </w14:textFill>
              </w:rPr>
              <w:t>要求选择相应的包装容器，并按照附录A相关要求张贴对应标签，包括危废类别、主要成分、危险情况、安全措施、数量等内容。设专人负责危险废物的管理和转运工作，并及时对危险废物产生量、入库和转运情况进行记录。</w:t>
            </w:r>
          </w:p>
          <w:p w14:paraId="33700A8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rightChars="0" w:firstLine="480" w:firstLineChars="200"/>
              <w:jc w:val="both"/>
              <w:textAlignment w:val="auto"/>
              <w:rPr>
                <w:rFonts w:hint="default" w:ascii="Times New Roman" w:hAnsi="Times New Roman" w:eastAsia="宋体" w:cs="Times New Roman"/>
                <w:color w:val="000000" w:themeColor="text1"/>
                <w:lang w:val="zh-CN" w:eastAsia="zh-CN"/>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本项目危废暂存间基本情况见表</w:t>
            </w:r>
            <w:r>
              <w:rPr>
                <w:rFonts w:hint="eastAsia" w:cs="Times New Roman"/>
                <w:color w:val="000000" w:themeColor="text1"/>
                <w:sz w:val="24"/>
                <w:szCs w:val="32"/>
                <w:lang w:val="en-US" w:eastAsia="zh-CN"/>
                <w14:textFill>
                  <w14:solidFill>
                    <w14:schemeClr w14:val="tx1"/>
                  </w14:solidFill>
                </w14:textFill>
              </w:rPr>
              <w:t>4-19</w:t>
            </w:r>
            <w:r>
              <w:rPr>
                <w:rFonts w:hint="default" w:ascii="Times New Roman" w:hAnsi="Times New Roman" w:eastAsia="宋体" w:cs="Times New Roman"/>
                <w:color w:val="000000" w:themeColor="text1"/>
                <w:sz w:val="24"/>
                <w:szCs w:val="24"/>
                <w:lang w:val="zh-CN" w:eastAsia="zh-CN" w:bidi="zh-CN"/>
                <w14:textFill>
                  <w14:solidFill>
                    <w14:schemeClr w14:val="tx1"/>
                  </w14:solidFill>
                </w14:textFill>
              </w:rPr>
              <w:t>。</w:t>
            </w:r>
          </w:p>
          <w:p w14:paraId="14F0BF02">
            <w:pPr>
              <w:keepNext w:val="0"/>
              <w:keepLines w:val="0"/>
              <w:pageBreakBefore w:val="0"/>
              <w:widowControl w:val="0"/>
              <w:suppressLineNumbers w:val="0"/>
              <w:kinsoku/>
              <w:bidi w:val="0"/>
              <w:snapToGrid w:val="0"/>
              <w:spacing w:before="0" w:beforeAutospacing="0" w:after="0" w:afterAutospacing="0" w:line="500" w:lineRule="exact"/>
              <w:ind w:left="0" w:right="0"/>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4-1</w:t>
            </w:r>
            <w:r>
              <w:rPr>
                <w:rFonts w:hint="eastAsia" w:cs="Times New Roman"/>
                <w:b/>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14:textFill>
                  <w14:solidFill>
                    <w14:schemeClr w14:val="tx1"/>
                  </w14:solidFill>
                </w14:textFill>
              </w:rPr>
              <w:t xml:space="preserve">  建设项目危险废物贮存场所（设施）基本情况</w:t>
            </w:r>
          </w:p>
          <w:tbl>
            <w:tblPr>
              <w:tblStyle w:val="33"/>
              <w:tblW w:w="498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305"/>
              <w:gridCol w:w="1066"/>
              <w:gridCol w:w="817"/>
              <w:gridCol w:w="1217"/>
              <w:gridCol w:w="933"/>
              <w:gridCol w:w="875"/>
              <w:gridCol w:w="1213"/>
              <w:gridCol w:w="682"/>
            </w:tblGrid>
            <w:tr w14:paraId="161A70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65" w:type="pct"/>
                  <w:tcBorders>
                    <w:tl2br w:val="nil"/>
                    <w:tr2bl w:val="nil"/>
                  </w:tcBorders>
                  <w:noWrap w:val="0"/>
                  <w:vAlign w:val="center"/>
                </w:tcPr>
                <w:p w14:paraId="2F908B3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序号</w:t>
                  </w:r>
                </w:p>
              </w:tc>
              <w:tc>
                <w:tcPr>
                  <w:tcW w:w="762" w:type="pct"/>
                  <w:tcBorders>
                    <w:tl2br w:val="nil"/>
                    <w:tr2bl w:val="nil"/>
                  </w:tcBorders>
                  <w:noWrap w:val="0"/>
                  <w:vAlign w:val="center"/>
                </w:tcPr>
                <w:p w14:paraId="40B10AB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pacing w:val="-20"/>
                      <w:sz w:val="21"/>
                      <w:szCs w:val="32"/>
                      <w14:textFill>
                        <w14:solidFill>
                          <w14:schemeClr w14:val="tx1"/>
                        </w14:solidFill>
                      </w14:textFill>
                    </w:rPr>
                    <w:t>贮存场所（设施）名称</w:t>
                  </w:r>
                </w:p>
              </w:tc>
              <w:tc>
                <w:tcPr>
                  <w:tcW w:w="622" w:type="pct"/>
                  <w:tcBorders>
                    <w:tl2br w:val="nil"/>
                    <w:tr2bl w:val="nil"/>
                  </w:tcBorders>
                  <w:noWrap w:val="0"/>
                  <w:vAlign w:val="center"/>
                </w:tcPr>
                <w:p w14:paraId="40ABA44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危废</w:t>
                  </w:r>
                </w:p>
                <w:p w14:paraId="2393DDE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名称</w:t>
                  </w:r>
                </w:p>
              </w:tc>
              <w:tc>
                <w:tcPr>
                  <w:tcW w:w="477" w:type="pct"/>
                  <w:tcBorders>
                    <w:tl2br w:val="nil"/>
                    <w:tr2bl w:val="nil"/>
                  </w:tcBorders>
                  <w:noWrap w:val="0"/>
                  <w:vAlign w:val="center"/>
                </w:tcPr>
                <w:p w14:paraId="2ADCC83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危废</w:t>
                  </w:r>
                </w:p>
                <w:p w14:paraId="08AC071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类别</w:t>
                  </w:r>
                </w:p>
              </w:tc>
              <w:tc>
                <w:tcPr>
                  <w:tcW w:w="710" w:type="pct"/>
                  <w:tcBorders>
                    <w:tl2br w:val="nil"/>
                    <w:tr2bl w:val="nil"/>
                  </w:tcBorders>
                  <w:noWrap w:val="0"/>
                  <w:vAlign w:val="center"/>
                </w:tcPr>
                <w:p w14:paraId="52AABD3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危废</w:t>
                  </w:r>
                </w:p>
                <w:p w14:paraId="6E07D8F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代码</w:t>
                  </w:r>
                </w:p>
              </w:tc>
              <w:tc>
                <w:tcPr>
                  <w:tcW w:w="544" w:type="pct"/>
                  <w:tcBorders>
                    <w:tl2br w:val="nil"/>
                    <w:tr2bl w:val="nil"/>
                  </w:tcBorders>
                  <w:noWrap w:val="0"/>
                  <w:vAlign w:val="center"/>
                </w:tcPr>
                <w:p w14:paraId="4856D594">
                  <w:pPr>
                    <w:keepNext w:val="0"/>
                    <w:keepLines w:val="0"/>
                    <w:suppressLineNumbers w:val="0"/>
                    <w:spacing w:before="0" w:beforeAutospacing="0" w:after="0" w:afterAutospacing="0"/>
                    <w:ind w:left="0" w:right="0"/>
                    <w:jc w:val="both"/>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pacing w:val="-20"/>
                      <w:sz w:val="21"/>
                      <w:szCs w:val="32"/>
                      <w14:textFill>
                        <w14:solidFill>
                          <w14:schemeClr w14:val="tx1"/>
                        </w14:solidFill>
                      </w14:textFill>
                    </w:rPr>
                    <w:t>占地面积</w:t>
                  </w:r>
                </w:p>
                <w:p w14:paraId="7884BC0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pacing w:val="-20"/>
                      <w:szCs w:val="32"/>
                      <w14:textFill>
                        <w14:solidFill>
                          <w14:schemeClr w14:val="tx1"/>
                        </w14:solidFill>
                      </w14:textFill>
                    </w:rPr>
                    <w:t>（m</w:t>
                  </w:r>
                  <w:r>
                    <w:rPr>
                      <w:rFonts w:hint="default" w:ascii="Times New Roman" w:hAnsi="Times New Roman" w:eastAsia="宋体" w:cs="Times New Roman"/>
                      <w:b/>
                      <w:bCs/>
                      <w:color w:val="000000" w:themeColor="text1"/>
                      <w:spacing w:val="-20"/>
                      <w:szCs w:val="32"/>
                      <w:vertAlign w:val="superscript"/>
                      <w14:textFill>
                        <w14:solidFill>
                          <w14:schemeClr w14:val="tx1"/>
                        </w14:solidFill>
                      </w14:textFill>
                    </w:rPr>
                    <w:t>2</w:t>
                  </w:r>
                  <w:r>
                    <w:rPr>
                      <w:rFonts w:hint="default" w:ascii="Times New Roman" w:hAnsi="Times New Roman" w:eastAsia="宋体" w:cs="Times New Roman"/>
                      <w:b/>
                      <w:bCs/>
                      <w:color w:val="000000" w:themeColor="text1"/>
                      <w:spacing w:val="-20"/>
                      <w:szCs w:val="32"/>
                      <w14:textFill>
                        <w14:solidFill>
                          <w14:schemeClr w14:val="tx1"/>
                        </w14:solidFill>
                      </w14:textFill>
                    </w:rPr>
                    <w:t>）</w:t>
                  </w:r>
                </w:p>
              </w:tc>
              <w:tc>
                <w:tcPr>
                  <w:tcW w:w="510" w:type="pct"/>
                  <w:tcBorders>
                    <w:tl2br w:val="nil"/>
                    <w:tr2bl w:val="nil"/>
                  </w:tcBorders>
                  <w:noWrap w:val="0"/>
                  <w:vAlign w:val="center"/>
                </w:tcPr>
                <w:p w14:paraId="64908E1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贮存</w:t>
                  </w:r>
                </w:p>
                <w:p w14:paraId="23FD748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方式</w:t>
                  </w:r>
                </w:p>
              </w:tc>
              <w:tc>
                <w:tcPr>
                  <w:tcW w:w="708" w:type="pct"/>
                  <w:tcBorders>
                    <w:tl2br w:val="nil"/>
                    <w:tr2bl w:val="nil"/>
                  </w:tcBorders>
                  <w:noWrap w:val="0"/>
                  <w:vAlign w:val="center"/>
                </w:tcPr>
                <w:p w14:paraId="1B823F7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贮存能力（t）</w:t>
                  </w:r>
                </w:p>
              </w:tc>
              <w:tc>
                <w:tcPr>
                  <w:tcW w:w="398" w:type="pct"/>
                  <w:tcBorders>
                    <w:tl2br w:val="nil"/>
                    <w:tr2bl w:val="nil"/>
                  </w:tcBorders>
                  <w:noWrap w:val="0"/>
                  <w:vAlign w:val="center"/>
                </w:tcPr>
                <w:p w14:paraId="57F88E6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32"/>
                      <w14:textFill>
                        <w14:solidFill>
                          <w14:schemeClr w14:val="tx1"/>
                        </w14:solidFill>
                      </w14:textFill>
                    </w:rPr>
                  </w:pPr>
                  <w:r>
                    <w:rPr>
                      <w:rFonts w:hint="default" w:ascii="Times New Roman" w:hAnsi="Times New Roman" w:eastAsia="宋体" w:cs="Times New Roman"/>
                      <w:b/>
                      <w:bCs/>
                      <w:color w:val="000000" w:themeColor="text1"/>
                      <w:szCs w:val="32"/>
                      <w14:textFill>
                        <w14:solidFill>
                          <w14:schemeClr w14:val="tx1"/>
                        </w14:solidFill>
                      </w14:textFill>
                    </w:rPr>
                    <w:t>贮存周期</w:t>
                  </w:r>
                </w:p>
              </w:tc>
            </w:tr>
            <w:tr w14:paraId="61F83E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tcBorders>
                    <w:tl2br w:val="nil"/>
                    <w:tr2bl w:val="nil"/>
                  </w:tcBorders>
                  <w:noWrap w:val="0"/>
                  <w:vAlign w:val="center"/>
                </w:tcPr>
                <w:p w14:paraId="651E8E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32"/>
                      <w:lang w:val="en-US" w:eastAsia="zh-CN"/>
                      <w14:textFill>
                        <w14:solidFill>
                          <w14:schemeClr w14:val="tx1"/>
                        </w14:solidFill>
                      </w14:textFill>
                    </w:rPr>
                  </w:pPr>
                  <w:r>
                    <w:rPr>
                      <w:rFonts w:hint="default" w:ascii="Times New Roman" w:hAnsi="Times New Roman" w:eastAsia="宋体" w:cs="Times New Roman"/>
                      <w:color w:val="000000" w:themeColor="text1"/>
                      <w:szCs w:val="32"/>
                      <w:lang w:val="en-US" w:eastAsia="zh-CN"/>
                      <w14:textFill>
                        <w14:solidFill>
                          <w14:schemeClr w14:val="tx1"/>
                        </w14:solidFill>
                      </w14:textFill>
                    </w:rPr>
                    <w:t>11</w:t>
                  </w:r>
                </w:p>
              </w:tc>
              <w:tc>
                <w:tcPr>
                  <w:tcW w:w="762" w:type="pct"/>
                  <w:tcBorders>
                    <w:tl2br w:val="nil"/>
                    <w:tr2bl w:val="nil"/>
                  </w:tcBorders>
                  <w:noWrap w:val="0"/>
                  <w:vAlign w:val="center"/>
                </w:tcPr>
                <w:p w14:paraId="2A143764">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32"/>
                      <w:lang w:eastAsia="zh-CN"/>
                      <w14:textFill>
                        <w14:solidFill>
                          <w14:schemeClr w14:val="tx1"/>
                        </w14:solidFill>
                      </w14:textFill>
                    </w:rPr>
                  </w:pPr>
                  <w:r>
                    <w:rPr>
                      <w:rFonts w:hint="eastAsia" w:cs="Times New Roman"/>
                      <w:color w:val="000000" w:themeColor="text1"/>
                      <w:szCs w:val="32"/>
                      <w:lang w:eastAsia="zh-CN"/>
                      <w14:textFill>
                        <w14:solidFill>
                          <w14:schemeClr w14:val="tx1"/>
                        </w14:solidFill>
                      </w14:textFill>
                    </w:rPr>
                    <w:t>危废暂存间</w:t>
                  </w:r>
                </w:p>
              </w:tc>
              <w:tc>
                <w:tcPr>
                  <w:tcW w:w="622" w:type="pct"/>
                  <w:tcBorders>
                    <w:tl2br w:val="nil"/>
                    <w:tr2bl w:val="nil"/>
                  </w:tcBorders>
                  <w:noWrap w:val="0"/>
                  <w:vAlign w:val="center"/>
                </w:tcPr>
                <w:p w14:paraId="17D9FD6D">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0"/>
                      <w:szCs w:val="21"/>
                      <w:lang w:val="en-US" w:eastAsia="en-US" w:bidi="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废活性炭</w:t>
                  </w:r>
                </w:p>
              </w:tc>
              <w:tc>
                <w:tcPr>
                  <w:tcW w:w="477" w:type="pct"/>
                  <w:tcBorders>
                    <w:tl2br w:val="nil"/>
                    <w:tr2bl w:val="nil"/>
                  </w:tcBorders>
                  <w:noWrap w:val="0"/>
                  <w:vAlign w:val="center"/>
                </w:tcPr>
                <w:p w14:paraId="60AA1F72">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0"/>
                      <w:szCs w:val="21"/>
                      <w:lang w:val="en-US" w:eastAsia="zh-CN" w:bidi="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HW49</w:t>
                  </w:r>
                </w:p>
              </w:tc>
              <w:tc>
                <w:tcPr>
                  <w:tcW w:w="710" w:type="pct"/>
                  <w:tcBorders>
                    <w:tl2br w:val="nil"/>
                    <w:tr2bl w:val="nil"/>
                  </w:tcBorders>
                  <w:noWrap w:val="0"/>
                  <w:vAlign w:val="center"/>
                </w:tcPr>
                <w:p w14:paraId="19503B7B">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themeColor="text1"/>
                      <w:kern w:val="0"/>
                      <w:szCs w:val="21"/>
                      <w:lang w:val="en-US" w:eastAsia="zh-CN" w:bidi="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900-039-49</w:t>
                  </w:r>
                </w:p>
              </w:tc>
              <w:tc>
                <w:tcPr>
                  <w:tcW w:w="544" w:type="pct"/>
                  <w:tcBorders>
                    <w:tl2br w:val="nil"/>
                    <w:tr2bl w:val="nil"/>
                  </w:tcBorders>
                  <w:noWrap w:val="0"/>
                  <w:vAlign w:val="center"/>
                </w:tcPr>
                <w:p w14:paraId="13862D9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32"/>
                      <w:lang w:val="en-US" w:eastAsia="zh-CN"/>
                      <w14:textFill>
                        <w14:solidFill>
                          <w14:schemeClr w14:val="tx1"/>
                        </w14:solidFill>
                      </w14:textFill>
                    </w:rPr>
                  </w:pPr>
                  <w:r>
                    <w:rPr>
                      <w:rFonts w:hint="eastAsia" w:cs="Times New Roman"/>
                      <w:color w:val="000000" w:themeColor="text1"/>
                      <w:szCs w:val="32"/>
                      <w:lang w:val="en-US" w:eastAsia="zh-CN"/>
                      <w14:textFill>
                        <w14:solidFill>
                          <w14:schemeClr w14:val="tx1"/>
                        </w14:solidFill>
                      </w14:textFill>
                    </w:rPr>
                    <w:t>5</w:t>
                  </w:r>
                </w:p>
              </w:tc>
              <w:tc>
                <w:tcPr>
                  <w:tcW w:w="510" w:type="pct"/>
                  <w:tcBorders>
                    <w:tl2br w:val="nil"/>
                    <w:tr2bl w:val="nil"/>
                  </w:tcBorders>
                  <w:noWrap w:val="0"/>
                  <w:vAlign w:val="center"/>
                </w:tcPr>
                <w:p w14:paraId="04919F4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32"/>
                      <w:lang w:eastAsia="zh-CN"/>
                      <w14:textFill>
                        <w14:solidFill>
                          <w14:schemeClr w14:val="tx1"/>
                        </w14:solidFill>
                      </w14:textFill>
                    </w:rPr>
                  </w:pPr>
                  <w:r>
                    <w:rPr>
                      <w:rFonts w:hint="default" w:ascii="Times New Roman" w:hAnsi="Times New Roman" w:eastAsia="宋体" w:cs="Times New Roman"/>
                      <w:color w:val="000000" w:themeColor="text1"/>
                      <w:szCs w:val="32"/>
                      <w:lang w:eastAsia="zh-CN"/>
                      <w14:textFill>
                        <w14:solidFill>
                          <w14:schemeClr w14:val="tx1"/>
                        </w14:solidFill>
                      </w14:textFill>
                    </w:rPr>
                    <w:t>桶装</w:t>
                  </w:r>
                </w:p>
              </w:tc>
              <w:tc>
                <w:tcPr>
                  <w:tcW w:w="708" w:type="pct"/>
                  <w:tcBorders>
                    <w:tl2br w:val="nil"/>
                    <w:tr2bl w:val="nil"/>
                  </w:tcBorders>
                  <w:noWrap w:val="0"/>
                  <w:vAlign w:val="center"/>
                </w:tcPr>
                <w:p w14:paraId="25CD7E2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32"/>
                      <w:lang w:val="en-US" w:eastAsia="zh-CN"/>
                      <w14:textFill>
                        <w14:solidFill>
                          <w14:schemeClr w14:val="tx1"/>
                        </w14:solidFill>
                      </w14:textFill>
                    </w:rPr>
                  </w:pPr>
                  <w:r>
                    <w:rPr>
                      <w:rFonts w:hint="eastAsia" w:cs="Times New Roman"/>
                      <w:color w:val="000000" w:themeColor="text1"/>
                      <w:szCs w:val="32"/>
                      <w:lang w:val="en-US" w:eastAsia="zh-CN"/>
                      <w14:textFill>
                        <w14:solidFill>
                          <w14:schemeClr w14:val="tx1"/>
                        </w14:solidFill>
                      </w14:textFill>
                    </w:rPr>
                    <w:t>5</w:t>
                  </w:r>
                </w:p>
              </w:tc>
              <w:tc>
                <w:tcPr>
                  <w:tcW w:w="398" w:type="pct"/>
                  <w:tcBorders>
                    <w:tl2br w:val="nil"/>
                    <w:tr2bl w:val="nil"/>
                  </w:tcBorders>
                  <w:noWrap w:val="0"/>
                  <w:vAlign w:val="center"/>
                </w:tcPr>
                <w:p w14:paraId="1575D65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32"/>
                      <w:lang w:val="en-US" w:eastAsia="zh-CN"/>
                      <w14:textFill>
                        <w14:solidFill>
                          <w14:schemeClr w14:val="tx1"/>
                        </w14:solidFill>
                      </w14:textFill>
                    </w:rPr>
                  </w:pPr>
                  <w:r>
                    <w:rPr>
                      <w:rFonts w:hint="eastAsia" w:cs="Times New Roman"/>
                      <w:color w:val="000000" w:themeColor="text1"/>
                      <w:szCs w:val="32"/>
                      <w:lang w:val="en-US" w:eastAsia="zh-CN"/>
                      <w14:textFill>
                        <w14:solidFill>
                          <w14:schemeClr w14:val="tx1"/>
                        </w14:solidFill>
                      </w14:textFill>
                    </w:rPr>
                    <w:t>半年</w:t>
                  </w:r>
                </w:p>
              </w:tc>
            </w:tr>
          </w:tbl>
          <w:p w14:paraId="14DD691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建设单位拟建设</w:t>
            </w:r>
            <w:r>
              <w:rPr>
                <w:rFonts w:hint="eastAsia"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的危废暂存间，位于厂区</w:t>
            </w:r>
            <w:r>
              <w:rPr>
                <w:rFonts w:hint="eastAsia" w:cs="Times New Roman"/>
                <w:b w:val="0"/>
                <w:bCs w:val="0"/>
                <w:color w:val="000000" w:themeColor="text1"/>
                <w:sz w:val="24"/>
                <w:szCs w:val="24"/>
                <w:lang w:val="en-US" w:eastAsia="zh-CN"/>
                <w14:textFill>
                  <w14:solidFill>
                    <w14:schemeClr w14:val="tx1"/>
                  </w14:solidFill>
                </w14:textFill>
              </w:rPr>
              <w:t>3#生产车间内</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，满足危废储存要求。</w:t>
            </w:r>
          </w:p>
          <w:p w14:paraId="25E67AA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本项目生产区及厂区地面均进行水泥硬化防渗，危废暂存间采取特殊防渗处理，渗透系数小于1×10</w:t>
            </w:r>
            <w:r>
              <w:rPr>
                <w:rFonts w:hint="default" w:ascii="Times New Roman" w:hAnsi="Times New Roman" w:eastAsia="宋体" w:cs="Times New Roman"/>
                <w:color w:val="000000" w:themeColor="text1"/>
                <w:sz w:val="24"/>
                <w:szCs w:val="32"/>
                <w:vertAlign w:val="superscript"/>
                <w14:textFill>
                  <w14:solidFill>
                    <w14:schemeClr w14:val="tx1"/>
                  </w14:solidFill>
                </w14:textFill>
              </w:rPr>
              <w:t>-10</w:t>
            </w:r>
            <w:r>
              <w:rPr>
                <w:rFonts w:hint="default" w:ascii="Times New Roman" w:hAnsi="Times New Roman" w:eastAsia="宋体" w:cs="Times New Roman"/>
                <w:color w:val="000000" w:themeColor="text1"/>
                <w:sz w:val="24"/>
                <w:szCs w:val="32"/>
                <w14:textFill>
                  <w14:solidFill>
                    <w14:schemeClr w14:val="tx1"/>
                  </w14:solidFill>
                </w14:textFill>
              </w:rPr>
              <w:t>cm/s，以上防渗措施可有效防止危险废物在产生环节、厂内转运环节及厂内暂存环节污染土壤及地下水环境。本项目产生的危险废物主要为</w:t>
            </w:r>
            <w:r>
              <w:rPr>
                <w:rFonts w:hint="eastAsia" w:cs="Times New Roman"/>
                <w:color w:val="000000" w:themeColor="text1"/>
                <w:sz w:val="24"/>
                <w:szCs w:val="32"/>
                <w:lang w:eastAsia="zh-CN"/>
                <w14:textFill>
                  <w14:solidFill>
                    <w14:schemeClr w14:val="tx1"/>
                  </w14:solidFill>
                </w14:textFill>
              </w:rPr>
              <w:t>废活性炭</w:t>
            </w:r>
            <w:r>
              <w:rPr>
                <w:rFonts w:hint="default" w:ascii="Times New Roman" w:hAnsi="Times New Roman" w:eastAsia="宋体" w:cs="Times New Roman"/>
                <w:color w:val="000000" w:themeColor="text1"/>
                <w:sz w:val="24"/>
                <w:szCs w:val="32"/>
                <w14:textFill>
                  <w14:solidFill>
                    <w14:schemeClr w14:val="tx1"/>
                  </w14:solidFill>
                </w14:textFill>
              </w:rPr>
              <w:t>，危废产生后收集于加盖的危废桶内，经厂内道路转运至危废暂存间，废活性炭直接运至危废暂存间暂存。危废厂内转运路程较短，且不经过办公区，转运过程由专人操作且危废收集桶为密闭状态，发生洒落、泄漏的可能性很小。转运结束后由专人对转运线路进行检查，确保无危险废物遗落在厂内运输线路上，即使有危险废物发生洒落，可通过采用砂土覆盖吸附的方式被收集，且厂区地面设有防渗层，危险废物经地面入渗污染土壤及地下水的可能性很小</w:t>
            </w:r>
            <w:r>
              <w:rPr>
                <w:rFonts w:hint="default" w:ascii="Times New Roman" w:hAnsi="Times New Roman" w:eastAsia="宋体" w:cs="Times New Roman"/>
                <w:color w:val="000000" w:themeColor="text1"/>
                <w:sz w:val="24"/>
                <w:szCs w:val="32"/>
                <w:lang w:eastAsia="zh-CN"/>
                <w14:textFill>
                  <w14:solidFill>
                    <w14:schemeClr w14:val="tx1"/>
                  </w14:solidFill>
                </w14:textFill>
              </w:rPr>
              <w:t>。</w:t>
            </w:r>
          </w:p>
          <w:p w14:paraId="065F3B0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2.3</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污染防控技术要求</w:t>
            </w:r>
          </w:p>
          <w:p w14:paraId="0DF9807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包装容器应达到相应的强度要求并完好无损，禁止混合贮存性质不相容而未经安全性处置的危险废物；危险废物容器和包装物以及危险废物贮存设施、场所应按规定设置危险废物识别标志；仓库式贮存设施应分开存放不相容危险废物，按危险废物的种类和特性进行分区贮存，采用防腐、防渗地面和裙脚，设置防止</w:t>
            </w:r>
            <w:r>
              <w:rPr>
                <w:rFonts w:hint="eastAsia" w:cs="Times New Roman"/>
                <w:color w:val="000000" w:themeColor="text1"/>
                <w:sz w:val="24"/>
                <w:szCs w:val="24"/>
                <w:highlight w:val="none"/>
                <w:lang w:eastAsia="zh-CN"/>
                <w14:textFill>
                  <w14:solidFill>
                    <w14:schemeClr w14:val="tx1"/>
                  </w14:solidFill>
                </w14:textFill>
              </w:rPr>
              <w:t>泄漏</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物质扩散至外环境的拦截、导流、收集设施；贮存堆场要防风、防雨、防晒；从事收集、贮存、利用、处置危险废物经营活动的单位，贮存危险废物不得超过一年（报经颁发危险废物经营许可证的生态环境主管部门批准或法律法规另有规定的除外）等。</w:t>
            </w:r>
          </w:p>
          <w:p w14:paraId="45691C1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排污单位生产运营期间危险废物自行贮存设施的环境管理和相关设施运行维护还应符合 GB 15562.2、GB 18484、GB 18597、GB 30485、HJ 2025 和 HJ 2042 等相关标准规范要求。</w:t>
            </w:r>
          </w:p>
          <w:p w14:paraId="3E646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2"/>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cs="Times New Roman"/>
                <w:b/>
                <w:bCs/>
                <w:color w:val="000000" w:themeColor="text1"/>
                <w:kern w:val="2"/>
                <w:sz w:val="24"/>
                <w:szCs w:val="24"/>
                <w:highlight w:val="none"/>
                <w:lang w:val="en-US" w:eastAsia="zh-CN" w:bidi="ar-SA"/>
                <w14:textFill>
                  <w14:solidFill>
                    <w14:schemeClr w14:val="tx1"/>
                  </w14:solidFill>
                </w14:textFill>
              </w:rPr>
              <w:t>2.4</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图形标志要求</w:t>
            </w:r>
          </w:p>
          <w:p w14:paraId="00E35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2"/>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危险废物贮存设施必须按《环境保护图形标志—固体废物贮存（处置）场》（GB15562.2-1995）及其修改单（公告2023年第5号）、《危险废物识别标志设置技术规范》（HJ 1276—2022）（2023年7月1日起实施）的规定设置警示标志。危险废物贮存设施周围应设置围墙或</w:t>
            </w:r>
            <w:r>
              <w:rPr>
                <w:rFonts w:hint="eastAsia" w:cs="Times New Roman"/>
                <w:color w:val="000000" w:themeColor="text1"/>
                <w:kern w:val="2"/>
                <w:sz w:val="24"/>
                <w:szCs w:val="24"/>
                <w:highlight w:val="none"/>
                <w:lang w:val="en-US" w:eastAsia="zh-CN" w:bidi="ar-SA"/>
                <w14:textFill>
                  <w14:solidFill>
                    <w14:schemeClr w14:val="tx1"/>
                  </w14:solidFill>
                </w14:textFill>
              </w:rPr>
              <w:t>其他</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防护栅栏。危险废物贮存设施应配备通讯设备、照明设施、安全防护服装及工具，并设有应急防护设施。危险废物贮存设施内清理出来的泄漏物，一律按危险废物处理。</w:t>
            </w:r>
            <w:r>
              <w:rPr>
                <w:rFonts w:hint="default" w:ascii="Times New Roman" w:hAnsi="Times New Roman" w:eastAsia="宋体" w:cs="Times New Roman"/>
                <w:b w:val="0"/>
                <w:bCs w:val="0"/>
                <w:color w:val="000000" w:themeColor="text1"/>
                <w:spacing w:val="2"/>
                <w:sz w:val="24"/>
                <w:szCs w:val="22"/>
                <w:highlight w:val="none"/>
                <w:lang w:val="en-US" w:eastAsia="zh-CN"/>
                <w14:textFill>
                  <w14:solidFill>
                    <w14:schemeClr w14:val="tx1"/>
                  </w14:solidFill>
                </w14:textFill>
              </w:rPr>
              <w:t>危险废物贮存分区标</w:t>
            </w:r>
            <w:r>
              <w:rPr>
                <w:rFonts w:hint="eastAsia"/>
                <w:b w:val="0"/>
                <w:bCs w:val="0"/>
                <w:color w:val="000000" w:themeColor="text1"/>
                <w:sz w:val="24"/>
                <w:szCs w:val="32"/>
                <w:lang w:eastAsia="zh-CN"/>
                <w14:textFill>
                  <w14:solidFill>
                    <w14:schemeClr w14:val="tx1"/>
                  </w14:solidFill>
                </w14:textFill>
              </w:rPr>
              <w:t>识</w:t>
            </w:r>
            <w:r>
              <w:rPr>
                <w:rFonts w:hint="default" w:ascii="Times New Roman" w:hAnsi="Times New Roman" w:eastAsia="宋体" w:cs="Times New Roman"/>
                <w:b w:val="0"/>
                <w:bCs w:val="0"/>
                <w:color w:val="000000" w:themeColor="text1"/>
                <w:spacing w:val="2"/>
                <w:sz w:val="24"/>
                <w:szCs w:val="22"/>
                <w:highlight w:val="none"/>
                <w:lang w:val="en-US" w:eastAsia="zh-CN"/>
                <w14:textFill>
                  <w14:solidFill>
                    <w14:schemeClr w14:val="tx1"/>
                  </w14:solidFill>
                </w14:textFill>
              </w:rPr>
              <w:t>要求</w:t>
            </w:r>
            <w:r>
              <w:rPr>
                <w:rFonts w:hint="eastAsia" w:cs="Times New Roman"/>
                <w:b w:val="0"/>
                <w:bCs w:val="0"/>
                <w:color w:val="000000" w:themeColor="text1"/>
                <w:spacing w:val="2"/>
                <w:sz w:val="24"/>
                <w:szCs w:val="22"/>
                <w:highlight w:val="none"/>
                <w:lang w:val="en-US" w:eastAsia="zh-CN"/>
                <w14:textFill>
                  <w14:solidFill>
                    <w14:schemeClr w14:val="tx1"/>
                  </w14:solidFill>
                </w14:textFill>
              </w:rPr>
              <w:t>见表4-20。</w:t>
            </w:r>
          </w:p>
          <w:p w14:paraId="33BCFB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05" w:leftChars="50" w:right="0"/>
              <w:jc w:val="center"/>
              <w:textAlignment w:val="auto"/>
              <w:rPr>
                <w:rFonts w:hint="default" w:ascii="Times New Roman" w:hAnsi="Times New Roman" w:eastAsia="宋体" w:cs="Times New Roman"/>
                <w:b/>
                <w:bCs/>
                <w:color w:val="000000" w:themeColor="text1"/>
                <w:spacing w:val="2"/>
                <w:sz w:val="24"/>
                <w:szCs w:val="22"/>
                <w:highlight w:val="none"/>
                <w14:textFill>
                  <w14:solidFill>
                    <w14:schemeClr w14:val="tx1"/>
                  </w14:solidFill>
                </w14:textFill>
              </w:rPr>
            </w:pPr>
            <w:r>
              <w:rPr>
                <w:rFonts w:hint="default" w:ascii="Times New Roman" w:hAnsi="Times New Roman" w:eastAsia="宋体" w:cs="Times New Roman"/>
                <w:b/>
                <w:bCs/>
                <w:color w:val="000000" w:themeColor="text1"/>
                <w:sz w:val="24"/>
                <w:szCs w:val="22"/>
                <w:highlight w:val="none"/>
                <w14:textFill>
                  <w14:solidFill>
                    <w14:schemeClr w14:val="tx1"/>
                  </w14:solidFill>
                </w14:textFill>
              </w:rPr>
              <w:t>表</w:t>
            </w:r>
            <w:r>
              <w:rPr>
                <w:rFonts w:hint="default" w:ascii="Times New Roman" w:hAnsi="Times New Roman" w:eastAsia="宋体" w:cs="Times New Roman"/>
                <w:b/>
                <w:bCs/>
                <w:color w:val="000000" w:themeColor="text1"/>
                <w:sz w:val="24"/>
                <w:szCs w:val="22"/>
                <w:highlight w:val="none"/>
                <w:lang w:val="en-US" w:eastAsia="zh-CN"/>
                <w14:textFill>
                  <w14:solidFill>
                    <w14:schemeClr w14:val="tx1"/>
                  </w14:solidFill>
                </w14:textFill>
              </w:rPr>
              <w:t>4-</w:t>
            </w:r>
            <w:r>
              <w:rPr>
                <w:rFonts w:hint="eastAsia" w:cs="Times New Roman"/>
                <w:b/>
                <w:bCs/>
                <w:color w:val="000000" w:themeColor="text1"/>
                <w:sz w:val="24"/>
                <w:szCs w:val="22"/>
                <w:highlight w:val="none"/>
                <w:lang w:val="en-US" w:eastAsia="zh-CN"/>
                <w14:textFill>
                  <w14:solidFill>
                    <w14:schemeClr w14:val="tx1"/>
                  </w14:solidFill>
                </w14:textFill>
              </w:rPr>
              <w:t>20</w:t>
            </w:r>
            <w:r>
              <w:rPr>
                <w:rFonts w:hint="default" w:ascii="Times New Roman" w:hAnsi="Times New Roman" w:eastAsia="宋体" w:cs="Times New Roman"/>
                <w:b/>
                <w:bCs/>
                <w:color w:val="000000" w:themeColor="text1"/>
                <w:sz w:val="24"/>
                <w:szCs w:val="22"/>
                <w:highlight w:val="none"/>
                <w14:textFill>
                  <w14:solidFill>
                    <w14:schemeClr w14:val="tx1"/>
                  </w14:solidFill>
                </w14:textFill>
              </w:rPr>
              <w:t xml:space="preserve">  </w:t>
            </w:r>
            <w:r>
              <w:rPr>
                <w:rFonts w:hint="default" w:ascii="Times New Roman" w:hAnsi="Times New Roman" w:eastAsia="宋体" w:cs="Times New Roman"/>
                <w:b/>
                <w:bCs/>
                <w:color w:val="000000" w:themeColor="text1"/>
                <w:spacing w:val="2"/>
                <w:sz w:val="24"/>
                <w:szCs w:val="22"/>
                <w:highlight w:val="none"/>
                <w:lang w:val="en-US" w:eastAsia="zh-CN"/>
                <w14:textFill>
                  <w14:solidFill>
                    <w14:schemeClr w14:val="tx1"/>
                  </w14:solidFill>
                </w14:textFill>
              </w:rPr>
              <w:t>危险废物贮存分区标</w:t>
            </w:r>
            <w:r>
              <w:rPr>
                <w:rFonts w:hint="eastAsia"/>
                <w:b/>
                <w:bCs/>
                <w:color w:val="000000" w:themeColor="text1"/>
                <w:sz w:val="24"/>
                <w:szCs w:val="32"/>
                <w:lang w:eastAsia="zh-CN"/>
                <w14:textFill>
                  <w14:solidFill>
                    <w14:schemeClr w14:val="tx1"/>
                  </w14:solidFill>
                </w14:textFill>
              </w:rPr>
              <w:t>识</w:t>
            </w:r>
            <w:r>
              <w:rPr>
                <w:rFonts w:hint="default" w:ascii="Times New Roman" w:hAnsi="Times New Roman" w:eastAsia="宋体" w:cs="Times New Roman"/>
                <w:b/>
                <w:bCs/>
                <w:color w:val="000000" w:themeColor="text1"/>
                <w:spacing w:val="2"/>
                <w:sz w:val="24"/>
                <w:szCs w:val="22"/>
                <w:highlight w:val="none"/>
                <w:lang w:val="en-US" w:eastAsia="zh-CN"/>
                <w14:textFill>
                  <w14:solidFill>
                    <w14:schemeClr w14:val="tx1"/>
                  </w14:solidFill>
                </w14:textFill>
              </w:rPr>
              <w:t>要求一览表</w:t>
            </w:r>
          </w:p>
          <w:tbl>
            <w:tblPr>
              <w:tblStyle w:val="33"/>
              <w:tblW w:w="839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34"/>
              <w:gridCol w:w="4467"/>
            </w:tblGrid>
            <w:tr w14:paraId="5E8D0C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0" w:type="dxa"/>
                  <w:tcBorders>
                    <w:tl2br w:val="nil"/>
                    <w:tr2bl w:val="nil"/>
                  </w:tcBorders>
                  <w:noWrap w:val="0"/>
                  <w:vAlign w:val="center"/>
                </w:tcPr>
                <w:p w14:paraId="57011717">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pacing w:val="2"/>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pacing w:val="2"/>
                      <w:sz w:val="21"/>
                      <w:szCs w:val="21"/>
                      <w:highlight w:val="none"/>
                      <w:shd w:val="clear" w:color="auto" w:fill="auto"/>
                      <w14:textFill>
                        <w14:solidFill>
                          <w14:schemeClr w14:val="tx1"/>
                        </w14:solidFill>
                      </w14:textFill>
                    </w:rPr>
                    <w:t>场合</w:t>
                  </w:r>
                </w:p>
              </w:tc>
              <w:tc>
                <w:tcPr>
                  <w:tcW w:w="3134" w:type="dxa"/>
                  <w:tcBorders>
                    <w:tl2br w:val="nil"/>
                    <w:tr2bl w:val="nil"/>
                  </w:tcBorders>
                  <w:noWrap w:val="0"/>
                  <w:vAlign w:val="center"/>
                </w:tcPr>
                <w:p w14:paraId="514B20D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pacing w:val="2"/>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pacing w:val="2"/>
                      <w:sz w:val="21"/>
                      <w:szCs w:val="21"/>
                      <w:highlight w:val="none"/>
                      <w:shd w:val="clear" w:color="auto" w:fill="auto"/>
                      <w14:textFill>
                        <w14:solidFill>
                          <w14:schemeClr w14:val="tx1"/>
                        </w14:solidFill>
                      </w14:textFill>
                    </w:rPr>
                    <w:t>样式</w:t>
                  </w:r>
                </w:p>
              </w:tc>
              <w:tc>
                <w:tcPr>
                  <w:tcW w:w="4467" w:type="dxa"/>
                  <w:tcBorders>
                    <w:tl2br w:val="nil"/>
                    <w:tr2bl w:val="nil"/>
                  </w:tcBorders>
                  <w:noWrap w:val="0"/>
                  <w:vAlign w:val="center"/>
                </w:tcPr>
                <w:p w14:paraId="32385E6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pacing w:val="2"/>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pacing w:val="2"/>
                      <w:sz w:val="21"/>
                      <w:szCs w:val="21"/>
                      <w:highlight w:val="none"/>
                      <w:shd w:val="clear" w:color="auto" w:fill="auto"/>
                      <w14:textFill>
                        <w14:solidFill>
                          <w14:schemeClr w14:val="tx1"/>
                        </w14:solidFill>
                      </w14:textFill>
                    </w:rPr>
                    <w:t>要求</w:t>
                  </w:r>
                </w:p>
              </w:tc>
            </w:tr>
            <w:tr w14:paraId="2D9251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0" w:type="dxa"/>
                  <w:tcBorders>
                    <w:tl2br w:val="nil"/>
                    <w:tr2bl w:val="nil"/>
                  </w:tcBorders>
                  <w:noWrap w:val="0"/>
                  <w:vAlign w:val="center"/>
                </w:tcPr>
                <w:p w14:paraId="071454A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危险</w:t>
                  </w:r>
                </w:p>
                <w:p w14:paraId="0864B54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废物</w:t>
                  </w:r>
                </w:p>
                <w:p w14:paraId="6688D03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标签</w:t>
                  </w:r>
                </w:p>
              </w:tc>
              <w:tc>
                <w:tcPr>
                  <w:tcW w:w="3134" w:type="dxa"/>
                  <w:tcBorders>
                    <w:tl2br w:val="nil"/>
                    <w:tr2bl w:val="nil"/>
                  </w:tcBorders>
                  <w:noWrap w:val="0"/>
                  <w:vAlign w:val="center"/>
                </w:tcPr>
                <w:p w14:paraId="6115730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drawing>
                      <wp:inline distT="0" distB="0" distL="114300" distR="114300">
                        <wp:extent cx="1868170" cy="1695450"/>
                        <wp:effectExtent l="0" t="0" r="1778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3"/>
                                <a:stretch>
                                  <a:fillRect/>
                                </a:stretch>
                              </pic:blipFill>
                              <pic:spPr>
                                <a:xfrm>
                                  <a:off x="0" y="0"/>
                                  <a:ext cx="1868170" cy="1695450"/>
                                </a:xfrm>
                                <a:prstGeom prst="rect">
                                  <a:avLst/>
                                </a:prstGeom>
                                <a:noFill/>
                                <a:ln>
                                  <a:noFill/>
                                </a:ln>
                              </pic:spPr>
                            </pic:pic>
                          </a:graphicData>
                        </a:graphic>
                      </wp:inline>
                    </w:drawing>
                  </w:r>
                </w:p>
              </w:tc>
              <w:tc>
                <w:tcPr>
                  <w:tcW w:w="4467" w:type="dxa"/>
                  <w:tcBorders>
                    <w:tl2br w:val="nil"/>
                    <w:tr2bl w:val="nil"/>
                  </w:tcBorders>
                  <w:noWrap w:val="0"/>
                  <w:vAlign w:val="center"/>
                </w:tcPr>
                <w:p w14:paraId="5F61D4C8">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a、危险废物标签所选用的材质宜具有一定的耐用性和防水性。标签可采用不干胶印刷品，或印刷品外加防水塑料袋或塑封等。</w:t>
                  </w:r>
                </w:p>
                <w:p w14:paraId="7CEF0DB9">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b、危险废物标签背景色应采用醒目的橘黄色。</w:t>
                  </w:r>
                </w:p>
                <w:p w14:paraId="3E70D2D6">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c、危险废物标签字体宜采用黑体字，其中“危险废物”字样应加粗放大。</w:t>
                  </w:r>
                </w:p>
              </w:tc>
            </w:tr>
            <w:tr w14:paraId="2DAD24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0" w:type="dxa"/>
                  <w:tcBorders>
                    <w:tl2br w:val="nil"/>
                    <w:tr2bl w:val="nil"/>
                  </w:tcBorders>
                  <w:noWrap w:val="0"/>
                  <w:vAlign w:val="center"/>
                </w:tcPr>
                <w:p w14:paraId="0544704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危险</w:t>
                  </w:r>
                </w:p>
                <w:p w14:paraId="0C65D99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废物</w:t>
                  </w:r>
                </w:p>
                <w:p w14:paraId="78C1A92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贮存</w:t>
                  </w:r>
                </w:p>
                <w:p w14:paraId="4357285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分区</w:t>
                  </w:r>
                </w:p>
                <w:p w14:paraId="59A33AE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标志</w:t>
                  </w:r>
                </w:p>
              </w:tc>
              <w:tc>
                <w:tcPr>
                  <w:tcW w:w="3134" w:type="dxa"/>
                  <w:tcBorders>
                    <w:tl2br w:val="nil"/>
                    <w:tr2bl w:val="nil"/>
                  </w:tcBorders>
                  <w:noWrap w:val="0"/>
                  <w:vAlign w:val="center"/>
                </w:tcPr>
                <w:p w14:paraId="7207AA7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drawing>
                      <wp:inline distT="0" distB="0" distL="114300" distR="114300">
                        <wp:extent cx="1892300" cy="1875155"/>
                        <wp:effectExtent l="0" t="0" r="12700" b="10795"/>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4"/>
                                <a:stretch>
                                  <a:fillRect/>
                                </a:stretch>
                              </pic:blipFill>
                              <pic:spPr>
                                <a:xfrm>
                                  <a:off x="0" y="0"/>
                                  <a:ext cx="1892300" cy="1875155"/>
                                </a:xfrm>
                                <a:prstGeom prst="rect">
                                  <a:avLst/>
                                </a:prstGeom>
                                <a:noFill/>
                                <a:ln>
                                  <a:noFill/>
                                </a:ln>
                              </pic:spPr>
                            </pic:pic>
                          </a:graphicData>
                        </a:graphic>
                      </wp:inline>
                    </w:drawing>
                  </w:r>
                </w:p>
              </w:tc>
              <w:tc>
                <w:tcPr>
                  <w:tcW w:w="4467" w:type="dxa"/>
                  <w:tcBorders>
                    <w:tl2br w:val="nil"/>
                    <w:tr2bl w:val="nil"/>
                  </w:tcBorders>
                  <w:noWrap w:val="0"/>
                  <w:vAlign w:val="center"/>
                </w:tcPr>
                <w:p w14:paraId="75EF7C6C">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a、危险废物分区标志的字体宜采用黑体字，其中“危险废物贮存分区标志”字样应加粗放大并居中显示。</w:t>
                  </w:r>
                </w:p>
                <w:p w14:paraId="58BA9251">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b、危险废物分区标志背景色应采用黄色，RGB 颜色值为（255, 255, 0）。废物种类信息应采用醒目的橘黄色，RGB 颜色值为（255, 150, 0）。字体颜色为黑色，RGB 颜色值为（0, 0, 0）。</w:t>
                  </w:r>
                </w:p>
                <w:p w14:paraId="3D1D3D01">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c、危险废物贮存分区标志的图形和文字应清晰、完整，保证在足够的观察距离条件下不影响阅读。“危险废物贮存分区标志”字样与其他信息宜加黑色分界线区分，分界线的宽度不小于2mm。</w:t>
                  </w:r>
                </w:p>
              </w:tc>
            </w:tr>
            <w:tr w14:paraId="2BEF8A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0" w:type="dxa"/>
                  <w:tcBorders>
                    <w:tl2br w:val="nil"/>
                    <w:tr2bl w:val="nil"/>
                  </w:tcBorders>
                  <w:noWrap w:val="0"/>
                  <w:vAlign w:val="center"/>
                </w:tcPr>
                <w:p w14:paraId="1FE18B2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危险</w:t>
                  </w:r>
                </w:p>
                <w:p w14:paraId="68E881D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废物</w:t>
                  </w:r>
                </w:p>
                <w:p w14:paraId="1FC8D9A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贮存</w:t>
                  </w:r>
                </w:p>
                <w:p w14:paraId="704A1F6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设施</w:t>
                  </w:r>
                </w:p>
                <w:p w14:paraId="6F73D47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标志</w:t>
                  </w:r>
                </w:p>
              </w:tc>
              <w:tc>
                <w:tcPr>
                  <w:tcW w:w="3134" w:type="dxa"/>
                  <w:tcBorders>
                    <w:tl2br w:val="nil"/>
                    <w:tr2bl w:val="nil"/>
                  </w:tcBorders>
                  <w:noWrap w:val="0"/>
                  <w:vAlign w:val="center"/>
                </w:tcPr>
                <w:p w14:paraId="539B8AF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drawing>
                      <wp:inline distT="0" distB="0" distL="114300" distR="114300">
                        <wp:extent cx="1890395" cy="1169670"/>
                        <wp:effectExtent l="0" t="0" r="14605" b="11430"/>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spect="1"/>
                                </pic:cNvPicPr>
                              </pic:nvPicPr>
                              <pic:blipFill>
                                <a:blip r:embed="rId25"/>
                                <a:stretch>
                                  <a:fillRect/>
                                </a:stretch>
                              </pic:blipFill>
                              <pic:spPr>
                                <a:xfrm>
                                  <a:off x="0" y="0"/>
                                  <a:ext cx="1890395" cy="1169670"/>
                                </a:xfrm>
                                <a:prstGeom prst="rect">
                                  <a:avLst/>
                                </a:prstGeom>
                                <a:noFill/>
                                <a:ln>
                                  <a:noFill/>
                                </a:ln>
                              </pic:spPr>
                            </pic:pic>
                          </a:graphicData>
                        </a:graphic>
                      </wp:inline>
                    </w:drawing>
                  </w:r>
                </w:p>
              </w:tc>
              <w:tc>
                <w:tcPr>
                  <w:tcW w:w="4467" w:type="dxa"/>
                  <w:tcBorders>
                    <w:tl2br w:val="nil"/>
                    <w:tr2bl w:val="nil"/>
                  </w:tcBorders>
                  <w:noWrap w:val="0"/>
                  <w:vAlign w:val="center"/>
                </w:tcPr>
                <w:p w14:paraId="7477BC06">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a、危险废物设施标志背景颜色为黄色，RGB 颜色值为（255, 255, 0）。字体和边框颜色为黑色，RGB颜色值为（0, 0, 0）。</w:t>
                  </w:r>
                </w:p>
                <w:p w14:paraId="18755686">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b、危险废物设施标志字体应采用黑体字，其中危险废物设施类型的字样应加粗放大并居中显示。</w:t>
                  </w:r>
                </w:p>
                <w:p w14:paraId="15ECFDD8">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c、危险废物贮存、利用、处置设施标志宜采用坚固耐用的材料（如1.5mm～2mm 冷轧钢板），并做搪瓷处理或贴膜处理。一般不宜使用遇水变形、变质或易燃的材料。柱式标志牌的立柱可采用38×4无缝钢管或其他坚固耐用的材料，并经过防腐处理。</w:t>
                  </w:r>
                </w:p>
                <w:p w14:paraId="07D100E7">
                  <w:pPr>
                    <w:keepNext w:val="0"/>
                    <w:keepLines w:val="0"/>
                    <w:suppressLineNumbers w:val="0"/>
                    <w:snapToGrid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d、危险废物贮存、利用、处置设施标志的图形和文字应清晰、完整，保证在足够的观察距离条件下也不影响阅读。三角形警告性图形与其他信息间宜加黑色分界线区分，分界线的宽度宜不小于3mm。</w:t>
                  </w:r>
                </w:p>
              </w:tc>
            </w:tr>
          </w:tbl>
          <w:p w14:paraId="64E17D5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leftChars="0" w:right="0" w:rightChars="0" w:firstLine="482" w:firstLineChars="200"/>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3、小结</w:t>
            </w:r>
          </w:p>
          <w:p w14:paraId="00443AF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leftChars="0" w:right="0" w:rightChars="0" w:firstLine="480" w:firstLineChars="200"/>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由上述分析可知，工程产生的工业固体废物全部得到了妥善处置或合理安置。在建设单位认真落实评价建议，采取相应的防渗措施，日常生产过程中加强对</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一般固废暂存间</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、危险废物暂存间管理的基础上，固体废物不会对周围环境产生污染影响。</w:t>
            </w:r>
          </w:p>
          <w:p w14:paraId="6340555F">
            <w:pPr>
              <w:keepNext w:val="0"/>
              <w:keepLines w:val="0"/>
              <w:widowControl w:val="0"/>
              <w:suppressLineNumbers w:val="0"/>
              <w:spacing w:before="0" w:beforeAutospacing="0" w:after="0" w:afterAutospacing="0" w:line="480" w:lineRule="exact"/>
              <w:ind w:left="0" w:right="0" w:firstLine="482" w:firstLineChars="200"/>
              <w:jc w:val="both"/>
              <w:rPr>
                <w:rFonts w:hint="default" w:ascii="Times New Roman" w:hAnsi="Times New Roman" w:eastAsia="宋体" w:cs="Times New Roman"/>
                <w:b/>
                <w:bCs w:val="0"/>
                <w:color w:val="000000" w:themeColor="text1"/>
                <w:kern w:val="2"/>
                <w:sz w:val="24"/>
                <w:szCs w:val="24"/>
                <w14:textFill>
                  <w14:solidFill>
                    <w14:schemeClr w14:val="tx1"/>
                  </w14:solidFill>
                </w14:textFill>
              </w:rPr>
            </w:pPr>
            <w:r>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t>五、地下水、土壤环境影响分析</w:t>
            </w:r>
          </w:p>
          <w:p w14:paraId="6996C425">
            <w:pPr>
              <w:keepNext w:val="0"/>
              <w:keepLines w:val="0"/>
              <w:widowControl w:val="0"/>
              <w:suppressLineNumbers w:val="0"/>
              <w:spacing w:before="0" w:beforeAutospacing="0" w:after="0" w:afterAutospacing="0" w:line="480" w:lineRule="exact"/>
              <w:ind w:left="0" w:right="0" w:firstLine="482" w:firstLineChars="200"/>
              <w:jc w:val="both"/>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t>1、地下水、土壤污染途径分析</w:t>
            </w:r>
          </w:p>
          <w:p w14:paraId="7FA34B37">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本项目按照分区防治要求建设。本项目废气污染物主要为颗粒物、氨、硫化氢、SO</w:t>
            </w:r>
            <w:r>
              <w:rPr>
                <w:rFonts w:hint="default" w:ascii="Times New Roman" w:hAnsi="Times New Roman" w:eastAsia="宋体" w:cs="Times New Roman"/>
                <w:color w:val="000000" w:themeColor="text1"/>
                <w:kern w:val="2"/>
                <w:sz w:val="24"/>
                <w:szCs w:val="24"/>
                <w:vertAlign w:val="sub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、NO</w:t>
            </w:r>
            <w:r>
              <w:rPr>
                <w:rFonts w:hint="default" w:ascii="Times New Roman" w:hAnsi="Times New Roman" w:eastAsia="宋体" w:cs="Times New Roman"/>
                <w:color w:val="000000" w:themeColor="text1"/>
                <w:kern w:val="2"/>
                <w:sz w:val="24"/>
                <w:szCs w:val="24"/>
                <w:vertAlign w:val="subscript"/>
                <w:lang w:val="en-US" w:eastAsia="zh-CN" w:bidi="ar"/>
                <w14:textFill>
                  <w14:solidFill>
                    <w14:schemeClr w14:val="tx1"/>
                  </w14:solidFill>
                </w14:textFill>
              </w:rPr>
              <w:t>X</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，无重金属，不涉及大气沉降地下水、土壤环境影响；各生产工艺、物料储存均设置于建构筑物内，不涉及地面漫流地下水、土壤环境影响。项目不涉及地下水、土壤污染源及污染途径。</w:t>
            </w:r>
          </w:p>
          <w:p w14:paraId="51860425">
            <w:pPr>
              <w:keepNext w:val="0"/>
              <w:keepLines w:val="0"/>
              <w:widowControl w:val="0"/>
              <w:suppressLineNumbers w:val="0"/>
              <w:spacing w:before="0" w:beforeAutospacing="0" w:after="0" w:afterAutospacing="0" w:line="480" w:lineRule="exact"/>
              <w:ind w:left="0" w:right="0" w:firstLine="482" w:firstLineChars="200"/>
              <w:jc w:val="both"/>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t>2、地下水、土壤污染防治措施</w:t>
            </w:r>
          </w:p>
          <w:p w14:paraId="3056A95D">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为了避免污染地下水、土壤，</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参照《环境影响评价技术导则地下水环境》（HJ610-2016）、《危险废物贮存污染控制标准》（GB18597-2023）的要求，</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本项目厂区相应的防控措施</w:t>
            </w:r>
            <w:r>
              <w:rPr>
                <w:rFonts w:hint="eastAsia" w:cs="Times New Roman"/>
                <w:color w:val="000000" w:themeColor="text1"/>
                <w:kern w:val="2"/>
                <w:sz w:val="24"/>
                <w:szCs w:val="24"/>
                <w:lang w:val="zh-CN" w:eastAsia="zh-CN" w:bidi="ar"/>
                <w14:textFill>
                  <w14:solidFill>
                    <w14:schemeClr w14:val="tx1"/>
                  </w14:solidFill>
                </w14:textFill>
              </w:rPr>
              <w:t>见表</w:t>
            </w:r>
            <w:r>
              <w:rPr>
                <w:rFonts w:hint="eastAsia" w:cs="Times New Roman"/>
                <w:color w:val="000000" w:themeColor="text1"/>
                <w:kern w:val="2"/>
                <w:sz w:val="24"/>
                <w:szCs w:val="24"/>
                <w:lang w:val="en-US" w:eastAsia="zh-CN" w:bidi="ar"/>
                <w14:textFill>
                  <w14:solidFill>
                    <w14:schemeClr w14:val="tx1"/>
                  </w14:solidFill>
                </w14:textFill>
              </w:rPr>
              <w:t>4-21</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w:t>
            </w:r>
          </w:p>
          <w:p w14:paraId="7AB2496C">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00" w:lineRule="exact"/>
              <w:ind w:left="0" w:leftChars="0" w:right="0" w:firstLine="0" w:firstLineChars="0"/>
              <w:jc w:val="center"/>
              <w:textAlignment w:val="baseline"/>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表4-2</w:t>
            </w:r>
            <w:r>
              <w:rPr>
                <w:rFonts w:hint="eastAsia" w:cs="Times New Roman"/>
                <w:b/>
                <w:color w:val="000000" w:themeColor="text1"/>
                <w:kern w:val="2"/>
                <w:sz w:val="24"/>
                <w:szCs w:val="24"/>
                <w:highlight w:val="none"/>
                <w:lang w:val="en-US" w:eastAsia="zh-CN" w:bidi="ar-SA"/>
                <w14:textFill>
                  <w14:solidFill>
                    <w14:schemeClr w14:val="tx1"/>
                  </w14:solidFill>
                </w14:textFill>
              </w:rPr>
              <w:t>1</w:t>
            </w: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 xml:space="preserve"> 本项目污染防治分区情况一览表</w:t>
            </w:r>
          </w:p>
          <w:tbl>
            <w:tblPr>
              <w:tblStyle w:val="33"/>
              <w:tblW w:w="485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510"/>
              <w:gridCol w:w="1834"/>
              <w:gridCol w:w="4395"/>
            </w:tblGrid>
            <w:tr w14:paraId="62435D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56" w:type="pct"/>
                  <w:tcBorders>
                    <w:tl2br w:val="nil"/>
                    <w:tr2bl w:val="nil"/>
                  </w:tcBorders>
                  <w:noWrap w:val="0"/>
                  <w:vAlign w:val="center"/>
                </w:tcPr>
                <w:p w14:paraId="277F17C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序号</w:t>
                  </w:r>
                </w:p>
              </w:tc>
              <w:tc>
                <w:tcPr>
                  <w:tcW w:w="906" w:type="pct"/>
                  <w:tcBorders>
                    <w:tl2br w:val="nil"/>
                    <w:tr2bl w:val="nil"/>
                  </w:tcBorders>
                  <w:noWrap w:val="0"/>
                  <w:vAlign w:val="center"/>
                </w:tcPr>
                <w:p w14:paraId="28F287B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防治分区</w:t>
                  </w:r>
                </w:p>
              </w:tc>
              <w:tc>
                <w:tcPr>
                  <w:tcW w:w="1100" w:type="pct"/>
                  <w:tcBorders>
                    <w:tl2br w:val="nil"/>
                    <w:tr2bl w:val="nil"/>
                  </w:tcBorders>
                  <w:noWrap w:val="0"/>
                  <w:vAlign w:val="center"/>
                </w:tcPr>
                <w:p w14:paraId="0675961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分区位置</w:t>
                  </w:r>
                </w:p>
              </w:tc>
              <w:tc>
                <w:tcPr>
                  <w:tcW w:w="2636" w:type="pct"/>
                  <w:tcBorders>
                    <w:tl2br w:val="nil"/>
                    <w:tr2bl w:val="nil"/>
                  </w:tcBorders>
                  <w:noWrap w:val="0"/>
                  <w:vAlign w:val="center"/>
                </w:tcPr>
                <w:p w14:paraId="2EFA111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防渗要求</w:t>
                  </w:r>
                </w:p>
              </w:tc>
            </w:tr>
            <w:tr w14:paraId="1D8833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6" w:type="pct"/>
                  <w:tcBorders>
                    <w:tl2br w:val="nil"/>
                    <w:tr2bl w:val="nil"/>
                  </w:tcBorders>
                  <w:noWrap w:val="0"/>
                  <w:vAlign w:val="center"/>
                </w:tcPr>
                <w:p w14:paraId="54E58BF3">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1</w:t>
                  </w:r>
                </w:p>
              </w:tc>
              <w:tc>
                <w:tcPr>
                  <w:tcW w:w="906" w:type="pct"/>
                  <w:tcBorders>
                    <w:tl2br w:val="nil"/>
                    <w:tr2bl w:val="nil"/>
                  </w:tcBorders>
                  <w:noWrap w:val="0"/>
                  <w:vAlign w:val="center"/>
                </w:tcPr>
                <w:p w14:paraId="555F4E9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重点防渗区</w:t>
                  </w:r>
                </w:p>
              </w:tc>
              <w:tc>
                <w:tcPr>
                  <w:tcW w:w="1860" w:type="dxa"/>
                  <w:tcBorders>
                    <w:tl2br w:val="nil"/>
                    <w:tr2bl w:val="nil"/>
                  </w:tcBorders>
                  <w:noWrap w:val="0"/>
                  <w:vAlign w:val="center"/>
                </w:tcPr>
                <w:p w14:paraId="419F75D0">
                  <w:pPr>
                    <w:keepNext w:val="0"/>
                    <w:keepLines w:val="0"/>
                    <w:pageBreakBefore w:val="0"/>
                    <w:widowControl w:val="0"/>
                    <w:suppressLineNumbers w:val="0"/>
                    <w:kinsoku/>
                    <w:wordWrap w:val="0"/>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eastAsia="zh-CN"/>
                      <w14:textFill>
                        <w14:solidFill>
                          <w14:schemeClr w14:val="tx1"/>
                        </w14:solidFill>
                      </w14:textFill>
                    </w:rPr>
                    <w:t>危废</w:t>
                  </w:r>
                  <w:r>
                    <w:rPr>
                      <w:rFonts w:hint="eastAsia" w:cs="Times New Roman"/>
                      <w:bCs/>
                      <w:color w:val="000000" w:themeColor="text1"/>
                      <w:sz w:val="21"/>
                      <w:szCs w:val="21"/>
                      <w:lang w:eastAsia="zh-CN"/>
                      <w14:textFill>
                        <w14:solidFill>
                          <w14:schemeClr w14:val="tx1"/>
                        </w14:solidFill>
                      </w14:textFill>
                    </w:rPr>
                    <w:t>暂存间、污水处理站</w:t>
                  </w:r>
                </w:p>
              </w:tc>
              <w:tc>
                <w:tcPr>
                  <w:tcW w:w="4456" w:type="dxa"/>
                  <w:tcBorders>
                    <w:tl2br w:val="nil"/>
                    <w:tr2bl w:val="nil"/>
                  </w:tcBorders>
                  <w:noWrap w:val="0"/>
                  <w:vAlign w:val="center"/>
                </w:tcPr>
                <w:p w14:paraId="1D9DBA6E">
                  <w:pPr>
                    <w:keepNext w:val="0"/>
                    <w:keepLines w:val="0"/>
                    <w:pageBreakBefore w:val="0"/>
                    <w:widowControl w:val="0"/>
                    <w:suppressLineNumbers w:val="0"/>
                    <w:kinsoku/>
                    <w:wordWrap w:val="0"/>
                    <w:overflowPunct/>
                    <w:topLinePunct w:val="0"/>
                    <w:autoSpaceDE w:val="0"/>
                    <w:autoSpaceDN w:val="0"/>
                    <w:bidi w:val="0"/>
                    <w:adjustRightInd/>
                    <w:snapToGrid w:val="0"/>
                    <w:spacing w:before="0" w:beforeAutospacing="0" w:after="0" w:afterAutospacing="0" w:line="240" w:lineRule="auto"/>
                    <w:ind w:left="-105" w:leftChars="-50" w:right="-105" w:rightChars="-50"/>
                    <w:jc w:val="both"/>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基础防渗层为粘土层，其厚度应在1m以上，渗透系数应小于1.0×10</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highlight w:val="none"/>
                      <w14:textFill>
                        <w14:solidFill>
                          <w14:schemeClr w14:val="tx1"/>
                        </w14:solidFill>
                      </w14:textFill>
                    </w:rPr>
                    <w:t>cm/s；基础防渗层也可用厚度在2mm以上的高密度聚乙烯或其他人工防渗材料组成，渗透系数应小于1.0×10</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-10</w:t>
                  </w:r>
                  <w:r>
                    <w:rPr>
                      <w:rFonts w:hint="default" w:ascii="Times New Roman" w:hAnsi="Times New Roman" w:eastAsia="宋体" w:cs="Times New Roman"/>
                      <w:color w:val="000000" w:themeColor="text1"/>
                      <w:sz w:val="21"/>
                      <w:szCs w:val="21"/>
                      <w:highlight w:val="none"/>
                      <w14:textFill>
                        <w14:solidFill>
                          <w14:schemeClr w14:val="tx1"/>
                        </w14:solidFill>
                      </w14:textFill>
                    </w:rPr>
                    <w:t>cm/s</w:t>
                  </w:r>
                </w:p>
              </w:tc>
            </w:tr>
            <w:tr w14:paraId="605670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l2br w:val="nil"/>
                    <w:tr2bl w:val="nil"/>
                  </w:tcBorders>
                  <w:noWrap w:val="0"/>
                  <w:vAlign w:val="center"/>
                </w:tcPr>
                <w:p w14:paraId="109E353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906" w:type="pct"/>
                  <w:tcBorders>
                    <w:tl2br w:val="nil"/>
                    <w:tr2bl w:val="nil"/>
                  </w:tcBorders>
                  <w:noWrap w:val="0"/>
                  <w:vAlign w:val="center"/>
                </w:tcPr>
                <w:p w14:paraId="52CD6DE2">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一般防渗区</w:t>
                  </w:r>
                </w:p>
              </w:tc>
              <w:tc>
                <w:tcPr>
                  <w:tcW w:w="1860" w:type="dxa"/>
                  <w:tcBorders>
                    <w:tl2br w:val="nil"/>
                    <w:tr2bl w:val="nil"/>
                  </w:tcBorders>
                  <w:noWrap w:val="0"/>
                  <w:vAlign w:val="center"/>
                </w:tcPr>
                <w:p w14:paraId="1F2C76D2">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生产车间其他区域</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车间</w:t>
                  </w:r>
                </w:p>
              </w:tc>
              <w:tc>
                <w:tcPr>
                  <w:tcW w:w="4456" w:type="dxa"/>
                  <w:tcBorders>
                    <w:tl2br w:val="nil"/>
                    <w:tr2bl w:val="nil"/>
                  </w:tcBorders>
                  <w:noWrap w:val="0"/>
                  <w:vAlign w:val="center"/>
                </w:tcPr>
                <w:p w14:paraId="2967EB72">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firstLine="420" w:firstLineChars="200"/>
                    <w:jc w:val="both"/>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防渗层</w:t>
                  </w:r>
                  <w:r>
                    <w:rPr>
                      <w:rFonts w:hint="default" w:ascii="Times New Roman" w:hAnsi="Times New Roman" w:cs="Times New Roman"/>
                      <w:bCs/>
                      <w:color w:val="000000" w:themeColor="text1"/>
                      <w:sz w:val="21"/>
                      <w:szCs w:val="21"/>
                      <w:lang w:val="en-US" w:eastAsia="zh-CN"/>
                      <w14:textFill>
                        <w14:solidFill>
                          <w14:schemeClr w14:val="tx1"/>
                        </w14:solidFill>
                      </w14:textFill>
                    </w:rPr>
                    <w:t>采用</w:t>
                  </w:r>
                  <w:r>
                    <w:rPr>
                      <w:rFonts w:hint="default" w:ascii="Times New Roman" w:hAnsi="Times New Roman" w:eastAsia="宋体" w:cs="Times New Roman"/>
                      <w:bCs/>
                      <w:color w:val="000000" w:themeColor="text1"/>
                      <w:sz w:val="21"/>
                      <w:szCs w:val="21"/>
                      <w14:textFill>
                        <w14:solidFill>
                          <w14:schemeClr w14:val="tx1"/>
                        </w14:solidFill>
                      </w14:textFill>
                    </w:rPr>
                    <w:t>等效黏土防渗层Mb≥1.5m</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K≤1×10</w:t>
                  </w:r>
                  <w:r>
                    <w:rPr>
                      <w:rFonts w:hint="default" w:ascii="Times New Roman" w:hAnsi="Times New Roman" w:eastAsia="宋体" w:cs="Times New Roman"/>
                      <w:bCs/>
                      <w:color w:val="000000" w:themeColor="text1"/>
                      <w:sz w:val="21"/>
                      <w:szCs w:val="21"/>
                      <w:vertAlign w:val="superscript"/>
                      <w14:textFill>
                        <w14:solidFill>
                          <w14:schemeClr w14:val="tx1"/>
                        </w14:solidFill>
                      </w14:textFill>
                    </w:rPr>
                    <w:t>-7</w:t>
                  </w:r>
                  <w:r>
                    <w:rPr>
                      <w:rFonts w:hint="default" w:ascii="Times New Roman" w:hAnsi="Times New Roman" w:eastAsia="宋体" w:cs="Times New Roman"/>
                      <w:bCs/>
                      <w:color w:val="000000" w:themeColor="text1"/>
                      <w:sz w:val="21"/>
                      <w:szCs w:val="21"/>
                      <w14:textFill>
                        <w14:solidFill>
                          <w14:schemeClr w14:val="tx1"/>
                        </w14:solidFill>
                      </w14:textFill>
                    </w:rPr>
                    <w:t>cm/s</w:t>
                  </w:r>
                  <w:r>
                    <w:rPr>
                      <w:rFonts w:hint="default" w:ascii="Times New Roman" w:hAnsi="Times New Roman" w:cs="Times New Roman"/>
                      <w:bCs/>
                      <w:color w:val="000000" w:themeColor="text1"/>
                      <w:sz w:val="21"/>
                      <w:szCs w:val="21"/>
                      <w:lang w:val="en-US" w:eastAsia="zh-CN"/>
                      <w14:textFill>
                        <w14:solidFill>
                          <w14:schemeClr w14:val="tx1"/>
                        </w14:solidFill>
                      </w14:textFill>
                    </w:rPr>
                    <w:t>的防渗性能</w:t>
                  </w:r>
                </w:p>
              </w:tc>
            </w:tr>
            <w:tr w14:paraId="5287FA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l2br w:val="nil"/>
                    <w:tr2bl w:val="nil"/>
                  </w:tcBorders>
                  <w:noWrap w:val="0"/>
                  <w:vAlign w:val="center"/>
                </w:tcPr>
                <w:p w14:paraId="6094B701">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3</w:t>
                  </w:r>
                </w:p>
              </w:tc>
              <w:tc>
                <w:tcPr>
                  <w:tcW w:w="906" w:type="pct"/>
                  <w:tcBorders>
                    <w:tl2br w:val="nil"/>
                    <w:tr2bl w:val="nil"/>
                  </w:tcBorders>
                  <w:noWrap w:val="0"/>
                  <w:vAlign w:val="center"/>
                </w:tcPr>
                <w:p w14:paraId="52C635E3">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简单防渗区</w:t>
                  </w:r>
                </w:p>
              </w:tc>
              <w:tc>
                <w:tcPr>
                  <w:tcW w:w="1860" w:type="dxa"/>
                  <w:tcBorders>
                    <w:tl2br w:val="nil"/>
                    <w:tr2bl w:val="nil"/>
                  </w:tcBorders>
                  <w:noWrap w:val="0"/>
                  <w:vAlign w:val="center"/>
                </w:tcPr>
                <w:p w14:paraId="26F258F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t>非污染区厂区道路、</w:t>
                  </w:r>
                  <w:r>
                    <w:rPr>
                      <w:rFonts w:hint="eastAsia" w:cs="Times New Roman"/>
                      <w:color w:val="000000" w:themeColor="text1"/>
                      <w:kern w:val="2"/>
                      <w:sz w:val="21"/>
                      <w:szCs w:val="21"/>
                      <w:lang w:val="zh-CN" w:eastAsia="zh-CN" w:bidi="ar-SA"/>
                      <w14:textFill>
                        <w14:solidFill>
                          <w14:schemeClr w14:val="tx1"/>
                        </w14:solidFill>
                      </w14:textFill>
                    </w:rPr>
                    <w:t>综合楼</w:t>
                  </w:r>
                  <w:r>
                    <w:rPr>
                      <w:rFonts w:hint="eastAsia" w:cs="Times New Roman"/>
                      <w:color w:val="000000" w:themeColor="text1"/>
                      <w:kern w:val="2"/>
                      <w:sz w:val="21"/>
                      <w:szCs w:val="21"/>
                      <w:lang w:val="en-US" w:eastAsia="zh-CN" w:bidi="ar-SA"/>
                      <w14:textFill>
                        <w14:solidFill>
                          <w14:schemeClr w14:val="tx1"/>
                        </w14:solidFill>
                      </w14:textFill>
                    </w:rPr>
                    <w:t>1、2</w:t>
                  </w:r>
                </w:p>
              </w:tc>
              <w:tc>
                <w:tcPr>
                  <w:tcW w:w="4456" w:type="dxa"/>
                  <w:tcBorders>
                    <w:tl2br w:val="nil"/>
                    <w:tr2bl w:val="nil"/>
                  </w:tcBorders>
                  <w:noWrap w:val="0"/>
                  <w:vAlign w:val="center"/>
                </w:tcPr>
                <w:p w14:paraId="6656AFB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firstLine="420" w:firstLineChars="200"/>
                    <w:jc w:val="both"/>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按常规工程进行设计和建设，地面混凝土硬化，未硬化地点绿化。</w:t>
                  </w:r>
                </w:p>
              </w:tc>
            </w:tr>
          </w:tbl>
          <w:p w14:paraId="47EFC396">
            <w:pPr>
              <w:keepNext w:val="0"/>
              <w:keepLines w:val="0"/>
              <w:suppressLineNumbers w:val="0"/>
              <w:spacing w:before="0" w:beforeLines="0" w:beforeAutospacing="0" w:after="0" w:afterLines="0" w:afterAutospacing="0"/>
              <w:ind w:left="0" w:right="0" w:firstLine="422" w:firstLineChars="200"/>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注：</w:t>
            </w:r>
            <w:r>
              <w:rPr>
                <w:rFonts w:hint="eastAsia" w:cs="Times New Roman"/>
                <w:b/>
                <w:color w:val="000000" w:themeColor="text1"/>
                <w:sz w:val="21"/>
                <w:szCs w:val="21"/>
                <w:lang w:eastAsia="zh-CN"/>
                <w14:textFill>
                  <w14:solidFill>
                    <w14:schemeClr w14:val="tx1"/>
                  </w14:solidFill>
                </w14:textFill>
              </w:rPr>
              <w:t>具体防渗</w:t>
            </w:r>
            <w:r>
              <w:rPr>
                <w:rFonts w:hint="default" w:ascii="Times New Roman" w:hAnsi="Times New Roman" w:eastAsia="宋体" w:cs="Times New Roman"/>
                <w:b/>
                <w:color w:val="000000" w:themeColor="text1"/>
                <w:sz w:val="21"/>
                <w:szCs w:val="21"/>
                <w14:textFill>
                  <w14:solidFill>
                    <w14:schemeClr w14:val="tx1"/>
                  </w14:solidFill>
                </w14:textFill>
              </w:rPr>
              <w:t>详见防渗分区图。</w:t>
            </w:r>
          </w:p>
          <w:p w14:paraId="68573B26">
            <w:pPr>
              <w:pStyle w:val="9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482"/>
              <w:textAlignment w:val="auto"/>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t>本项目应严格按照国家相关规范要求，对该厂区采取相应的防渗措施，以防止和降低可能污染物的跑、冒、滴、漏。公司应对废气治理设施、防腐防渗措施等定期进行检查，并设专人监督环保设备的使用、固废的储存、厂内车辆行驶情况以及是否有防渗层开裂、破损、腐蚀等情况，出现上述情况应及时修缮，并制定严格的操作规范，坚持源头控制措施与过程控制措施相结合。</w:t>
            </w:r>
          </w:p>
          <w:p w14:paraId="69D84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left"/>
              <w:textAlignment w:val="auto"/>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t>本项目厂区不同功能区均采取有效的防渗措施，发生破损、造成垂直入渗的概率极小，且项目不产生持久性的污染物，对地下水及土壤环境影响较小。</w:t>
            </w:r>
          </w:p>
          <w:p w14:paraId="741F593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60" w:lineRule="exact"/>
              <w:ind w:left="0" w:right="0"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六、环境风险影响分析</w:t>
            </w:r>
          </w:p>
          <w:p w14:paraId="31BD82F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根据国家环境保护总局《关于加强环境影响评价管理防范环境风险的通知》(环发</w:t>
            </w:r>
            <w:r>
              <w:rPr>
                <w:rFonts w:hint="eastAsia" w:cs="Times New Roman"/>
                <w:b w:val="0"/>
                <w:bCs/>
                <w:color w:val="000000" w:themeColor="text1"/>
                <w:sz w:val="24"/>
                <w:szCs w:val="24"/>
                <w:lang w:eastAsia="zh-CN"/>
                <w14:textFill>
                  <w14:solidFill>
                    <w14:schemeClr w14:val="tx1"/>
                  </w14:solidFill>
                </w14:textFill>
              </w:rPr>
              <w:t>〔2005〕152号</w:t>
            </w:r>
            <w:r>
              <w:rPr>
                <w:rFonts w:hint="default" w:ascii="Times New Roman" w:hAnsi="Times New Roman" w:eastAsia="宋体" w:cs="Times New Roman"/>
                <w:b w:val="0"/>
                <w:bCs/>
                <w:color w:val="000000" w:themeColor="text1"/>
                <w:sz w:val="24"/>
                <w:szCs w:val="24"/>
                <w14:textFill>
                  <w14:solidFill>
                    <w14:schemeClr w14:val="tx1"/>
                  </w14:solidFill>
                </w14:textFill>
              </w:rPr>
              <w:t>)、环境保护部《关于进一步加强环境影响评价管理防范环境风险的通知》(环发</w:t>
            </w:r>
            <w:r>
              <w:rPr>
                <w:rFonts w:hint="eastAsia" w:cs="Times New Roman"/>
                <w:b w:val="0"/>
                <w:bCs/>
                <w:color w:val="000000" w:themeColor="text1"/>
                <w:sz w:val="24"/>
                <w:szCs w:val="24"/>
                <w:lang w:eastAsia="zh-CN"/>
                <w14:textFill>
                  <w14:solidFill>
                    <w14:schemeClr w14:val="tx1"/>
                  </w14:solidFill>
                </w14:textFill>
              </w:rPr>
              <w:t>〔2012〕77号</w:t>
            </w:r>
            <w:r>
              <w:rPr>
                <w:rFonts w:hint="default" w:ascii="Times New Roman" w:hAnsi="Times New Roman" w:eastAsia="宋体" w:cs="Times New Roman"/>
                <w:b w:val="0"/>
                <w:bCs/>
                <w:color w:val="000000" w:themeColor="text1"/>
                <w:sz w:val="24"/>
                <w:szCs w:val="24"/>
                <w14:textFill>
                  <w14:solidFill>
                    <w14:schemeClr w14:val="tx1"/>
                  </w14:solidFill>
                </w14:textFill>
              </w:rPr>
              <w:t>)、环境保护部《关于切实加强风险防范严格环境影响评价管理的通知》(环发</w:t>
            </w:r>
            <w:r>
              <w:rPr>
                <w:rFonts w:hint="eastAsia" w:cs="Times New Roman"/>
                <w:b w:val="0"/>
                <w:bCs/>
                <w:color w:val="000000" w:themeColor="text1"/>
                <w:sz w:val="24"/>
                <w:szCs w:val="24"/>
                <w:lang w:eastAsia="zh-CN"/>
                <w14:textFill>
                  <w14:solidFill>
                    <w14:schemeClr w14:val="tx1"/>
                  </w14:solidFill>
                </w14:textFill>
              </w:rPr>
              <w:t>〔2012〕98号</w:t>
            </w:r>
            <w:r>
              <w:rPr>
                <w:rFonts w:hint="default" w:ascii="Times New Roman" w:hAnsi="Times New Roman" w:eastAsia="宋体" w:cs="Times New Roman"/>
                <w:b w:val="0"/>
                <w:bCs/>
                <w:color w:val="000000" w:themeColor="text1"/>
                <w:sz w:val="24"/>
                <w:szCs w:val="24"/>
                <w14:textFill>
                  <w14:solidFill>
                    <w14:schemeClr w14:val="tx1"/>
                  </w14:solidFill>
                </w14:textFill>
              </w:rPr>
              <w:t>)及《建设项目环境风险评价技术导则》(HJ/T169-2018)的要求，对于涉及有毒有害和易燃易爆物质的生产、使用、储存（包括使用管线运输）的建设项目可能发生突发性事故（不包括人为破坏及自然灾害引发的事故）的环境风险进行风险评价。本次环境风险评价的目的在于识别生产、储存过程中的风险因素及可能诱发的环境问题，并针对潜在的环境风险，提出相应的预防措施，以使建设项目的事故率、损失和环境影响达到可接受水平。</w:t>
            </w:r>
          </w:p>
          <w:p w14:paraId="2EFA809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60" w:lineRule="exact"/>
              <w:ind w:left="0" w:right="0" w:firstLine="482" w:firstLineChars="200"/>
              <w:textAlignment w:val="auto"/>
              <w:rPr>
                <w:rFonts w:hint="default" w:ascii="Times New Roman" w:hAnsi="Times New Roman" w:eastAsia="宋体" w:cs="Times New Roman"/>
                <w:b/>
                <w:bCs/>
                <w:color w:val="000000" w:themeColor="text1"/>
                <w:kern w:val="0"/>
                <w:sz w:val="24"/>
                <w:szCs w:val="22"/>
                <w14:textFill>
                  <w14:solidFill>
                    <w14:schemeClr w14:val="tx1"/>
                  </w14:solidFill>
                </w14:textFill>
              </w:rPr>
            </w:pPr>
            <w:r>
              <w:rPr>
                <w:rFonts w:hint="eastAsia" w:cs="Times New Roman"/>
                <w:b/>
                <w:bCs/>
                <w:color w:val="000000" w:themeColor="text1"/>
                <w:kern w:val="0"/>
                <w:sz w:val="24"/>
                <w:szCs w:val="22"/>
                <w:lang w:val="en-US" w:eastAsia="zh-CN"/>
                <w14:textFill>
                  <w14:solidFill>
                    <w14:schemeClr w14:val="tx1"/>
                  </w14:solidFill>
                </w14:textFill>
              </w:rPr>
              <w:t>1、</w:t>
            </w:r>
            <w:r>
              <w:rPr>
                <w:rFonts w:hint="default" w:ascii="Times New Roman" w:hAnsi="Times New Roman" w:eastAsia="宋体" w:cs="Times New Roman"/>
                <w:b/>
                <w:bCs/>
                <w:color w:val="000000" w:themeColor="text1"/>
                <w:kern w:val="0"/>
                <w:sz w:val="24"/>
                <w:szCs w:val="22"/>
                <w14:textFill>
                  <w14:solidFill>
                    <w14:schemeClr w14:val="tx1"/>
                  </w14:solidFill>
                </w14:textFill>
              </w:rPr>
              <w:t>风险物质识别</w:t>
            </w:r>
          </w:p>
          <w:p w14:paraId="431ABE2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本项目在生产、贮存、运输及“三废”处理过程中涉及的主要危险物质主要有油类物质以及危险废物。</w:t>
            </w:r>
          </w:p>
          <w:p w14:paraId="7293E41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60" w:lineRule="exact"/>
              <w:ind w:left="0" w:right="0" w:firstLine="482" w:firstLineChars="200"/>
              <w:textAlignment w:val="auto"/>
              <w:rPr>
                <w:rFonts w:hint="default" w:ascii="Times New Roman" w:hAnsi="Times New Roman" w:eastAsia="宋体" w:cs="Times New Roman"/>
                <w:b/>
                <w:bCs/>
                <w:color w:val="000000" w:themeColor="text1"/>
                <w:kern w:val="0"/>
                <w:sz w:val="24"/>
                <w:szCs w:val="22"/>
                <w14:textFill>
                  <w14:solidFill>
                    <w14:schemeClr w14:val="tx1"/>
                  </w14:solidFill>
                </w14:textFill>
              </w:rPr>
            </w:pPr>
            <w:r>
              <w:rPr>
                <w:rFonts w:hint="default" w:ascii="Times New Roman" w:hAnsi="Times New Roman" w:eastAsia="宋体" w:cs="Times New Roman"/>
                <w:b/>
                <w:bCs/>
                <w:color w:val="000000" w:themeColor="text1"/>
                <w:kern w:val="0"/>
                <w:sz w:val="24"/>
                <w:szCs w:val="22"/>
                <w14:textFill>
                  <w14:solidFill>
                    <w14:schemeClr w14:val="tx1"/>
                  </w14:solidFill>
                </w14:textFill>
              </w:rPr>
              <w:t>2</w:t>
            </w:r>
            <w:r>
              <w:rPr>
                <w:rFonts w:hint="eastAsia" w:cs="Times New Roman"/>
                <w:b/>
                <w:bCs/>
                <w:color w:val="000000" w:themeColor="text1"/>
                <w:kern w:val="0"/>
                <w:sz w:val="24"/>
                <w:szCs w:val="22"/>
                <w:lang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2"/>
                <w14:textFill>
                  <w14:solidFill>
                    <w14:schemeClr w14:val="tx1"/>
                  </w14:solidFill>
                </w14:textFill>
              </w:rPr>
              <w:t>危险物质数量与临界量比值（Q）</w:t>
            </w:r>
          </w:p>
          <w:p w14:paraId="07083A8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根据《建设项目环境风险评价技术导则》（HJ169－2018）附录C，计算所涉及的每种危险物质在厂界内的最大存在总量与其在附录B中对应临界量的比值Q。</w:t>
            </w:r>
          </w:p>
          <w:p w14:paraId="49C8997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当只涉及一种危险物质时，计算该物质的总量与其临界值比值，即为Q；</w:t>
            </w:r>
          </w:p>
          <w:p w14:paraId="5CF13BB0">
            <w:pPr>
              <w:keepNext w:val="0"/>
              <w:keepLines w:val="0"/>
              <w:suppressLineNumbers w:val="0"/>
              <w:spacing w:before="0" w:beforeAutospacing="0" w:after="0" w:afterAutospacing="0" w:line="440" w:lineRule="exact"/>
              <w:ind w:left="0" w:right="0" w:firstLine="480" w:firstLineChars="200"/>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当存在多种危险物质时，则按下式计算物质总量与其临界量比值（Q）：</w:t>
            </w:r>
          </w:p>
          <w:p w14:paraId="6115BFB3">
            <w:pPr>
              <w:keepNext w:val="0"/>
              <w:keepLines w:val="0"/>
              <w:suppressLineNumbers w:val="0"/>
              <w:spacing w:before="0" w:beforeAutospacing="0" w:after="0" w:afterAutospacing="0" w:line="480" w:lineRule="exact"/>
              <w:ind w:left="0" w:right="0" w:firstLine="420" w:firstLineChars="200"/>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anchor distT="0" distB="0" distL="114300" distR="114300" simplePos="0" relativeHeight="251666432" behindDoc="0" locked="0" layoutInCell="1" allowOverlap="1">
                  <wp:simplePos x="0" y="0"/>
                  <wp:positionH relativeFrom="column">
                    <wp:posOffset>1047750</wp:posOffset>
                  </wp:positionH>
                  <wp:positionV relativeFrom="paragraph">
                    <wp:posOffset>19050</wp:posOffset>
                  </wp:positionV>
                  <wp:extent cx="2047875" cy="561975"/>
                  <wp:effectExtent l="0" t="0" r="9525" b="9525"/>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26"/>
                          <a:stretch>
                            <a:fillRect/>
                          </a:stretch>
                        </pic:blipFill>
                        <pic:spPr>
                          <a:xfrm>
                            <a:off x="0" y="0"/>
                            <a:ext cx="2047875" cy="561975"/>
                          </a:xfrm>
                          <a:prstGeom prst="rect">
                            <a:avLst/>
                          </a:prstGeom>
                          <a:noFill/>
                          <a:ln>
                            <a:noFill/>
                          </a:ln>
                        </pic:spPr>
                      </pic:pic>
                    </a:graphicData>
                  </a:graphic>
                </wp:anchor>
              </w:drawing>
            </w:r>
          </w:p>
          <w:p w14:paraId="55A431CD">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szCs w:val="22"/>
                <w14:textFill>
                  <w14:solidFill>
                    <w14:schemeClr w14:val="tx1"/>
                  </w14:solidFill>
                </w14:textFill>
              </w:rPr>
            </w:pPr>
          </w:p>
          <w:p w14:paraId="72AC85F5">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式中：q</w:t>
            </w:r>
            <w:r>
              <w:rPr>
                <w:rFonts w:hint="default" w:ascii="Times New Roman" w:hAnsi="Times New Roman" w:eastAsia="宋体" w:cs="Times New Roman"/>
                <w:color w:val="000000" w:themeColor="text1"/>
                <w:kern w:val="0"/>
                <w:sz w:val="24"/>
                <w:szCs w:val="22"/>
                <w:vertAlign w:val="subscript"/>
                <w14:textFill>
                  <w14:solidFill>
                    <w14:schemeClr w14:val="tx1"/>
                  </w14:solidFill>
                </w14:textFill>
              </w:rPr>
              <w:t>1</w:t>
            </w:r>
            <w:r>
              <w:rPr>
                <w:rFonts w:hint="default" w:ascii="Times New Roman" w:hAnsi="Times New Roman" w:eastAsia="宋体" w:cs="Times New Roman"/>
                <w:color w:val="000000" w:themeColor="text1"/>
                <w:kern w:val="0"/>
                <w:sz w:val="24"/>
                <w:szCs w:val="22"/>
                <w14:textFill>
                  <w14:solidFill>
                    <w14:schemeClr w14:val="tx1"/>
                  </w14:solidFill>
                </w14:textFill>
              </w:rPr>
              <w:t>，q</w:t>
            </w:r>
            <w:r>
              <w:rPr>
                <w:rFonts w:hint="default" w:ascii="Times New Roman" w:hAnsi="Times New Roman" w:eastAsia="宋体" w:cs="Times New Roman"/>
                <w:color w:val="000000" w:themeColor="text1"/>
                <w:kern w:val="0"/>
                <w:sz w:val="24"/>
                <w:szCs w:val="22"/>
                <w:vertAlign w:val="subscript"/>
                <w14:textFill>
                  <w14:solidFill>
                    <w14:schemeClr w14:val="tx1"/>
                  </w14:solidFill>
                </w14:textFill>
              </w:rPr>
              <w:t>2</w:t>
            </w:r>
            <w:r>
              <w:rPr>
                <w:rFonts w:hint="default" w:ascii="Times New Roman" w:hAnsi="Times New Roman" w:eastAsia="宋体" w:cs="Times New Roman"/>
                <w:color w:val="000000" w:themeColor="text1"/>
                <w:kern w:val="0"/>
                <w:sz w:val="24"/>
                <w:szCs w:val="22"/>
                <w14:textFill>
                  <w14:solidFill>
                    <w14:schemeClr w14:val="tx1"/>
                  </w14:solidFill>
                </w14:textFill>
              </w:rPr>
              <w:t>，…，q</w:t>
            </w:r>
            <w:r>
              <w:rPr>
                <w:rFonts w:hint="default" w:ascii="Times New Roman" w:hAnsi="Times New Roman" w:eastAsia="宋体" w:cs="Times New Roman"/>
                <w:color w:val="000000" w:themeColor="text1"/>
                <w:kern w:val="0"/>
                <w:sz w:val="24"/>
                <w:szCs w:val="22"/>
                <w:vertAlign w:val="subscript"/>
                <w14:textFill>
                  <w14:solidFill>
                    <w14:schemeClr w14:val="tx1"/>
                  </w14:solidFill>
                </w14:textFill>
              </w:rPr>
              <w:t>n</w:t>
            </w:r>
            <w:r>
              <w:rPr>
                <w:rFonts w:hint="default" w:ascii="Times New Roman" w:hAnsi="Times New Roman" w:eastAsia="宋体" w:cs="Times New Roman"/>
                <w:color w:val="000000" w:themeColor="text1"/>
                <w:kern w:val="0"/>
                <w:sz w:val="24"/>
                <w:szCs w:val="22"/>
                <w14:textFill>
                  <w14:solidFill>
                    <w14:schemeClr w14:val="tx1"/>
                  </w14:solidFill>
                </w14:textFill>
              </w:rPr>
              <w:t>——每种危险物质的最大存在总量，t；</w:t>
            </w:r>
          </w:p>
          <w:p w14:paraId="6723C6C6">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Q</w:t>
            </w:r>
            <w:r>
              <w:rPr>
                <w:rFonts w:hint="default" w:ascii="Times New Roman" w:hAnsi="Times New Roman" w:eastAsia="宋体" w:cs="Times New Roman"/>
                <w:color w:val="000000" w:themeColor="text1"/>
                <w:kern w:val="0"/>
                <w:sz w:val="24"/>
                <w:szCs w:val="22"/>
                <w:vertAlign w:val="subscript"/>
                <w14:textFill>
                  <w14:solidFill>
                    <w14:schemeClr w14:val="tx1"/>
                  </w14:solidFill>
                </w14:textFill>
              </w:rPr>
              <w:t>1</w:t>
            </w:r>
            <w:r>
              <w:rPr>
                <w:rFonts w:hint="default" w:ascii="Times New Roman" w:hAnsi="Times New Roman" w:eastAsia="宋体" w:cs="Times New Roman"/>
                <w:color w:val="000000" w:themeColor="text1"/>
                <w:kern w:val="0"/>
                <w:sz w:val="24"/>
                <w:szCs w:val="22"/>
                <w14:textFill>
                  <w14:solidFill>
                    <w14:schemeClr w14:val="tx1"/>
                  </w14:solidFill>
                </w14:textFill>
              </w:rPr>
              <w:t>，Q</w:t>
            </w:r>
            <w:r>
              <w:rPr>
                <w:rFonts w:hint="default" w:ascii="Times New Roman" w:hAnsi="Times New Roman" w:eastAsia="宋体" w:cs="Times New Roman"/>
                <w:color w:val="000000" w:themeColor="text1"/>
                <w:kern w:val="0"/>
                <w:sz w:val="24"/>
                <w:szCs w:val="22"/>
                <w:vertAlign w:val="subscript"/>
                <w14:textFill>
                  <w14:solidFill>
                    <w14:schemeClr w14:val="tx1"/>
                  </w14:solidFill>
                </w14:textFill>
              </w:rPr>
              <w:t>2</w:t>
            </w:r>
            <w:r>
              <w:rPr>
                <w:rFonts w:hint="default" w:ascii="Times New Roman" w:hAnsi="Times New Roman" w:eastAsia="宋体" w:cs="Times New Roman"/>
                <w:color w:val="000000" w:themeColor="text1"/>
                <w:kern w:val="0"/>
                <w:sz w:val="24"/>
                <w:szCs w:val="22"/>
                <w14:textFill>
                  <w14:solidFill>
                    <w14:schemeClr w14:val="tx1"/>
                  </w14:solidFill>
                </w14:textFill>
              </w:rPr>
              <w:t>，…，Qn——每种危险物质的临界量，t。</w:t>
            </w:r>
          </w:p>
          <w:p w14:paraId="29F6F7A6">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当Q＜1时，该项目环境风险潜势为I。</w:t>
            </w:r>
          </w:p>
          <w:p w14:paraId="5C30154D">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当Q≥1时，将Q值划分为：（1）1≤Q＜10；（2）10≤Q＜100；（3）Q≥100。</w:t>
            </w:r>
          </w:p>
          <w:p w14:paraId="46F9B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建设项目危险物质数量与临界值比值Q确定见表</w:t>
            </w:r>
            <w:r>
              <w:rPr>
                <w:rFonts w:hint="default" w:ascii="Times New Roman" w:hAnsi="Times New Roman" w:eastAsia="宋体" w:cs="Times New Roman"/>
                <w:color w:val="000000" w:themeColor="text1"/>
                <w:kern w:val="0"/>
                <w:sz w:val="24"/>
                <w:szCs w:val="22"/>
                <w:lang w:val="en-US" w:eastAsia="zh-CN"/>
                <w14:textFill>
                  <w14:solidFill>
                    <w14:schemeClr w14:val="tx1"/>
                  </w14:solidFill>
                </w14:textFill>
              </w:rPr>
              <w:t>4-2</w:t>
            </w:r>
            <w:r>
              <w:rPr>
                <w:rFonts w:hint="eastAsia" w:cs="Times New Roman"/>
                <w:color w:val="000000" w:themeColor="text1"/>
                <w:kern w:val="0"/>
                <w:sz w:val="24"/>
                <w:szCs w:val="22"/>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09D3FBA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firstLine="482" w:firstLineChars="200"/>
              <w:jc w:val="center"/>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4-2</w:t>
            </w:r>
            <w:r>
              <w:rPr>
                <w:rFonts w:hint="eastAsia" w:cs="Times New Roman"/>
                <w:b/>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color w:val="000000" w:themeColor="text1"/>
                <w:sz w:val="24"/>
                <w:szCs w:val="24"/>
                <w14:textFill>
                  <w14:solidFill>
                    <w14:schemeClr w14:val="tx1"/>
                  </w14:solidFill>
                </w14:textFill>
              </w:rPr>
              <w:t xml:space="preserve">    风险物质与临界量对比计算结果一览表</w:t>
            </w:r>
          </w:p>
          <w:tbl>
            <w:tblPr>
              <w:tblStyle w:val="33"/>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715"/>
              <w:gridCol w:w="1983"/>
              <w:gridCol w:w="1557"/>
              <w:gridCol w:w="1282"/>
              <w:gridCol w:w="1258"/>
            </w:tblGrid>
            <w:tr w14:paraId="2C5384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6" w:type="pct"/>
                  <w:tcBorders>
                    <w:tl2br w:val="nil"/>
                    <w:tr2bl w:val="nil"/>
                  </w:tcBorders>
                  <w:noWrap w:val="0"/>
                  <w:vAlign w:val="center"/>
                </w:tcPr>
                <w:p w14:paraId="0FCA2CD6">
                  <w:pPr>
                    <w:pStyle w:val="1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序号</w:t>
                  </w:r>
                </w:p>
              </w:tc>
              <w:tc>
                <w:tcPr>
                  <w:tcW w:w="999" w:type="pct"/>
                  <w:tcBorders>
                    <w:tl2br w:val="nil"/>
                    <w:tr2bl w:val="nil"/>
                  </w:tcBorders>
                  <w:noWrap w:val="0"/>
                  <w:vAlign w:val="center"/>
                </w:tcPr>
                <w:p w14:paraId="39943204">
                  <w:pPr>
                    <w:pStyle w:val="1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名称</w:t>
                  </w:r>
                </w:p>
              </w:tc>
              <w:tc>
                <w:tcPr>
                  <w:tcW w:w="1155" w:type="pct"/>
                  <w:tcBorders>
                    <w:tl2br w:val="nil"/>
                    <w:tr2bl w:val="nil"/>
                  </w:tcBorders>
                  <w:noWrap w:val="0"/>
                  <w:vAlign w:val="center"/>
                </w:tcPr>
                <w:p w14:paraId="1B8A924D">
                  <w:pPr>
                    <w:pStyle w:val="1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最大存放量q（t）</w:t>
                  </w:r>
                </w:p>
              </w:tc>
              <w:tc>
                <w:tcPr>
                  <w:tcW w:w="907" w:type="pct"/>
                  <w:tcBorders>
                    <w:tl2br w:val="nil"/>
                    <w:tr2bl w:val="nil"/>
                  </w:tcBorders>
                  <w:noWrap w:val="0"/>
                  <w:vAlign w:val="center"/>
                </w:tcPr>
                <w:p w14:paraId="4501D996">
                  <w:pPr>
                    <w:pStyle w:val="1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临界量Q（t）</w:t>
                  </w:r>
                </w:p>
              </w:tc>
              <w:tc>
                <w:tcPr>
                  <w:tcW w:w="747" w:type="pct"/>
                  <w:tcBorders>
                    <w:tl2br w:val="nil"/>
                    <w:tr2bl w:val="nil"/>
                  </w:tcBorders>
                  <w:noWrap w:val="0"/>
                  <w:vAlign w:val="center"/>
                </w:tcPr>
                <w:p w14:paraId="6772394E">
                  <w:pPr>
                    <w:pStyle w:val="1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qi/Qi</w:t>
                  </w:r>
                </w:p>
              </w:tc>
              <w:tc>
                <w:tcPr>
                  <w:tcW w:w="733" w:type="pct"/>
                  <w:tcBorders>
                    <w:tl2br w:val="nil"/>
                    <w:tr2bl w:val="nil"/>
                  </w:tcBorders>
                  <w:noWrap w:val="0"/>
                  <w:vAlign w:val="center"/>
                </w:tcPr>
                <w:p w14:paraId="3C632503">
                  <w:pPr>
                    <w:pStyle w:val="1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∑q/Q</w:t>
                  </w:r>
                </w:p>
              </w:tc>
            </w:tr>
            <w:tr w14:paraId="17F76B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56" w:type="pct"/>
                  <w:tcBorders>
                    <w:tl2br w:val="nil"/>
                    <w:tr2bl w:val="nil"/>
                  </w:tcBorders>
                  <w:noWrap w:val="0"/>
                  <w:vAlign w:val="center"/>
                </w:tcPr>
                <w:p w14:paraId="787A69C4">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eastAsia" w:cs="Times New Roman"/>
                      <w:bCs/>
                      <w:color w:val="000000" w:themeColor="text1"/>
                      <w:kern w:val="0"/>
                      <w:szCs w:val="21"/>
                      <w:lang w:val="en-US" w:eastAsia="zh-CN"/>
                      <w14:textFill>
                        <w14:solidFill>
                          <w14:schemeClr w14:val="tx1"/>
                        </w14:solidFill>
                      </w14:textFill>
                    </w:rPr>
                    <w:t>1</w:t>
                  </w:r>
                </w:p>
              </w:tc>
              <w:tc>
                <w:tcPr>
                  <w:tcW w:w="999" w:type="pct"/>
                  <w:tcBorders>
                    <w:tl2br w:val="nil"/>
                    <w:tr2bl w:val="nil"/>
                  </w:tcBorders>
                  <w:noWrap w:val="0"/>
                  <w:vAlign w:val="center"/>
                </w:tcPr>
                <w:p w14:paraId="5BE6E068">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bCs/>
                      <w:color w:val="000000" w:themeColor="text1"/>
                      <w:kern w:val="0"/>
                      <w:szCs w:val="21"/>
                      <w:lang w:eastAsia="zh-CN"/>
                      <w14:textFill>
                        <w14:solidFill>
                          <w14:schemeClr w14:val="tx1"/>
                        </w14:solidFill>
                      </w14:textFill>
                    </w:rPr>
                  </w:pPr>
                  <w:r>
                    <w:rPr>
                      <w:rFonts w:hint="default" w:ascii="Times New Roman" w:hAnsi="Times New Roman" w:eastAsia="宋体" w:cs="Times New Roman"/>
                      <w:bCs/>
                      <w:color w:val="000000" w:themeColor="text1"/>
                      <w:kern w:val="0"/>
                      <w:szCs w:val="21"/>
                      <w:lang w:eastAsia="zh-CN"/>
                      <w14:textFill>
                        <w14:solidFill>
                          <w14:schemeClr w14:val="tx1"/>
                        </w14:solidFill>
                      </w14:textFill>
                    </w:rPr>
                    <w:t>天然气</w:t>
                  </w:r>
                </w:p>
              </w:tc>
              <w:tc>
                <w:tcPr>
                  <w:tcW w:w="1155" w:type="pct"/>
                  <w:tcBorders>
                    <w:tl2br w:val="nil"/>
                    <w:tr2bl w:val="nil"/>
                  </w:tcBorders>
                  <w:noWrap w:val="0"/>
                  <w:vAlign w:val="center"/>
                </w:tcPr>
                <w:p w14:paraId="4FB6808E">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t>0.01</w:t>
                  </w:r>
                </w:p>
              </w:tc>
              <w:tc>
                <w:tcPr>
                  <w:tcW w:w="907" w:type="pct"/>
                  <w:tcBorders>
                    <w:tl2br w:val="nil"/>
                    <w:tr2bl w:val="nil"/>
                  </w:tcBorders>
                  <w:noWrap w:val="0"/>
                  <w:vAlign w:val="center"/>
                </w:tcPr>
                <w:p w14:paraId="4ABA2691">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t>10</w:t>
                  </w:r>
                </w:p>
              </w:tc>
              <w:tc>
                <w:tcPr>
                  <w:tcW w:w="747" w:type="pct"/>
                  <w:tcBorders>
                    <w:tl2br w:val="nil"/>
                    <w:tr2bl w:val="nil"/>
                  </w:tcBorders>
                  <w:noWrap w:val="0"/>
                  <w:vAlign w:val="center"/>
                </w:tcPr>
                <w:p w14:paraId="427EC0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0.001</w:t>
                  </w:r>
                </w:p>
              </w:tc>
              <w:tc>
                <w:tcPr>
                  <w:tcW w:w="733" w:type="pct"/>
                  <w:vMerge w:val="restart"/>
                  <w:tcBorders>
                    <w:tl2br w:val="nil"/>
                    <w:tr2bl w:val="nil"/>
                  </w:tcBorders>
                  <w:noWrap w:val="0"/>
                  <w:vAlign w:val="center"/>
                </w:tcPr>
                <w:p w14:paraId="55D12B77">
                  <w:pPr>
                    <w:pStyle w:val="1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0.017</w:t>
                  </w:r>
                </w:p>
              </w:tc>
            </w:tr>
            <w:tr w14:paraId="236925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56" w:type="pct"/>
                  <w:tcBorders>
                    <w:tl2br w:val="nil"/>
                    <w:tr2bl w:val="nil"/>
                  </w:tcBorders>
                  <w:noWrap w:val="0"/>
                  <w:vAlign w:val="center"/>
                </w:tcPr>
                <w:p w14:paraId="6F36EC58">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eastAsia" w:cs="Times New Roman"/>
                      <w:bCs/>
                      <w:color w:val="000000" w:themeColor="text1"/>
                      <w:kern w:val="0"/>
                      <w:szCs w:val="21"/>
                      <w:lang w:val="en-US" w:eastAsia="zh-CN"/>
                      <w14:textFill>
                        <w14:solidFill>
                          <w14:schemeClr w14:val="tx1"/>
                        </w14:solidFill>
                      </w14:textFill>
                    </w:rPr>
                    <w:t>2</w:t>
                  </w:r>
                </w:p>
              </w:tc>
              <w:tc>
                <w:tcPr>
                  <w:tcW w:w="999" w:type="pct"/>
                  <w:tcBorders>
                    <w:tl2br w:val="nil"/>
                    <w:tr2bl w:val="nil"/>
                  </w:tcBorders>
                  <w:shd w:val="clear" w:color="auto" w:fill="auto"/>
                  <w:noWrap w:val="0"/>
                  <w:vAlign w:val="center"/>
                </w:tcPr>
                <w:p w14:paraId="320D6C0E">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Cs w:val="21"/>
                      <w14:textFill>
                        <w14:solidFill>
                          <w14:schemeClr w14:val="tx1"/>
                        </w14:solidFill>
                      </w14:textFill>
                    </w:rPr>
                    <w:t>危险废物</w:t>
                  </w:r>
                </w:p>
              </w:tc>
              <w:tc>
                <w:tcPr>
                  <w:tcW w:w="1155" w:type="pct"/>
                  <w:tcBorders>
                    <w:tl2br w:val="nil"/>
                    <w:tr2bl w:val="nil"/>
                  </w:tcBorders>
                  <w:shd w:val="clear" w:color="auto" w:fill="auto"/>
                  <w:noWrap w:val="0"/>
                  <w:vAlign w:val="center"/>
                </w:tcPr>
                <w:p w14:paraId="2F652601">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eastAsia" w:cs="Times New Roman"/>
                      <w:bCs/>
                      <w:color w:val="000000" w:themeColor="text1"/>
                      <w:kern w:val="0"/>
                      <w:szCs w:val="21"/>
                      <w:lang w:val="en-US" w:eastAsia="zh-CN"/>
                      <w14:textFill>
                        <w14:solidFill>
                          <w14:schemeClr w14:val="tx1"/>
                        </w14:solidFill>
                      </w14:textFill>
                    </w:rPr>
                    <w:t>0.8</w:t>
                  </w:r>
                </w:p>
              </w:tc>
              <w:tc>
                <w:tcPr>
                  <w:tcW w:w="907" w:type="pct"/>
                  <w:tcBorders>
                    <w:tl2br w:val="nil"/>
                    <w:tr2bl w:val="nil"/>
                  </w:tcBorders>
                  <w:shd w:val="clear" w:color="auto" w:fill="auto"/>
                  <w:noWrap w:val="0"/>
                  <w:vAlign w:val="center"/>
                </w:tcPr>
                <w:p w14:paraId="5698BBED">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Cs w:val="21"/>
                      <w14:textFill>
                        <w14:solidFill>
                          <w14:schemeClr w14:val="tx1"/>
                        </w14:solidFill>
                      </w14:textFill>
                    </w:rPr>
                    <w:t>50</w:t>
                  </w:r>
                </w:p>
              </w:tc>
              <w:tc>
                <w:tcPr>
                  <w:tcW w:w="747" w:type="pct"/>
                  <w:tcBorders>
                    <w:tl2br w:val="nil"/>
                    <w:tr2bl w:val="nil"/>
                  </w:tcBorders>
                  <w:shd w:val="clear" w:color="auto" w:fill="auto"/>
                  <w:noWrap w:val="0"/>
                  <w:vAlign w:val="center"/>
                </w:tcPr>
                <w:p w14:paraId="6905F7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0.016</w:t>
                  </w:r>
                </w:p>
              </w:tc>
              <w:tc>
                <w:tcPr>
                  <w:tcW w:w="733" w:type="pct"/>
                  <w:vMerge w:val="continue"/>
                  <w:tcBorders>
                    <w:tl2br w:val="nil"/>
                    <w:tr2bl w:val="nil"/>
                  </w:tcBorders>
                  <w:noWrap w:val="0"/>
                  <w:vAlign w:val="center"/>
                </w:tcPr>
                <w:p w14:paraId="53AE68C4">
                  <w:pPr>
                    <w:pStyle w:val="1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7D07BC5B">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根据《建设项目环境风险评价技术导则》（HJ169-2018）附录B.1突发环境事件风险物质及临界量表，计算本项目Q值。</w:t>
            </w:r>
          </w:p>
          <w:p w14:paraId="2B82EB20">
            <w:pPr>
              <w:keepNext w:val="0"/>
              <w:keepLines w:val="0"/>
              <w:suppressLineNumbers w:val="0"/>
              <w:spacing w:before="0" w:beforeAutospacing="0" w:after="0" w:afterAutospacing="0" w:line="480" w:lineRule="exact"/>
              <w:ind w:left="0" w:right="0" w:firstLine="480" w:firstLineChars="200"/>
              <w:jc w:val="left"/>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评价工作等级划分见表</w:t>
            </w:r>
            <w:r>
              <w:rPr>
                <w:rFonts w:hint="default" w:ascii="Times New Roman" w:hAnsi="Times New Roman" w:eastAsia="宋体" w:cs="Times New Roman"/>
                <w:color w:val="000000" w:themeColor="text1"/>
                <w:kern w:val="0"/>
                <w:sz w:val="24"/>
                <w:szCs w:val="22"/>
                <w:lang w:val="en-US" w:eastAsia="zh-CN"/>
                <w14:textFill>
                  <w14:solidFill>
                    <w14:schemeClr w14:val="tx1"/>
                  </w14:solidFill>
                </w14:textFill>
              </w:rPr>
              <w:t>4-2</w:t>
            </w:r>
            <w:r>
              <w:rPr>
                <w:rFonts w:hint="eastAsia" w:cs="Times New Roman"/>
                <w:color w:val="000000" w:themeColor="text1"/>
                <w:kern w:val="0"/>
                <w:sz w:val="24"/>
                <w:szCs w:val="22"/>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2"/>
                <w14:textFill>
                  <w14:solidFill>
                    <w14:schemeClr w14:val="tx1"/>
                  </w14:solidFill>
                </w14:textFill>
              </w:rPr>
              <w:t>。</w:t>
            </w:r>
          </w:p>
          <w:p w14:paraId="04E9EB32">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b/>
                <w:bCs/>
                <w:color w:val="000000" w:themeColor="text1"/>
                <w:kern w:val="0"/>
                <w:sz w:val="24"/>
                <w:szCs w:val="22"/>
                <w14:textFill>
                  <w14:solidFill>
                    <w14:schemeClr w14:val="tx1"/>
                  </w14:solidFill>
                </w14:textFill>
              </w:rPr>
            </w:pPr>
            <w:r>
              <w:rPr>
                <w:rFonts w:hint="default" w:ascii="Times New Roman" w:hAnsi="Times New Roman" w:eastAsia="宋体" w:cs="Times New Roman"/>
                <w:b/>
                <w:bCs/>
                <w:color w:val="000000" w:themeColor="text1"/>
                <w:kern w:val="0"/>
                <w:sz w:val="24"/>
                <w:szCs w:val="22"/>
                <w14:textFill>
                  <w14:solidFill>
                    <w14:schemeClr w14:val="tx1"/>
                  </w14:solidFill>
                </w14:textFill>
              </w:rPr>
              <w:t>表</w:t>
            </w:r>
            <w:r>
              <w:rPr>
                <w:rFonts w:hint="default" w:ascii="Times New Roman" w:hAnsi="Times New Roman" w:eastAsia="宋体" w:cs="Times New Roman"/>
                <w:b/>
                <w:bCs/>
                <w:color w:val="000000" w:themeColor="text1"/>
                <w:kern w:val="0"/>
                <w:sz w:val="24"/>
                <w:szCs w:val="22"/>
                <w:lang w:val="en-US" w:eastAsia="zh-CN"/>
                <w14:textFill>
                  <w14:solidFill>
                    <w14:schemeClr w14:val="tx1"/>
                  </w14:solidFill>
                </w14:textFill>
              </w:rPr>
              <w:t>4-2</w:t>
            </w:r>
            <w:r>
              <w:rPr>
                <w:rFonts w:hint="eastAsia" w:cs="Times New Roman"/>
                <w:b/>
                <w:bCs/>
                <w:color w:val="000000" w:themeColor="text1"/>
                <w:kern w:val="0"/>
                <w:sz w:val="24"/>
                <w:szCs w:val="22"/>
                <w:lang w:val="en-US" w:eastAsia="zh-CN"/>
                <w14:textFill>
                  <w14:solidFill>
                    <w14:schemeClr w14:val="tx1"/>
                  </w14:solidFill>
                </w14:textFill>
              </w:rPr>
              <w:t>3</w:t>
            </w:r>
            <w:r>
              <w:rPr>
                <w:rFonts w:hint="default" w:ascii="Times New Roman" w:hAnsi="Times New Roman" w:eastAsia="宋体" w:cs="Times New Roman"/>
                <w:b/>
                <w:bCs/>
                <w:color w:val="000000" w:themeColor="text1"/>
                <w:kern w:val="0"/>
                <w:sz w:val="24"/>
                <w:szCs w:val="22"/>
                <w14:textFill>
                  <w14:solidFill>
                    <w14:schemeClr w14:val="tx1"/>
                  </w14:solidFill>
                </w14:textFill>
              </w:rPr>
              <w:t xml:space="preserve">   评价工作等级划分表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15"/>
              <w:gridCol w:w="1255"/>
              <w:gridCol w:w="1255"/>
              <w:gridCol w:w="1483"/>
              <w:gridCol w:w="1483"/>
              <w:gridCol w:w="1492"/>
            </w:tblGrid>
            <w:tr w14:paraId="5DC35B0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941" w:type="pct"/>
                  <w:tcBorders>
                    <w:tl2br w:val="nil"/>
                    <w:tr2bl w:val="nil"/>
                  </w:tcBorders>
                  <w:noWrap w:val="0"/>
                  <w:vAlign w:val="center"/>
                </w:tcPr>
                <w:p w14:paraId="33218B0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环境风险潜势</w:t>
                  </w:r>
                </w:p>
              </w:tc>
              <w:tc>
                <w:tcPr>
                  <w:tcW w:w="731" w:type="pct"/>
                  <w:tcBorders>
                    <w:tl2br w:val="nil"/>
                    <w:tr2bl w:val="nil"/>
                  </w:tcBorders>
                  <w:noWrap w:val="0"/>
                  <w:vAlign w:val="center"/>
                </w:tcPr>
                <w:p w14:paraId="00B5AD7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731" w:type="pct"/>
                  <w:tcBorders>
                    <w:tl2br w:val="nil"/>
                    <w:tr2bl w:val="nil"/>
                  </w:tcBorders>
                  <w:noWrap w:val="0"/>
                  <w:vAlign w:val="center"/>
                </w:tcPr>
                <w:p w14:paraId="1B37655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Ⅳ、Ⅳ+</w:t>
                  </w:r>
                </w:p>
              </w:tc>
              <w:tc>
                <w:tcPr>
                  <w:tcW w:w="864" w:type="pct"/>
                  <w:tcBorders>
                    <w:tl2br w:val="nil"/>
                    <w:tr2bl w:val="nil"/>
                  </w:tcBorders>
                  <w:noWrap w:val="0"/>
                  <w:vAlign w:val="center"/>
                </w:tcPr>
                <w:p w14:paraId="422CD31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Ⅲ</w:t>
                  </w:r>
                </w:p>
              </w:tc>
              <w:tc>
                <w:tcPr>
                  <w:tcW w:w="864" w:type="pct"/>
                  <w:tcBorders>
                    <w:tl2br w:val="nil"/>
                    <w:tr2bl w:val="nil"/>
                  </w:tcBorders>
                  <w:noWrap w:val="0"/>
                  <w:vAlign w:val="center"/>
                </w:tcPr>
                <w:p w14:paraId="1FEE070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Ⅱ</w:t>
                  </w:r>
                </w:p>
              </w:tc>
              <w:tc>
                <w:tcPr>
                  <w:tcW w:w="867" w:type="pct"/>
                  <w:tcBorders>
                    <w:tl2br w:val="nil"/>
                    <w:tr2bl w:val="nil"/>
                  </w:tcBorders>
                  <w:noWrap w:val="0"/>
                  <w:vAlign w:val="center"/>
                </w:tcPr>
                <w:p w14:paraId="02CAB38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Ⅰ</w:t>
                  </w:r>
                </w:p>
              </w:tc>
            </w:tr>
            <w:tr w14:paraId="436A877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4" w:hRule="atLeast"/>
                <w:jc w:val="center"/>
              </w:trPr>
              <w:tc>
                <w:tcPr>
                  <w:tcW w:w="941" w:type="pct"/>
                  <w:tcBorders>
                    <w:tl2br w:val="nil"/>
                    <w:tr2bl w:val="nil"/>
                  </w:tcBorders>
                  <w:noWrap w:val="0"/>
                  <w:vAlign w:val="center"/>
                </w:tcPr>
                <w:p w14:paraId="345DBA9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评价工作等级</w:t>
                  </w:r>
                </w:p>
              </w:tc>
              <w:tc>
                <w:tcPr>
                  <w:tcW w:w="731" w:type="pct"/>
                  <w:tcBorders>
                    <w:tl2br w:val="nil"/>
                    <w:tr2bl w:val="nil"/>
                  </w:tcBorders>
                  <w:noWrap w:val="0"/>
                  <w:vAlign w:val="center"/>
                </w:tcPr>
                <w:p w14:paraId="1BE18D8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731" w:type="pct"/>
                  <w:tcBorders>
                    <w:tl2br w:val="nil"/>
                    <w:tr2bl w:val="nil"/>
                  </w:tcBorders>
                  <w:noWrap w:val="0"/>
                  <w:vAlign w:val="center"/>
                </w:tcPr>
                <w:p w14:paraId="335EA0B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一</w:t>
                  </w:r>
                </w:p>
              </w:tc>
              <w:tc>
                <w:tcPr>
                  <w:tcW w:w="864" w:type="pct"/>
                  <w:tcBorders>
                    <w:tl2br w:val="nil"/>
                    <w:tr2bl w:val="nil"/>
                  </w:tcBorders>
                  <w:noWrap w:val="0"/>
                  <w:vAlign w:val="center"/>
                </w:tcPr>
                <w:p w14:paraId="300430C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二</w:t>
                  </w:r>
                </w:p>
              </w:tc>
              <w:tc>
                <w:tcPr>
                  <w:tcW w:w="864" w:type="pct"/>
                  <w:tcBorders>
                    <w:tl2br w:val="nil"/>
                    <w:tr2bl w:val="nil"/>
                  </w:tcBorders>
                  <w:noWrap w:val="0"/>
                  <w:vAlign w:val="center"/>
                </w:tcPr>
                <w:p w14:paraId="55BF099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三</w:t>
                  </w:r>
                </w:p>
              </w:tc>
              <w:tc>
                <w:tcPr>
                  <w:tcW w:w="867" w:type="pct"/>
                  <w:tcBorders>
                    <w:tl2br w:val="nil"/>
                    <w:tr2bl w:val="nil"/>
                  </w:tcBorders>
                  <w:noWrap w:val="0"/>
                  <w:vAlign w:val="center"/>
                </w:tcPr>
                <w:p w14:paraId="7FEF0BA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简单分析a</w:t>
                  </w:r>
                </w:p>
              </w:tc>
            </w:tr>
            <w:tr w14:paraId="724D483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5000" w:type="pct"/>
                  <w:gridSpan w:val="6"/>
                  <w:tcBorders>
                    <w:tl2br w:val="nil"/>
                    <w:tr2bl w:val="nil"/>
                  </w:tcBorders>
                  <w:noWrap w:val="0"/>
                  <w:vAlign w:val="top"/>
                </w:tcPr>
                <w:p w14:paraId="0D6BB5B8">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a是相对详细评价工作内容而言，在描述危险物质、在环境影响途径、风险防范措施等方面给出定性说明。</w:t>
                  </w:r>
                </w:p>
              </w:tc>
            </w:tr>
          </w:tbl>
          <w:p w14:paraId="67EEC136">
            <w:pPr>
              <w:pStyle w:val="51"/>
              <w:keepNext w:val="0"/>
              <w:keepLines w:val="0"/>
              <w:suppressLineNumbers w:val="0"/>
              <w:kinsoku w:val="0"/>
              <w:overflowPunct w:val="0"/>
              <w:spacing w:before="0" w:beforeAutospacing="0" w:after="0" w:afterAutospacing="0" w:line="20" w:lineRule="exact"/>
              <w:ind w:left="32" w:right="-22"/>
              <w:rPr>
                <w:rFonts w:hint="default" w:ascii="Times New Roman" w:hAnsi="Times New Roman" w:eastAsia="宋体" w:cs="Times New Roman"/>
                <w:color w:val="000000" w:themeColor="text1"/>
                <w:sz w:val="2"/>
                <w14:textFill>
                  <w14:solidFill>
                    <w14:schemeClr w14:val="tx1"/>
                  </w14:solidFill>
                </w14:textFill>
              </w:rPr>
            </w:pPr>
          </w:p>
          <w:p w14:paraId="40D8D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lang w:eastAsia="zh-CN"/>
                <w14:textFill>
                  <w14:solidFill>
                    <w14:schemeClr w14:val="tx1"/>
                  </w14:solidFill>
                </w14:textFill>
              </w:rPr>
              <w:t>因此，</w:t>
            </w:r>
            <w:r>
              <w:rPr>
                <w:rFonts w:hint="default" w:ascii="Times New Roman" w:hAnsi="Times New Roman" w:eastAsia="宋体" w:cs="Times New Roman"/>
                <w:color w:val="000000" w:themeColor="text1"/>
                <w:kern w:val="0"/>
                <w:sz w:val="24"/>
                <w:szCs w:val="22"/>
                <w14:textFill>
                  <w14:solidFill>
                    <w14:schemeClr w14:val="tx1"/>
                  </w14:solidFill>
                </w14:textFill>
              </w:rPr>
              <w:t>本项目的Q小于1，故本项目环境风险潜势为Ⅰ。</w:t>
            </w:r>
          </w:p>
          <w:p w14:paraId="016BB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auto"/>
              <w:rPr>
                <w:rFonts w:hint="default" w:ascii="Times New Roman" w:hAnsi="Times New Roman" w:eastAsia="宋体" w:cs="Times New Roman"/>
                <w:b/>
                <w:bCs/>
                <w:color w:val="000000" w:themeColor="text1"/>
                <w:kern w:val="0"/>
                <w:sz w:val="24"/>
                <w:szCs w:val="22"/>
                <w14:textFill>
                  <w14:solidFill>
                    <w14:schemeClr w14:val="tx1"/>
                  </w14:solidFill>
                </w14:textFill>
              </w:rPr>
            </w:pPr>
            <w:r>
              <w:rPr>
                <w:rFonts w:hint="default" w:ascii="Times New Roman" w:hAnsi="Times New Roman" w:eastAsia="宋体" w:cs="Times New Roman"/>
                <w:b/>
                <w:bCs/>
                <w:color w:val="000000" w:themeColor="text1"/>
                <w:kern w:val="0"/>
                <w:sz w:val="24"/>
                <w:szCs w:val="22"/>
                <w14:textFill>
                  <w14:solidFill>
                    <w14:schemeClr w14:val="tx1"/>
                  </w14:solidFill>
                </w14:textFill>
              </w:rPr>
              <w:t>3</w:t>
            </w:r>
            <w:r>
              <w:rPr>
                <w:rFonts w:hint="eastAsia" w:cs="Times New Roman"/>
                <w:b/>
                <w:bCs/>
                <w:color w:val="000000" w:themeColor="text1"/>
                <w:kern w:val="0"/>
                <w:sz w:val="24"/>
                <w:szCs w:val="22"/>
                <w:lang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2"/>
                <w14:textFill>
                  <w14:solidFill>
                    <w14:schemeClr w14:val="tx1"/>
                  </w14:solidFill>
                </w14:textFill>
              </w:rPr>
              <w:t>风险识别</w:t>
            </w:r>
          </w:p>
          <w:p w14:paraId="7B055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项目主要风险单元见表</w:t>
            </w:r>
            <w:r>
              <w:rPr>
                <w:rFonts w:hint="default" w:ascii="Times New Roman" w:hAnsi="Times New Roman" w:eastAsia="宋体" w:cs="Times New Roman"/>
                <w:color w:val="000000" w:themeColor="text1"/>
                <w:kern w:val="0"/>
                <w:sz w:val="24"/>
                <w:szCs w:val="22"/>
                <w:lang w:val="en-US" w:eastAsia="zh-CN"/>
                <w14:textFill>
                  <w14:solidFill>
                    <w14:schemeClr w14:val="tx1"/>
                  </w14:solidFill>
                </w14:textFill>
              </w:rPr>
              <w:t>4-2</w:t>
            </w:r>
            <w:r>
              <w:rPr>
                <w:rFonts w:hint="eastAsia" w:cs="Times New Roman"/>
                <w:color w:val="000000" w:themeColor="text1"/>
                <w:kern w:val="0"/>
                <w:sz w:val="24"/>
                <w:szCs w:val="22"/>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2"/>
                <w14:textFill>
                  <w14:solidFill>
                    <w14:schemeClr w14:val="tx1"/>
                  </w14:solidFill>
                </w14:textFill>
              </w:rPr>
              <w:t>。</w:t>
            </w:r>
          </w:p>
          <w:p w14:paraId="18265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b/>
                <w:bCs/>
                <w:color w:val="000000" w:themeColor="text1"/>
                <w:kern w:val="0"/>
                <w:sz w:val="24"/>
                <w:szCs w:val="22"/>
                <w14:textFill>
                  <w14:solidFill>
                    <w14:schemeClr w14:val="tx1"/>
                  </w14:solidFill>
                </w14:textFill>
              </w:rPr>
            </w:pPr>
            <w:r>
              <w:rPr>
                <w:rFonts w:hint="default" w:ascii="Times New Roman" w:hAnsi="Times New Roman" w:eastAsia="宋体" w:cs="Times New Roman"/>
                <w:b/>
                <w:bCs/>
                <w:color w:val="000000" w:themeColor="text1"/>
                <w:kern w:val="0"/>
                <w:sz w:val="24"/>
                <w:szCs w:val="22"/>
                <w14:textFill>
                  <w14:solidFill>
                    <w14:schemeClr w14:val="tx1"/>
                  </w14:solidFill>
                </w14:textFill>
              </w:rPr>
              <w:t>表</w:t>
            </w:r>
            <w:r>
              <w:rPr>
                <w:rFonts w:hint="default" w:ascii="Times New Roman" w:hAnsi="Times New Roman" w:eastAsia="宋体" w:cs="Times New Roman"/>
                <w:b/>
                <w:bCs/>
                <w:color w:val="000000" w:themeColor="text1"/>
                <w:kern w:val="0"/>
                <w:sz w:val="24"/>
                <w:szCs w:val="22"/>
                <w:lang w:val="en-US" w:eastAsia="zh-CN"/>
                <w14:textFill>
                  <w14:solidFill>
                    <w14:schemeClr w14:val="tx1"/>
                  </w14:solidFill>
                </w14:textFill>
              </w:rPr>
              <w:t>4-2</w:t>
            </w:r>
            <w:r>
              <w:rPr>
                <w:rFonts w:hint="eastAsia" w:cs="Times New Roman"/>
                <w:b/>
                <w:bCs/>
                <w:color w:val="000000" w:themeColor="text1"/>
                <w:kern w:val="0"/>
                <w:sz w:val="24"/>
                <w:szCs w:val="22"/>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2"/>
                <w14:textFill>
                  <w14:solidFill>
                    <w14:schemeClr w14:val="tx1"/>
                  </w14:solidFill>
                </w14:textFill>
              </w:rPr>
              <w:t xml:space="preserve">  项目主要风险单元施一览表</w:t>
            </w:r>
          </w:p>
          <w:tbl>
            <w:tblPr>
              <w:tblStyle w:val="33"/>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050"/>
              <w:gridCol w:w="1066"/>
              <w:gridCol w:w="2867"/>
              <w:gridCol w:w="2078"/>
            </w:tblGrid>
            <w:tr w14:paraId="6888EE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pct"/>
                  <w:tcBorders>
                    <w:tl2br w:val="nil"/>
                    <w:tr2bl w:val="nil"/>
                  </w:tcBorders>
                  <w:noWrap w:val="0"/>
                  <w:vAlign w:val="center"/>
                </w:tcPr>
                <w:p w14:paraId="396B7B74">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事故发生环节</w:t>
                  </w:r>
                </w:p>
              </w:tc>
              <w:tc>
                <w:tcPr>
                  <w:tcW w:w="612" w:type="pct"/>
                  <w:tcBorders>
                    <w:tl2br w:val="nil"/>
                    <w:tr2bl w:val="nil"/>
                  </w:tcBorders>
                  <w:noWrap w:val="0"/>
                  <w:vAlign w:val="center"/>
                </w:tcPr>
                <w:p w14:paraId="6C4E387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危险</w:t>
                  </w:r>
                  <w:r>
                    <w:rPr>
                      <w:rFonts w:hint="eastAsia" w:ascii="Times New Roman" w:hAnsi="Times New Roman" w:eastAsia="宋体" w:cs="Times New Roman"/>
                      <w:color w:val="000000" w:themeColor="text1"/>
                      <w:lang w:val="en-US" w:eastAsia="zh-CN"/>
                      <w14:textFill>
                        <w14:solidFill>
                          <w14:schemeClr w14:val="tx1"/>
                        </w14:solidFill>
                      </w14:textFill>
                    </w:rPr>
                    <w:t>源</w:t>
                  </w:r>
                </w:p>
              </w:tc>
              <w:tc>
                <w:tcPr>
                  <w:tcW w:w="621" w:type="pct"/>
                  <w:tcBorders>
                    <w:tl2br w:val="nil"/>
                    <w:tr2bl w:val="nil"/>
                  </w:tcBorders>
                  <w:noWrap w:val="0"/>
                  <w:vAlign w:val="center"/>
                </w:tcPr>
                <w:p w14:paraId="73CA7DE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类型</w:t>
                  </w:r>
                </w:p>
              </w:tc>
              <w:tc>
                <w:tcPr>
                  <w:tcW w:w="1671" w:type="pct"/>
                  <w:tcBorders>
                    <w:tl2br w:val="nil"/>
                    <w:tr2bl w:val="nil"/>
                  </w:tcBorders>
                  <w:noWrap w:val="0"/>
                  <w:vAlign w:val="center"/>
                </w:tcPr>
                <w:p w14:paraId="69EEDB6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原因</w:t>
                  </w:r>
                </w:p>
              </w:tc>
              <w:tc>
                <w:tcPr>
                  <w:tcW w:w="1211" w:type="pct"/>
                  <w:tcBorders>
                    <w:tl2br w:val="nil"/>
                    <w:tr2bl w:val="nil"/>
                  </w:tcBorders>
                  <w:noWrap w:val="0"/>
                  <w:vAlign w:val="center"/>
                </w:tcPr>
                <w:p w14:paraId="0AB6C4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影响途径</w:t>
                  </w:r>
                </w:p>
              </w:tc>
            </w:tr>
            <w:tr w14:paraId="670CCE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pct"/>
                  <w:vMerge w:val="restart"/>
                  <w:tcBorders>
                    <w:tl2br w:val="nil"/>
                    <w:tr2bl w:val="nil"/>
                  </w:tcBorders>
                  <w:noWrap w:val="0"/>
                  <w:vAlign w:val="center"/>
                </w:tcPr>
                <w:p w14:paraId="79C96C7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贮存</w:t>
                  </w:r>
                </w:p>
              </w:tc>
              <w:tc>
                <w:tcPr>
                  <w:tcW w:w="612" w:type="pct"/>
                  <w:vMerge w:val="restart"/>
                  <w:tcBorders>
                    <w:tl2br w:val="nil"/>
                    <w:tr2bl w:val="nil"/>
                  </w:tcBorders>
                  <w:noWrap w:val="0"/>
                  <w:vAlign w:val="center"/>
                </w:tcPr>
                <w:p w14:paraId="2FD28884">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天然气管道</w:t>
                  </w:r>
                </w:p>
                <w:p w14:paraId="2827AFF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危废暂存间</w:t>
                  </w:r>
                </w:p>
              </w:tc>
              <w:tc>
                <w:tcPr>
                  <w:tcW w:w="621" w:type="pct"/>
                  <w:tcBorders>
                    <w:tl2br w:val="nil"/>
                    <w:tr2bl w:val="nil"/>
                  </w:tcBorders>
                  <w:noWrap w:val="0"/>
                  <w:vAlign w:val="center"/>
                </w:tcPr>
                <w:p w14:paraId="2F0C7CC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泄漏</w:t>
                  </w:r>
                </w:p>
              </w:tc>
              <w:tc>
                <w:tcPr>
                  <w:tcW w:w="1671" w:type="pct"/>
                  <w:tcBorders>
                    <w:tl2br w:val="nil"/>
                    <w:tr2bl w:val="nil"/>
                  </w:tcBorders>
                  <w:noWrap w:val="0"/>
                  <w:vAlign w:val="center"/>
                </w:tcPr>
                <w:p w14:paraId="491BF34E">
                  <w:pPr>
                    <w:keepNext w:val="0"/>
                    <w:keepLines w:val="0"/>
                    <w:suppressLineNumbers w:val="0"/>
                    <w:spacing w:before="0" w:beforeAutospacing="0" w:after="0" w:afterAutospacing="0"/>
                    <w:ind w:left="0" w:right="0" w:firstLine="420" w:firstLineChars="200"/>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容器破损，违章操作，安全阀失灵</w:t>
                  </w:r>
                </w:p>
              </w:tc>
              <w:tc>
                <w:tcPr>
                  <w:tcW w:w="1211" w:type="pct"/>
                  <w:tcBorders>
                    <w:tl2br w:val="nil"/>
                    <w:tr2bl w:val="nil"/>
                  </w:tcBorders>
                  <w:noWrap w:val="0"/>
                  <w:vAlign w:val="center"/>
                </w:tcPr>
                <w:p w14:paraId="30EDBF83">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大气、地下水</w:t>
                  </w:r>
                  <w:r>
                    <w:rPr>
                      <w:rFonts w:hint="eastAsia" w:cs="Times New Roman"/>
                      <w:color w:val="000000" w:themeColor="text1"/>
                      <w:lang w:val="en-US" w:eastAsia="zh-CN"/>
                      <w14:textFill>
                        <w14:solidFill>
                          <w14:schemeClr w14:val="tx1"/>
                        </w14:solidFill>
                      </w14:textFill>
                    </w:rPr>
                    <w:t>、土壤</w:t>
                  </w:r>
                </w:p>
              </w:tc>
            </w:tr>
            <w:tr w14:paraId="187C89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pct"/>
                  <w:vMerge w:val="continue"/>
                  <w:tcBorders>
                    <w:tl2br w:val="nil"/>
                    <w:tr2bl w:val="nil"/>
                  </w:tcBorders>
                  <w:noWrap w:val="0"/>
                  <w:vAlign w:val="center"/>
                </w:tcPr>
                <w:p w14:paraId="63EC6BA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p>
              </w:tc>
              <w:tc>
                <w:tcPr>
                  <w:tcW w:w="612" w:type="pct"/>
                  <w:vMerge w:val="continue"/>
                  <w:tcBorders>
                    <w:tl2br w:val="nil"/>
                    <w:tr2bl w:val="nil"/>
                  </w:tcBorders>
                  <w:noWrap w:val="0"/>
                  <w:vAlign w:val="center"/>
                </w:tcPr>
                <w:p w14:paraId="0A1DE18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p>
              </w:tc>
              <w:tc>
                <w:tcPr>
                  <w:tcW w:w="621" w:type="pct"/>
                  <w:tcBorders>
                    <w:tl2br w:val="nil"/>
                    <w:tr2bl w:val="nil"/>
                  </w:tcBorders>
                  <w:noWrap w:val="0"/>
                  <w:vAlign w:val="center"/>
                </w:tcPr>
                <w:p w14:paraId="5E8D55B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中毒</w:t>
                  </w:r>
                </w:p>
              </w:tc>
              <w:tc>
                <w:tcPr>
                  <w:tcW w:w="1671" w:type="pct"/>
                  <w:tcBorders>
                    <w:tl2br w:val="nil"/>
                    <w:tr2bl w:val="nil"/>
                  </w:tcBorders>
                  <w:noWrap w:val="0"/>
                  <w:vAlign w:val="center"/>
                </w:tcPr>
                <w:p w14:paraId="15A40C6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lang w:val="en-US" w:eastAsia="zh-CN"/>
                      <w14:textFill>
                        <w14:solidFill>
                          <w14:schemeClr w14:val="tx1"/>
                        </w14:solidFill>
                      </w14:textFill>
                    </w:rPr>
                    <w:t>泄漏导致现场危险品浓度超标</w:t>
                  </w:r>
                </w:p>
              </w:tc>
              <w:tc>
                <w:tcPr>
                  <w:tcW w:w="1211" w:type="pct"/>
                  <w:tcBorders>
                    <w:tl2br w:val="nil"/>
                    <w:tr2bl w:val="nil"/>
                  </w:tcBorders>
                  <w:noWrap w:val="0"/>
                  <w:vAlign w:val="center"/>
                </w:tcPr>
                <w:p w14:paraId="4E604BA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大气</w:t>
                  </w:r>
                </w:p>
              </w:tc>
            </w:tr>
            <w:tr w14:paraId="531810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pct"/>
                  <w:vMerge w:val="continue"/>
                  <w:tcBorders>
                    <w:tl2br w:val="nil"/>
                    <w:tr2bl w:val="nil"/>
                  </w:tcBorders>
                  <w:noWrap w:val="0"/>
                  <w:vAlign w:val="center"/>
                </w:tcPr>
                <w:p w14:paraId="6ED0FA0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12" w:type="pct"/>
                  <w:vMerge w:val="continue"/>
                  <w:tcBorders>
                    <w:tl2br w:val="nil"/>
                    <w:tr2bl w:val="nil"/>
                  </w:tcBorders>
                  <w:noWrap w:val="0"/>
                  <w:vAlign w:val="center"/>
                </w:tcPr>
                <w:p w14:paraId="4F4A2B5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21" w:type="pct"/>
                  <w:tcBorders>
                    <w:tl2br w:val="nil"/>
                    <w:tr2bl w:val="nil"/>
                  </w:tcBorders>
                  <w:noWrap w:val="0"/>
                  <w:vAlign w:val="center"/>
                </w:tcPr>
                <w:p w14:paraId="22BD40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火灾爆炸</w:t>
                  </w:r>
                </w:p>
              </w:tc>
              <w:tc>
                <w:tcPr>
                  <w:tcW w:w="1671" w:type="pct"/>
                  <w:tcBorders>
                    <w:tl2br w:val="nil"/>
                    <w:tr2bl w:val="nil"/>
                  </w:tcBorders>
                  <w:noWrap w:val="0"/>
                  <w:vAlign w:val="center"/>
                </w:tcPr>
                <w:p w14:paraId="3B5CCE41">
                  <w:pPr>
                    <w:keepNext w:val="0"/>
                    <w:keepLines w:val="0"/>
                    <w:suppressLineNumbers w:val="0"/>
                    <w:spacing w:before="0" w:beforeAutospacing="0" w:after="0" w:afterAutospacing="0"/>
                    <w:ind w:left="0" w:right="0" w:firstLine="420" w:firstLineChars="200"/>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物料发生泄漏，遇明火、静电、摩擦、 撞击、雷电等</w:t>
                  </w:r>
                </w:p>
              </w:tc>
              <w:tc>
                <w:tcPr>
                  <w:tcW w:w="1211" w:type="pct"/>
                  <w:tcBorders>
                    <w:tl2br w:val="nil"/>
                    <w:tr2bl w:val="nil"/>
                  </w:tcBorders>
                  <w:noWrap w:val="0"/>
                  <w:vAlign w:val="center"/>
                </w:tcPr>
                <w:p w14:paraId="5851BD3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大气、地下水</w:t>
                  </w:r>
                  <w:r>
                    <w:rPr>
                      <w:rFonts w:hint="eastAsia" w:cs="Times New Roman"/>
                      <w:color w:val="000000" w:themeColor="text1"/>
                      <w:lang w:val="en-US" w:eastAsia="zh-CN"/>
                      <w14:textFill>
                        <w14:solidFill>
                          <w14:schemeClr w14:val="tx1"/>
                        </w14:solidFill>
                      </w14:textFill>
                    </w:rPr>
                    <w:t>、土壤</w:t>
                  </w:r>
                </w:p>
              </w:tc>
            </w:tr>
            <w:tr w14:paraId="400D5B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84" w:type="pct"/>
                  <w:vMerge w:val="restart"/>
                  <w:tcBorders>
                    <w:tl2br w:val="nil"/>
                    <w:tr2bl w:val="nil"/>
                  </w:tcBorders>
                  <w:noWrap w:val="0"/>
                  <w:vAlign w:val="center"/>
                </w:tcPr>
                <w:p w14:paraId="278C3873">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使用</w:t>
                  </w:r>
                </w:p>
              </w:tc>
              <w:tc>
                <w:tcPr>
                  <w:tcW w:w="612" w:type="pct"/>
                  <w:vMerge w:val="continue"/>
                  <w:tcBorders>
                    <w:tl2br w:val="nil"/>
                    <w:tr2bl w:val="nil"/>
                  </w:tcBorders>
                  <w:noWrap w:val="0"/>
                  <w:vAlign w:val="center"/>
                </w:tcPr>
                <w:p w14:paraId="6AEEEFE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21" w:type="pct"/>
                  <w:tcBorders>
                    <w:tl2br w:val="nil"/>
                    <w:tr2bl w:val="nil"/>
                  </w:tcBorders>
                  <w:shd w:val="clear" w:color="auto" w:fill="auto"/>
                  <w:noWrap w:val="0"/>
                  <w:vAlign w:val="center"/>
                </w:tcPr>
                <w:p w14:paraId="4395154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泄漏</w:t>
                  </w:r>
                </w:p>
              </w:tc>
              <w:tc>
                <w:tcPr>
                  <w:tcW w:w="1671" w:type="pct"/>
                  <w:tcBorders>
                    <w:tl2br w:val="nil"/>
                    <w:tr2bl w:val="nil"/>
                  </w:tcBorders>
                  <w:noWrap w:val="0"/>
                  <w:vAlign w:val="center"/>
                </w:tcPr>
                <w:p w14:paraId="4509C33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操作失误</w:t>
                  </w:r>
                </w:p>
              </w:tc>
              <w:tc>
                <w:tcPr>
                  <w:tcW w:w="1211" w:type="pct"/>
                  <w:tcBorders>
                    <w:tl2br w:val="nil"/>
                    <w:tr2bl w:val="nil"/>
                  </w:tcBorders>
                  <w:shd w:val="clear" w:color="auto" w:fill="auto"/>
                  <w:noWrap w:val="0"/>
                  <w:vAlign w:val="center"/>
                </w:tcPr>
                <w:p w14:paraId="10022B9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大气、地下水</w:t>
                  </w:r>
                  <w:r>
                    <w:rPr>
                      <w:rFonts w:hint="eastAsia" w:cs="Times New Roman"/>
                      <w:color w:val="000000" w:themeColor="text1"/>
                      <w:lang w:val="en-US" w:eastAsia="zh-CN"/>
                      <w14:textFill>
                        <w14:solidFill>
                          <w14:schemeClr w14:val="tx1"/>
                        </w14:solidFill>
                      </w14:textFill>
                    </w:rPr>
                    <w:t>、土壤</w:t>
                  </w:r>
                </w:p>
              </w:tc>
            </w:tr>
            <w:tr w14:paraId="54F3E9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pct"/>
                  <w:vMerge w:val="continue"/>
                  <w:tcBorders>
                    <w:tl2br w:val="nil"/>
                    <w:tr2bl w:val="nil"/>
                  </w:tcBorders>
                  <w:noWrap w:val="0"/>
                  <w:vAlign w:val="center"/>
                </w:tcPr>
                <w:p w14:paraId="6AD090E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12" w:type="pct"/>
                  <w:vMerge w:val="continue"/>
                  <w:tcBorders>
                    <w:tl2br w:val="nil"/>
                    <w:tr2bl w:val="nil"/>
                  </w:tcBorders>
                  <w:noWrap w:val="0"/>
                  <w:vAlign w:val="center"/>
                </w:tcPr>
                <w:p w14:paraId="280097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21" w:type="pct"/>
                  <w:tcBorders>
                    <w:tl2br w:val="nil"/>
                    <w:tr2bl w:val="nil"/>
                  </w:tcBorders>
                  <w:shd w:val="clear" w:color="auto" w:fill="auto"/>
                  <w:noWrap w:val="0"/>
                  <w:vAlign w:val="center"/>
                </w:tcPr>
                <w:p w14:paraId="3A7C2ED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中毒</w:t>
                  </w:r>
                </w:p>
              </w:tc>
              <w:tc>
                <w:tcPr>
                  <w:tcW w:w="1671" w:type="pct"/>
                  <w:tcBorders>
                    <w:tl2br w:val="nil"/>
                    <w:tr2bl w:val="nil"/>
                  </w:tcBorders>
                  <w:noWrap w:val="0"/>
                  <w:vAlign w:val="center"/>
                </w:tcPr>
                <w:p w14:paraId="48E005F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lang w:val="en-US" w:eastAsia="zh-CN"/>
                      <w14:textFill>
                        <w14:solidFill>
                          <w14:schemeClr w14:val="tx1"/>
                        </w14:solidFill>
                      </w14:textFill>
                    </w:rPr>
                    <w:t>泄漏导致现场危险品浓度超标</w:t>
                  </w:r>
                </w:p>
              </w:tc>
              <w:tc>
                <w:tcPr>
                  <w:tcW w:w="1211" w:type="pct"/>
                  <w:tcBorders>
                    <w:tl2br w:val="nil"/>
                    <w:tr2bl w:val="nil"/>
                  </w:tcBorders>
                  <w:shd w:val="clear" w:color="auto" w:fill="auto"/>
                  <w:noWrap w:val="0"/>
                  <w:vAlign w:val="center"/>
                </w:tcPr>
                <w:p w14:paraId="484F919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大气</w:t>
                  </w:r>
                </w:p>
              </w:tc>
            </w:tr>
            <w:tr w14:paraId="30769C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pct"/>
                  <w:vMerge w:val="continue"/>
                  <w:tcBorders>
                    <w:tl2br w:val="nil"/>
                    <w:tr2bl w:val="nil"/>
                  </w:tcBorders>
                  <w:noWrap w:val="0"/>
                  <w:vAlign w:val="center"/>
                </w:tcPr>
                <w:p w14:paraId="4597B5F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12" w:type="pct"/>
                  <w:vMerge w:val="continue"/>
                  <w:tcBorders>
                    <w:tl2br w:val="nil"/>
                    <w:tr2bl w:val="nil"/>
                  </w:tcBorders>
                  <w:noWrap w:val="0"/>
                  <w:vAlign w:val="center"/>
                </w:tcPr>
                <w:p w14:paraId="7F723C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21" w:type="pct"/>
                  <w:tcBorders>
                    <w:tl2br w:val="nil"/>
                    <w:tr2bl w:val="nil"/>
                  </w:tcBorders>
                  <w:shd w:val="clear" w:color="auto" w:fill="auto"/>
                  <w:noWrap w:val="0"/>
                  <w:vAlign w:val="center"/>
                </w:tcPr>
                <w:p w14:paraId="36301CF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火灾爆炸</w:t>
                  </w:r>
                </w:p>
              </w:tc>
              <w:tc>
                <w:tcPr>
                  <w:tcW w:w="1671" w:type="pct"/>
                  <w:tcBorders>
                    <w:tl2br w:val="nil"/>
                    <w:tr2bl w:val="nil"/>
                  </w:tcBorders>
                  <w:noWrap w:val="0"/>
                  <w:vAlign w:val="center"/>
                </w:tcPr>
                <w:p w14:paraId="4677553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遇明火</w:t>
                  </w:r>
                </w:p>
              </w:tc>
              <w:tc>
                <w:tcPr>
                  <w:tcW w:w="1211" w:type="pct"/>
                  <w:tcBorders>
                    <w:tl2br w:val="nil"/>
                    <w:tr2bl w:val="nil"/>
                  </w:tcBorders>
                  <w:shd w:val="clear" w:color="auto" w:fill="auto"/>
                  <w:noWrap w:val="0"/>
                  <w:vAlign w:val="center"/>
                </w:tcPr>
                <w:p w14:paraId="66E4E09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大气、地下水</w:t>
                  </w:r>
                  <w:r>
                    <w:rPr>
                      <w:rFonts w:hint="eastAsia" w:cs="Times New Roman"/>
                      <w:color w:val="000000" w:themeColor="text1"/>
                      <w:lang w:val="en-US" w:eastAsia="zh-CN"/>
                      <w14:textFill>
                        <w14:solidFill>
                          <w14:schemeClr w14:val="tx1"/>
                        </w14:solidFill>
                      </w14:textFill>
                    </w:rPr>
                    <w:t>、土壤</w:t>
                  </w:r>
                </w:p>
              </w:tc>
            </w:tr>
          </w:tbl>
          <w:p w14:paraId="7A22F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auto"/>
              <w:rPr>
                <w:rFonts w:hint="default" w:ascii="Times New Roman" w:hAnsi="Times New Roman" w:eastAsia="宋体" w:cs="Times New Roman"/>
                <w:b/>
                <w:bCs/>
                <w:color w:val="000000" w:themeColor="text1"/>
                <w:kern w:val="0"/>
                <w:sz w:val="24"/>
                <w:szCs w:val="22"/>
                <w14:textFill>
                  <w14:solidFill>
                    <w14:schemeClr w14:val="tx1"/>
                  </w14:solidFill>
                </w14:textFill>
              </w:rPr>
            </w:pPr>
            <w:r>
              <w:rPr>
                <w:rFonts w:hint="default" w:ascii="Times New Roman" w:hAnsi="Times New Roman" w:eastAsia="宋体" w:cs="Times New Roman"/>
                <w:b/>
                <w:bCs/>
                <w:color w:val="000000" w:themeColor="text1"/>
                <w:kern w:val="0"/>
                <w:sz w:val="24"/>
                <w:szCs w:val="22"/>
                <w14:textFill>
                  <w14:solidFill>
                    <w14:schemeClr w14:val="tx1"/>
                  </w14:solidFill>
                </w14:textFill>
              </w:rPr>
              <w:t>4</w:t>
            </w:r>
            <w:r>
              <w:rPr>
                <w:rFonts w:hint="eastAsia" w:cs="Times New Roman"/>
                <w:b/>
                <w:bCs/>
                <w:color w:val="000000" w:themeColor="text1"/>
                <w:kern w:val="0"/>
                <w:sz w:val="24"/>
                <w:szCs w:val="22"/>
                <w:lang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2"/>
                <w14:textFill>
                  <w14:solidFill>
                    <w14:schemeClr w14:val="tx1"/>
                  </w14:solidFill>
                </w14:textFill>
              </w:rPr>
              <w:t>环境风险防治措施</w:t>
            </w:r>
          </w:p>
          <w:p w14:paraId="0B23F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（1）总图布置和建筑风险防范措施</w:t>
            </w:r>
          </w:p>
          <w:p w14:paraId="42665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highlight w:val="green"/>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①总图布置</w:t>
            </w:r>
          </w:p>
          <w:p w14:paraId="237E1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厂区道路实行人、货流分开（划分人行区域和车辆行驶区域、不重叠），划出专用车辆行驶路线、限速标志等并严格执行。在厂区总平面布置中配套建设应急救援设施、救援通道、应急疏散避难所等防护设施。按《安全标志》规定在装置区设置有关的安全标志。</w:t>
            </w:r>
          </w:p>
          <w:p w14:paraId="46606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highlight w:val="green"/>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②建筑安全防范措施</w:t>
            </w:r>
          </w:p>
          <w:p w14:paraId="7AF1F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厂房建设及总体布局应严格按照《工业企业总平面设计规范》《建筑设计防火规范》（GB50016—2014）等国家有关法规及技术标准的相关规定执行。</w:t>
            </w:r>
          </w:p>
          <w:p w14:paraId="0813D2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（2）生产、储运过程风险防范措施</w:t>
            </w:r>
          </w:p>
          <w:p w14:paraId="1357C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①选择合法企业生产的优质生产装置，生产设备、危废暂存间、各种槽体、地下管线施工选择优质建筑材料。</w:t>
            </w:r>
          </w:p>
          <w:p w14:paraId="29EBF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②购进原料时检查包装是否存在缺陷，存在包装缺陷的原料一律禁止入厂。</w:t>
            </w:r>
          </w:p>
          <w:p w14:paraId="3E9656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③生产车间设置多个存放分区，不同性质的原料分区存放；危废暂存间应按照《危险废物贮存污染控制标准》（GB18597-2023）的相关要求对地面和四周围挡进行了防渗处理，并设置了泄漏液体的收集装置，有效切断危险废物泄漏途径，可避免对地下水、地表水及土壤环境产生污染影响。</w:t>
            </w:r>
          </w:p>
          <w:p w14:paraId="2F027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④根据各生产装置、辅助设施及公用工程设施的布置，按照《危险废物贮存污染控制标准》（GB18597-2001）的要求，将厂区划分为一般污染防控区和重点污染防控区，分别采取不同等级的防渗方案。生产车间为一般污染防控分区，防渗性能不应低于1.5m厚渗透系数为1.0×10</w:t>
            </w:r>
            <w:r>
              <w:rPr>
                <w:rFonts w:hint="default" w:ascii="Times New Roman" w:hAnsi="Times New Roman" w:eastAsia="宋体" w:cs="Times New Roman"/>
                <w:color w:val="000000" w:themeColor="text1"/>
                <w:kern w:val="0"/>
                <w:sz w:val="24"/>
                <w:szCs w:val="22"/>
                <w:vertAlign w:val="superscript"/>
                <w14:textFill>
                  <w14:solidFill>
                    <w14:schemeClr w14:val="tx1"/>
                  </w14:solidFill>
                </w14:textFill>
              </w:rPr>
              <w:t>-7</w:t>
            </w:r>
            <w:r>
              <w:rPr>
                <w:rFonts w:hint="default" w:ascii="Times New Roman" w:hAnsi="Times New Roman" w:eastAsia="宋体" w:cs="Times New Roman"/>
                <w:color w:val="000000" w:themeColor="text1"/>
                <w:kern w:val="0"/>
                <w:sz w:val="24"/>
                <w:szCs w:val="22"/>
                <w14:textFill>
                  <w14:solidFill>
                    <w14:schemeClr w14:val="tx1"/>
                  </w14:solidFill>
                </w14:textFill>
              </w:rPr>
              <w:t>cm/s的粘土层的防渗性能；危废暂存间为重点污染防控分区，防渗性能不应低于6.0m厚渗透系数为1.0×10</w:t>
            </w:r>
            <w:r>
              <w:rPr>
                <w:rFonts w:hint="default" w:ascii="Times New Roman" w:hAnsi="Times New Roman" w:eastAsia="宋体" w:cs="Times New Roman"/>
                <w:color w:val="000000" w:themeColor="text1"/>
                <w:kern w:val="0"/>
                <w:sz w:val="24"/>
                <w:szCs w:val="22"/>
                <w:vertAlign w:val="superscript"/>
                <w14:textFill>
                  <w14:solidFill>
                    <w14:schemeClr w14:val="tx1"/>
                  </w14:solidFill>
                </w14:textFill>
              </w:rPr>
              <w:t>-7</w:t>
            </w:r>
            <w:r>
              <w:rPr>
                <w:rFonts w:hint="default" w:ascii="Times New Roman" w:hAnsi="Times New Roman" w:eastAsia="宋体" w:cs="Times New Roman"/>
                <w:color w:val="000000" w:themeColor="text1"/>
                <w:kern w:val="0"/>
                <w:sz w:val="24"/>
                <w:szCs w:val="22"/>
                <w14:textFill>
                  <w14:solidFill>
                    <w14:schemeClr w14:val="tx1"/>
                  </w14:solidFill>
                </w14:textFill>
              </w:rPr>
              <w:t xml:space="preserve"> cm/s 的粘土层的防渗性能。</w:t>
            </w:r>
          </w:p>
          <w:p w14:paraId="0CE70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s="Times New Roman"/>
                <w:color w:val="000000" w:themeColor="text1"/>
                <w:kern w:val="0"/>
                <w:sz w:val="24"/>
                <w:szCs w:val="22"/>
                <w:lang w:val="en-US" w:eastAsia="zh-CN"/>
                <w14:textFill>
                  <w14:solidFill>
                    <w14:schemeClr w14:val="tx1"/>
                  </w14:solidFill>
                </w14:textFill>
              </w:rPr>
            </w:pPr>
            <w:r>
              <w:rPr>
                <w:rFonts w:hint="eastAsia" w:cs="Times New Roman"/>
                <w:color w:val="000000" w:themeColor="text1"/>
                <w:kern w:val="0"/>
                <w:sz w:val="24"/>
                <w:szCs w:val="22"/>
                <w:lang w:val="en-US" w:eastAsia="zh-CN"/>
                <w14:textFill>
                  <w14:solidFill>
                    <w14:schemeClr w14:val="tx1"/>
                  </w14:solidFill>
                </w14:textFill>
              </w:rPr>
              <w:t xml:space="preserve">⑤天然气输送管道的设计、布置须符合相关要求，必须与其他构筑物有足够的间隔距离，并设置可燃气体检测器和报警系统。厂区总平面布置须符合防范事故要求，有应急救援设施及救援通道、应急疏散及避难所。 </w:t>
            </w:r>
          </w:p>
          <w:p w14:paraId="37BB3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s="Times New Roman"/>
                <w:color w:val="000000" w:themeColor="text1"/>
                <w:kern w:val="0"/>
                <w:sz w:val="24"/>
                <w:szCs w:val="22"/>
                <w:lang w:val="en-US" w:eastAsia="zh-CN"/>
                <w14:textFill>
                  <w14:solidFill>
                    <w14:schemeClr w14:val="tx1"/>
                  </w14:solidFill>
                </w14:textFill>
              </w:rPr>
            </w:pPr>
            <w:r>
              <w:rPr>
                <w:rFonts w:hint="eastAsia" w:cs="Times New Roman"/>
                <w:color w:val="000000" w:themeColor="text1"/>
                <w:kern w:val="0"/>
                <w:sz w:val="24"/>
                <w:szCs w:val="22"/>
                <w:lang w:val="en-US" w:eastAsia="zh-CN"/>
                <w14:textFill>
                  <w14:solidFill>
                    <w14:schemeClr w14:val="tx1"/>
                  </w14:solidFill>
                </w14:textFill>
              </w:rPr>
              <w:t xml:space="preserve">⑥如果管路、阀门、软管发生泄漏，在查明原因并消除缺陷之前应停止与泄漏部位相关的作业。预防明火。在工作区域必须严禁明火作业。预防摩擦与撞击火花。机器转动部位应保持良好的润滑和冷却，防止摩擦出火花。 </w:t>
            </w:r>
          </w:p>
          <w:p w14:paraId="3EFDF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56" w:firstLineChars="200"/>
              <w:textAlignment w:val="auto"/>
              <w:rPr>
                <w:rFonts w:hint="eastAsia" w:cs="Times New Roman"/>
                <w:color w:val="000000" w:themeColor="text1"/>
                <w:spacing w:val="-6"/>
                <w:kern w:val="0"/>
                <w:sz w:val="24"/>
                <w:szCs w:val="22"/>
                <w:lang w:val="en-US" w:eastAsia="zh-CN"/>
                <w14:textFill>
                  <w14:solidFill>
                    <w14:schemeClr w14:val="tx1"/>
                  </w14:solidFill>
                </w14:textFill>
              </w:rPr>
            </w:pPr>
            <w:r>
              <w:rPr>
                <w:rFonts w:hint="eastAsia" w:cs="Times New Roman"/>
                <w:color w:val="000000" w:themeColor="text1"/>
                <w:spacing w:val="-6"/>
                <w:kern w:val="0"/>
                <w:sz w:val="24"/>
                <w:szCs w:val="22"/>
                <w:lang w:val="en-US" w:eastAsia="zh-CN"/>
                <w14:textFill>
                  <w14:solidFill>
                    <w14:schemeClr w14:val="tx1"/>
                  </w14:solidFill>
                </w14:textFill>
              </w:rPr>
              <w:t xml:space="preserve">⑦日常运行中，加强对设备的维护检查，防止安全阀、截止阀等设备失效；设备 </w:t>
            </w:r>
          </w:p>
          <w:p w14:paraId="4C56E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cs="Times New Roman"/>
                <w:color w:val="000000" w:themeColor="text1"/>
                <w:kern w:val="0"/>
                <w:sz w:val="24"/>
                <w:szCs w:val="22"/>
                <w:lang w:val="en-US" w:eastAsia="zh-CN"/>
                <w14:textFill>
                  <w14:solidFill>
                    <w14:schemeClr w14:val="tx1"/>
                  </w14:solidFill>
                </w14:textFill>
              </w:rPr>
            </w:pPr>
            <w:r>
              <w:rPr>
                <w:rFonts w:hint="eastAsia" w:cs="Times New Roman"/>
                <w:color w:val="000000" w:themeColor="text1"/>
                <w:kern w:val="0"/>
                <w:sz w:val="24"/>
                <w:szCs w:val="22"/>
                <w:lang w:val="en-US" w:eastAsia="zh-CN"/>
                <w14:textFill>
                  <w14:solidFill>
                    <w14:schemeClr w14:val="tx1"/>
                  </w14:solidFill>
                </w14:textFill>
              </w:rPr>
              <w:t xml:space="preserve">按照防爆要求配置。 </w:t>
            </w:r>
          </w:p>
          <w:p w14:paraId="4AF1A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lang w:val="en-US" w:eastAsia="zh-CN"/>
                <w14:textFill>
                  <w14:solidFill>
                    <w14:schemeClr w14:val="tx1"/>
                  </w14:solidFill>
                </w14:textFill>
              </w:rPr>
            </w:pPr>
            <w:r>
              <w:rPr>
                <w:rFonts w:hint="eastAsia" w:cs="Times New Roman"/>
                <w:color w:val="000000" w:themeColor="text1"/>
                <w:kern w:val="0"/>
                <w:sz w:val="24"/>
                <w:szCs w:val="22"/>
                <w:lang w:val="en-US" w:eastAsia="zh-CN"/>
                <w14:textFill>
                  <w14:solidFill>
                    <w14:schemeClr w14:val="tx1"/>
                  </w14:solidFill>
                </w14:textFill>
              </w:rPr>
              <w:t>⑧加强人员安全教育、科学管理。提高安全防范风险的意识；加强防爆电气设备的日常巡视和检查工作；严格落实各项规章制度</w:t>
            </w:r>
          </w:p>
          <w:p w14:paraId="431B4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s="Times New Roman"/>
                <w:color w:val="000000" w:themeColor="text1"/>
                <w:kern w:val="0"/>
                <w:sz w:val="24"/>
                <w:szCs w:val="22"/>
                <w:lang w:eastAsia="zh-CN"/>
                <w14:textFill>
                  <w14:solidFill>
                    <w14:schemeClr w14:val="tx1"/>
                  </w14:solidFill>
                </w14:textFill>
              </w:rPr>
            </w:pPr>
            <w:r>
              <w:rPr>
                <w:rFonts w:hint="eastAsia" w:cs="Times New Roman"/>
                <w:color w:val="000000" w:themeColor="text1"/>
                <w:kern w:val="0"/>
                <w:sz w:val="24"/>
                <w:szCs w:val="22"/>
                <w:lang w:eastAsia="zh-CN"/>
                <w14:textFill>
                  <w14:solidFill>
                    <w14:schemeClr w14:val="tx1"/>
                  </w14:solidFill>
                </w14:textFill>
              </w:rPr>
              <w:t>（</w:t>
            </w:r>
            <w:r>
              <w:rPr>
                <w:rFonts w:hint="eastAsia" w:cs="Times New Roman"/>
                <w:color w:val="000000" w:themeColor="text1"/>
                <w:kern w:val="0"/>
                <w:sz w:val="24"/>
                <w:szCs w:val="22"/>
                <w:lang w:val="en-US" w:eastAsia="zh-CN"/>
                <w14:textFill>
                  <w14:solidFill>
                    <w14:schemeClr w14:val="tx1"/>
                  </w14:solidFill>
                </w14:textFill>
              </w:rPr>
              <w:t>3</w:t>
            </w:r>
            <w:r>
              <w:rPr>
                <w:rFonts w:hint="eastAsia" w:cs="Times New Roman"/>
                <w:color w:val="000000" w:themeColor="text1"/>
                <w:kern w:val="0"/>
                <w:sz w:val="24"/>
                <w:szCs w:val="22"/>
                <w:lang w:eastAsia="zh-CN"/>
                <w14:textFill>
                  <w14:solidFill>
                    <w14:schemeClr w14:val="tx1"/>
                  </w14:solidFill>
                </w14:textFill>
              </w:rPr>
              <w:t>）</w:t>
            </w:r>
            <w:r>
              <w:rPr>
                <w:rFonts w:hint="eastAsia" w:cs="Times New Roman"/>
                <w:color w:val="000000" w:themeColor="text1"/>
                <w:kern w:val="0"/>
                <w:sz w:val="24"/>
                <w:szCs w:val="22"/>
                <w:lang w:val="en-US" w:eastAsia="zh-CN"/>
                <w14:textFill>
                  <w14:solidFill>
                    <w14:schemeClr w14:val="tx1"/>
                  </w14:solidFill>
                </w14:textFill>
              </w:rPr>
              <w:t>地下水、土壤环境风险防范措施</w:t>
            </w:r>
          </w:p>
          <w:p w14:paraId="2BBCB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56" w:firstLineChars="200"/>
              <w:textAlignment w:val="auto"/>
              <w:rPr>
                <w:rFonts w:hint="eastAsia" w:cs="Times New Roman"/>
                <w:color w:val="000000" w:themeColor="text1"/>
                <w:spacing w:val="-6"/>
                <w:kern w:val="0"/>
                <w:sz w:val="24"/>
                <w:szCs w:val="22"/>
                <w:lang w:val="en-US" w:eastAsia="zh-CN"/>
                <w14:textFill>
                  <w14:solidFill>
                    <w14:schemeClr w14:val="tx1"/>
                  </w14:solidFill>
                </w14:textFill>
              </w:rPr>
            </w:pPr>
            <w:r>
              <w:rPr>
                <w:rFonts w:hint="eastAsia" w:cs="Times New Roman"/>
                <w:color w:val="000000" w:themeColor="text1"/>
                <w:spacing w:val="-6"/>
                <w:kern w:val="0"/>
                <w:sz w:val="24"/>
                <w:szCs w:val="22"/>
                <w:lang w:val="en-US" w:eastAsia="zh-CN"/>
                <w14:textFill>
                  <w14:solidFill>
                    <w14:schemeClr w14:val="tx1"/>
                  </w14:solidFill>
                </w14:textFill>
              </w:rPr>
              <w:t xml:space="preserve">①危废间各区、生产车间地面进行防腐防渗处理并定期检查、修复保证防渗有效， </w:t>
            </w:r>
          </w:p>
          <w:p w14:paraId="203C1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56" w:firstLineChars="200"/>
              <w:textAlignment w:val="auto"/>
              <w:rPr>
                <w:rFonts w:hint="eastAsia" w:cs="Times New Roman"/>
                <w:color w:val="000000" w:themeColor="text1"/>
                <w:spacing w:val="-6"/>
                <w:kern w:val="0"/>
                <w:sz w:val="24"/>
                <w:szCs w:val="22"/>
                <w:shd w:val="clear" w:color="auto" w:fill="auto"/>
                <w:lang w:val="en-US" w:eastAsia="zh-CN"/>
                <w14:textFill>
                  <w14:solidFill>
                    <w14:schemeClr w14:val="tx1"/>
                  </w14:solidFill>
                </w14:textFill>
              </w:rPr>
            </w:pPr>
            <w:r>
              <w:rPr>
                <w:rFonts w:hint="eastAsia" w:cs="Times New Roman"/>
                <w:color w:val="000000" w:themeColor="text1"/>
                <w:spacing w:val="-6"/>
                <w:kern w:val="0"/>
                <w:sz w:val="24"/>
                <w:szCs w:val="22"/>
                <w:shd w:val="clear" w:color="auto" w:fill="auto"/>
                <w:lang w:val="en-US" w:eastAsia="zh-CN"/>
                <w14:textFill>
                  <w14:solidFill>
                    <w14:schemeClr w14:val="tx1"/>
                  </w14:solidFill>
                </w14:textFill>
              </w:rPr>
              <w:t xml:space="preserve">同时设置应急吸附剂等应急物资，发现泄漏及时处理；危废暂存时间不得超过1 年。 </w:t>
            </w:r>
          </w:p>
          <w:p w14:paraId="32773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s="Times New Roman"/>
                <w:color w:val="000000" w:themeColor="text1"/>
                <w:kern w:val="0"/>
                <w:sz w:val="24"/>
                <w:szCs w:val="22"/>
                <w:lang w:val="en-US" w:eastAsia="zh-CN"/>
                <w14:textFill>
                  <w14:solidFill>
                    <w14:schemeClr w14:val="tx1"/>
                  </w14:solidFill>
                </w14:textFill>
              </w:rPr>
            </w:pPr>
            <w:r>
              <w:rPr>
                <w:rFonts w:hint="eastAsia" w:cs="Times New Roman"/>
                <w:color w:val="000000" w:themeColor="text1"/>
                <w:kern w:val="0"/>
                <w:sz w:val="24"/>
                <w:szCs w:val="22"/>
                <w:lang w:val="en-US" w:eastAsia="zh-CN"/>
                <w14:textFill>
                  <w14:solidFill>
                    <w14:schemeClr w14:val="tx1"/>
                  </w14:solidFill>
                </w14:textFill>
              </w:rPr>
              <w:t xml:space="preserve">②采用先进工艺、管道、设备、储存装置，装置、管线铺设尽量采用“可视化”原则，即管道尽可能在地上铺设. </w:t>
            </w:r>
          </w:p>
          <w:p w14:paraId="75AE3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s="Times New Roman"/>
                <w:color w:val="000000" w:themeColor="text1"/>
                <w:kern w:val="0"/>
                <w:sz w:val="24"/>
                <w:szCs w:val="22"/>
                <w:lang w:val="en-US" w:eastAsia="zh-CN"/>
                <w14:textFill>
                  <w14:solidFill>
                    <w14:schemeClr w14:val="tx1"/>
                  </w14:solidFill>
                </w14:textFill>
              </w:rPr>
            </w:pPr>
            <w:r>
              <w:rPr>
                <w:rFonts w:hint="eastAsia" w:cs="Times New Roman"/>
                <w:color w:val="000000" w:themeColor="text1"/>
                <w:kern w:val="0"/>
                <w:sz w:val="24"/>
                <w:szCs w:val="22"/>
                <w:lang w:val="en-US" w:eastAsia="zh-CN"/>
                <w14:textFill>
                  <w14:solidFill>
                    <w14:schemeClr w14:val="tx1"/>
                  </w14:solidFill>
                </w14:textFill>
              </w:rPr>
              <w:t xml:space="preserve">③定期检查危废间是否存在包装破损、泄漏的隐患，是否有跑、冒、滴、漏的发生；严格按照相关规程、操作规范进行操作、检查；杜绝违章作业及设备超负荷运行现象；有跑冒滴漏或其他异常现象的应及时与事故处理组联系，采取止漏、修复措施。 </w:t>
            </w:r>
          </w:p>
          <w:p w14:paraId="50262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s="Times New Roman"/>
                <w:color w:val="000000" w:themeColor="text1"/>
                <w:kern w:val="0"/>
                <w:sz w:val="24"/>
                <w:szCs w:val="22"/>
                <w:lang w:val="en-US" w:eastAsia="zh-CN"/>
                <w14:textFill>
                  <w14:solidFill>
                    <w14:schemeClr w14:val="tx1"/>
                  </w14:solidFill>
                </w14:textFill>
              </w:rPr>
            </w:pPr>
            <w:r>
              <w:rPr>
                <w:rFonts w:hint="eastAsia" w:cs="Times New Roman"/>
                <w:color w:val="000000" w:themeColor="text1"/>
                <w:kern w:val="0"/>
                <w:sz w:val="24"/>
                <w:szCs w:val="22"/>
                <w:lang w:val="en-US" w:eastAsia="zh-CN"/>
                <w14:textFill>
                  <w14:solidFill>
                    <w14:schemeClr w14:val="tx1"/>
                  </w14:solidFill>
                </w14:textFill>
              </w:rPr>
              <w:t xml:space="preserve">④危废间不同类型危废分区放置，严禁串区。 </w:t>
            </w:r>
          </w:p>
          <w:p w14:paraId="76812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s="Times New Roman"/>
                <w:color w:val="000000" w:themeColor="text1"/>
                <w:kern w:val="0"/>
                <w:sz w:val="24"/>
                <w:szCs w:val="22"/>
                <w:lang w:val="en-US" w:eastAsia="zh-CN"/>
                <w14:textFill>
                  <w14:solidFill>
                    <w14:schemeClr w14:val="tx1"/>
                  </w14:solidFill>
                </w14:textFill>
              </w:rPr>
            </w:pPr>
            <w:r>
              <w:rPr>
                <w:rFonts w:hint="eastAsia" w:cs="Times New Roman"/>
                <w:color w:val="000000" w:themeColor="text1"/>
                <w:kern w:val="0"/>
                <w:sz w:val="24"/>
                <w:szCs w:val="22"/>
                <w:lang w:val="en-US" w:eastAsia="zh-CN"/>
                <w14:textFill>
                  <w14:solidFill>
                    <w14:schemeClr w14:val="tx1"/>
                  </w14:solidFill>
                </w14:textFill>
              </w:rPr>
              <w:t>⑤明确管理制度，操作规程，专人管理，培训上岗。</w:t>
            </w:r>
          </w:p>
          <w:p w14:paraId="31D25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（3）制定突发环境事件应急预案</w:t>
            </w:r>
          </w:p>
          <w:p w14:paraId="45D16B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制定突发环境事件应急预案的目的是在发生风险事故时，能以最快的速度发挥最大的效能，有序地实施补救措施，尽快控制事态的发展，降低事故对区域的污染影响。因此，项目应制定突发环境事件应急预案，并在主管部门备案。</w:t>
            </w:r>
          </w:p>
          <w:p w14:paraId="68117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auto"/>
              <w:rPr>
                <w:rFonts w:hint="default" w:ascii="Times New Roman" w:hAnsi="Times New Roman" w:eastAsia="宋体" w:cs="Times New Roman"/>
                <w:b/>
                <w:bCs/>
                <w:color w:val="000000" w:themeColor="text1"/>
                <w:kern w:val="0"/>
                <w:sz w:val="24"/>
                <w:szCs w:val="22"/>
                <w14:textFill>
                  <w14:solidFill>
                    <w14:schemeClr w14:val="tx1"/>
                  </w14:solidFill>
                </w14:textFill>
              </w:rPr>
            </w:pPr>
            <w:r>
              <w:rPr>
                <w:rFonts w:hint="eastAsia" w:cs="Times New Roman"/>
                <w:b/>
                <w:bCs/>
                <w:color w:val="000000" w:themeColor="text1"/>
                <w:kern w:val="0"/>
                <w:sz w:val="24"/>
                <w:szCs w:val="22"/>
                <w:lang w:val="en-US" w:eastAsia="zh-CN"/>
                <w14:textFill>
                  <w14:solidFill>
                    <w14:schemeClr w14:val="tx1"/>
                  </w14:solidFill>
                </w14:textFill>
              </w:rPr>
              <w:t>5、</w:t>
            </w:r>
            <w:r>
              <w:rPr>
                <w:rFonts w:hint="default" w:ascii="Times New Roman" w:hAnsi="Times New Roman" w:eastAsia="宋体" w:cs="Times New Roman"/>
                <w:b/>
                <w:bCs/>
                <w:color w:val="000000" w:themeColor="text1"/>
                <w:kern w:val="0"/>
                <w:sz w:val="24"/>
                <w:szCs w:val="22"/>
                <w14:textFill>
                  <w14:solidFill>
                    <w14:schemeClr w14:val="tx1"/>
                  </w14:solidFill>
                </w14:textFill>
              </w:rPr>
              <w:t>环境风险评价结论</w:t>
            </w:r>
          </w:p>
          <w:p w14:paraId="2D3E7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项目在发生风险时对评价区域环境将造成不同程度和范围的影响，为避免风险事故，尤其是避免风险事故发生后对环境造成严重污染，建设单位在生产过程中应树立强化环境风险意识，进一步减少事故的发生，减少项目在各个环节中的风险因素，尽可能降低项目环境风险事故发生的概率。建设单位应采取积极有效的防范措施，尽量避免或降低风险事故对环境的不利影响。</w:t>
            </w:r>
          </w:p>
          <w:p w14:paraId="1A66B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建设单位应加强环境风险措施方面的日常管理、培训等，确保项目在日后的生产营运过程中突发的环境风险事故对环境的影响减至最低程度。</w:t>
            </w:r>
          </w:p>
          <w:p w14:paraId="135D5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b/>
                <w:bCs/>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kern w:val="0"/>
                <w:sz w:val="24"/>
                <w:szCs w:val="22"/>
                <w14:textFill>
                  <w14:solidFill>
                    <w14:schemeClr w14:val="tx1"/>
                  </w14:solidFill>
                </w14:textFill>
              </w:rPr>
              <w:t>本项目在落实各项环保治理措施，保证污染物达标排放前提下，能够维持区域环境现状。坚持“以防为主”的原则，确保企业安全生产。企业在认真落实环境风险事故防范措施，在各项措施落实到位，严格执行“三同时”制度的前提下，该项目的环境风险是可以接受的。建设项目环境风险简单分析内容表见表</w:t>
            </w:r>
            <w:r>
              <w:rPr>
                <w:rFonts w:hint="default" w:ascii="Times New Roman" w:hAnsi="Times New Roman" w:eastAsia="宋体" w:cs="Times New Roman"/>
                <w:color w:val="000000" w:themeColor="text1"/>
                <w:kern w:val="0"/>
                <w:sz w:val="24"/>
                <w:szCs w:val="22"/>
                <w:lang w:val="en-US" w:eastAsia="zh-CN"/>
                <w14:textFill>
                  <w14:solidFill>
                    <w14:schemeClr w14:val="tx1"/>
                  </w14:solidFill>
                </w14:textFill>
              </w:rPr>
              <w:t>4-2</w:t>
            </w:r>
            <w:r>
              <w:rPr>
                <w:rFonts w:hint="eastAsia" w:cs="Times New Roman"/>
                <w:color w:val="000000" w:themeColor="text1"/>
                <w:kern w:val="0"/>
                <w:sz w:val="24"/>
                <w:szCs w:val="22"/>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2"/>
                <w14:textFill>
                  <w14:solidFill>
                    <w14:schemeClr w14:val="tx1"/>
                  </w14:solidFill>
                </w14:textFill>
              </w:rPr>
              <w:t>。</w:t>
            </w:r>
          </w:p>
          <w:p w14:paraId="5F97A90B">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b/>
                <w:bCs/>
                <w:color w:val="000000" w:themeColor="text1"/>
                <w:kern w:val="0"/>
                <w:sz w:val="24"/>
                <w:szCs w:val="22"/>
                <w14:textFill>
                  <w14:solidFill>
                    <w14:schemeClr w14:val="tx1"/>
                  </w14:solidFill>
                </w14:textFill>
              </w:rPr>
            </w:pPr>
            <w:r>
              <w:rPr>
                <w:rFonts w:hint="default" w:ascii="Times New Roman" w:hAnsi="Times New Roman" w:eastAsia="宋体" w:cs="Times New Roman"/>
                <w:b/>
                <w:bCs/>
                <w:color w:val="000000" w:themeColor="text1"/>
                <w:kern w:val="0"/>
                <w:sz w:val="24"/>
                <w:szCs w:val="22"/>
                <w14:textFill>
                  <w14:solidFill>
                    <w14:schemeClr w14:val="tx1"/>
                  </w14:solidFill>
                </w14:textFill>
              </w:rPr>
              <w:t>表</w:t>
            </w:r>
            <w:r>
              <w:rPr>
                <w:rFonts w:hint="default" w:ascii="Times New Roman" w:hAnsi="Times New Roman" w:eastAsia="宋体" w:cs="Times New Roman"/>
                <w:b/>
                <w:bCs/>
                <w:color w:val="000000" w:themeColor="text1"/>
                <w:kern w:val="0"/>
                <w:sz w:val="24"/>
                <w:szCs w:val="22"/>
                <w:lang w:val="en-US" w:eastAsia="zh-CN"/>
                <w14:textFill>
                  <w14:solidFill>
                    <w14:schemeClr w14:val="tx1"/>
                  </w14:solidFill>
                </w14:textFill>
              </w:rPr>
              <w:t>4-2</w:t>
            </w:r>
            <w:r>
              <w:rPr>
                <w:rFonts w:hint="eastAsia" w:cs="Times New Roman"/>
                <w:b/>
                <w:bCs/>
                <w:color w:val="000000" w:themeColor="text1"/>
                <w:kern w:val="0"/>
                <w:sz w:val="24"/>
                <w:szCs w:val="22"/>
                <w:lang w:val="en-US" w:eastAsia="zh-CN"/>
                <w14:textFill>
                  <w14:solidFill>
                    <w14:schemeClr w14:val="tx1"/>
                  </w14:solidFill>
                </w14:textFill>
              </w:rPr>
              <w:t>5</w:t>
            </w:r>
            <w:r>
              <w:rPr>
                <w:rFonts w:hint="default" w:ascii="Times New Roman" w:hAnsi="Times New Roman" w:eastAsia="宋体" w:cs="Times New Roman"/>
                <w:b/>
                <w:bCs/>
                <w:color w:val="000000" w:themeColor="text1"/>
                <w:kern w:val="0"/>
                <w:sz w:val="24"/>
                <w:szCs w:val="22"/>
                <w14:textFill>
                  <w14:solidFill>
                    <w14:schemeClr w14:val="tx1"/>
                  </w14:solidFill>
                </w14:textFill>
              </w:rPr>
              <w:t xml:space="preserve">  建设项目环境风险简单分析内容表</w:t>
            </w:r>
          </w:p>
          <w:tbl>
            <w:tblPr>
              <w:tblStyle w:val="33"/>
              <w:tblW w:w="4993"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024"/>
              <w:gridCol w:w="6552"/>
            </w:tblGrid>
            <w:tr w14:paraId="2D7DC01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1" w:hRule="atLeast"/>
                <w:jc w:val="center"/>
              </w:trPr>
              <w:tc>
                <w:tcPr>
                  <w:tcW w:w="1180" w:type="pct"/>
                  <w:tcBorders>
                    <w:tl2br w:val="nil"/>
                    <w:tr2bl w:val="nil"/>
                  </w:tcBorders>
                  <w:noWrap w:val="0"/>
                  <w:vAlign w:val="center"/>
                </w:tcPr>
                <w:p w14:paraId="58388CF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建设项目名称</w:t>
                  </w:r>
                </w:p>
              </w:tc>
              <w:tc>
                <w:tcPr>
                  <w:tcW w:w="3819" w:type="pct"/>
                  <w:tcBorders>
                    <w:tl2br w:val="nil"/>
                    <w:tr2bl w:val="nil"/>
                  </w:tcBorders>
                  <w:noWrap w:val="0"/>
                  <w:vAlign w:val="center"/>
                </w:tcPr>
                <w:p w14:paraId="4991B12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面筋制品生产项目</w:t>
                  </w:r>
                </w:p>
              </w:tc>
            </w:tr>
            <w:tr w14:paraId="34C91D2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1" w:hRule="atLeast"/>
                <w:jc w:val="center"/>
              </w:trPr>
              <w:tc>
                <w:tcPr>
                  <w:tcW w:w="1180" w:type="pct"/>
                  <w:tcBorders>
                    <w:tl2br w:val="nil"/>
                    <w:tr2bl w:val="nil"/>
                  </w:tcBorders>
                  <w:noWrap w:val="0"/>
                  <w:vAlign w:val="center"/>
                </w:tcPr>
                <w:p w14:paraId="4B8DF3E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建设地点</w:t>
                  </w:r>
                </w:p>
              </w:tc>
              <w:tc>
                <w:tcPr>
                  <w:tcW w:w="3819" w:type="pct"/>
                  <w:tcBorders>
                    <w:tl2br w:val="nil"/>
                    <w:tr2bl w:val="nil"/>
                  </w:tcBorders>
                  <w:noWrap w:val="0"/>
                  <w:vAlign w:val="center"/>
                </w:tcPr>
                <w:p w14:paraId="3907EF6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河北省魏县经济开发区现代农业园区</w:t>
                  </w:r>
                </w:p>
              </w:tc>
            </w:tr>
            <w:tr w14:paraId="0121153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1180" w:type="pct"/>
                  <w:tcBorders>
                    <w:tl2br w:val="nil"/>
                    <w:tr2bl w:val="nil"/>
                  </w:tcBorders>
                  <w:noWrap w:val="0"/>
                  <w:vAlign w:val="center"/>
                </w:tcPr>
                <w:p w14:paraId="0625DA8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地理坐标</w:t>
                  </w:r>
                </w:p>
              </w:tc>
              <w:tc>
                <w:tcPr>
                  <w:tcW w:w="3819" w:type="pct"/>
                  <w:tcBorders>
                    <w:tl2br w:val="nil"/>
                    <w:tr2bl w:val="nil"/>
                  </w:tcBorders>
                  <w:noWrap w:val="0"/>
                  <w:vAlign w:val="center"/>
                </w:tcPr>
                <w:p w14:paraId="067439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东经114°59′55.409″，北纬36°20′39.88</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r>
            <w:tr w14:paraId="51BB3BD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180" w:type="pct"/>
                  <w:tcBorders>
                    <w:tl2br w:val="nil"/>
                    <w:tr2bl w:val="nil"/>
                  </w:tcBorders>
                  <w:noWrap w:val="0"/>
                  <w:vAlign w:val="center"/>
                </w:tcPr>
                <w:p w14:paraId="067CBA4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pacing w:val="-20"/>
                      <w:sz w:val="21"/>
                      <w:szCs w:val="21"/>
                      <w:lang w:eastAsia="zh-CN"/>
                      <w14:textFill>
                        <w14:solidFill>
                          <w14:schemeClr w14:val="tx1"/>
                        </w14:solidFill>
                      </w14:textFill>
                    </w:rPr>
                    <w:t>主要危险物质及分布</w:t>
                  </w:r>
                </w:p>
              </w:tc>
              <w:tc>
                <w:tcPr>
                  <w:tcW w:w="3819" w:type="pct"/>
                  <w:tcBorders>
                    <w:tl2br w:val="nil"/>
                    <w:tr2bl w:val="nil"/>
                  </w:tcBorders>
                  <w:noWrap w:val="0"/>
                  <w:vAlign w:val="center"/>
                </w:tcPr>
                <w:p w14:paraId="7BBFAC6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生产车间：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天然气管道；</w:t>
                  </w:r>
                  <w:r>
                    <w:rPr>
                      <w:rFonts w:hint="default" w:ascii="Times New Roman" w:hAnsi="Times New Roman" w:eastAsia="宋体" w:cs="Times New Roman"/>
                      <w:color w:val="000000" w:themeColor="text1"/>
                      <w:sz w:val="21"/>
                      <w:szCs w:val="21"/>
                      <w:lang w:eastAsia="zh-CN"/>
                      <w14:textFill>
                        <w14:solidFill>
                          <w14:schemeClr w14:val="tx1"/>
                        </w14:solidFill>
                      </w14:textFill>
                    </w:rPr>
                    <w:t>危废暂存间：各危险废物。</w:t>
                  </w:r>
                </w:p>
              </w:tc>
            </w:tr>
            <w:tr w14:paraId="5DD165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069" w:hRule="atLeast"/>
                <w:jc w:val="center"/>
              </w:trPr>
              <w:tc>
                <w:tcPr>
                  <w:tcW w:w="1180" w:type="pct"/>
                  <w:tcBorders>
                    <w:tl2br w:val="nil"/>
                    <w:tr2bl w:val="nil"/>
                  </w:tcBorders>
                  <w:noWrap w:val="0"/>
                  <w:vAlign w:val="center"/>
                </w:tcPr>
                <w:p w14:paraId="729F8E8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环境影响途径及危害后果（大气、地表水、地下水等）</w:t>
                  </w:r>
                </w:p>
              </w:tc>
              <w:tc>
                <w:tcPr>
                  <w:tcW w:w="3819" w:type="pct"/>
                  <w:tcBorders>
                    <w:tl2br w:val="nil"/>
                    <w:tr2bl w:val="nil"/>
                  </w:tcBorders>
                  <w:noWrap w:val="0"/>
                  <w:vAlign w:val="center"/>
                </w:tcPr>
                <w:p w14:paraId="72F1B287">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bookmarkStart w:id="165" w:name="_Hlk184974554"/>
                  <w:r>
                    <w:rPr>
                      <w:rFonts w:hint="eastAsia" w:cs="Times New Roman"/>
                      <w:color w:val="000000" w:themeColor="text1"/>
                      <w:sz w:val="21"/>
                      <w:szCs w:val="21"/>
                      <w:lang w:eastAsia="zh-CN"/>
                      <w14:textFill>
                        <w14:solidFill>
                          <w14:schemeClr w14:val="tx1"/>
                        </w14:solidFill>
                      </w14:textFill>
                    </w:rPr>
                    <w:t>天然气</w:t>
                  </w:r>
                  <w:r>
                    <w:rPr>
                      <w:rFonts w:hint="default" w:ascii="Times New Roman" w:hAnsi="Times New Roman" w:eastAsia="宋体" w:cs="Times New Roman"/>
                      <w:color w:val="000000" w:themeColor="text1"/>
                      <w:sz w:val="21"/>
                      <w:szCs w:val="21"/>
                      <w14:textFill>
                        <w14:solidFill>
                          <w14:schemeClr w14:val="tx1"/>
                        </w14:solidFill>
                      </w14:textFill>
                    </w:rPr>
                    <w:t>泄漏导致遇明火导致发生火灾，造成周边大气、水体、地下水、土壤受到污染。</w:t>
                  </w:r>
                  <w:bookmarkEnd w:id="165"/>
                </w:p>
              </w:tc>
            </w:tr>
            <w:tr w14:paraId="39CB92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54" w:hRule="atLeast"/>
                <w:jc w:val="center"/>
              </w:trPr>
              <w:tc>
                <w:tcPr>
                  <w:tcW w:w="1180" w:type="pct"/>
                  <w:tcBorders>
                    <w:tl2br w:val="nil"/>
                    <w:tr2bl w:val="nil"/>
                  </w:tcBorders>
                  <w:noWrap w:val="0"/>
                  <w:vAlign w:val="center"/>
                </w:tcPr>
                <w:p w14:paraId="751297D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风险防范</w:t>
                  </w:r>
                </w:p>
                <w:p w14:paraId="18028F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措施要求</w:t>
                  </w:r>
                </w:p>
              </w:tc>
              <w:tc>
                <w:tcPr>
                  <w:tcW w:w="3819" w:type="pct"/>
                  <w:tcBorders>
                    <w:tl2br w:val="nil"/>
                    <w:tr2bl w:val="nil"/>
                  </w:tcBorders>
                  <w:noWrap w:val="0"/>
                  <w:vAlign w:val="center"/>
                </w:tcPr>
                <w:p w14:paraId="364B2B31">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针对原辅材料泄漏，应按规范要求使用、贮存和管理原辅材料，设置警示标识，加强人员安全教育；针对污废水泄漏，严把设备实施及图件构筑物质量，消除质量缺陷造成的先天性事故隐患，按照规范分区防渗，加强人员安全教育。</w:t>
                  </w:r>
                </w:p>
              </w:tc>
            </w:tr>
            <w:tr w14:paraId="45A3106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465" w:hRule="atLeast"/>
                <w:jc w:val="center"/>
              </w:trPr>
              <w:tc>
                <w:tcPr>
                  <w:tcW w:w="5000" w:type="pct"/>
                  <w:gridSpan w:val="2"/>
                  <w:tcBorders>
                    <w:tl2br w:val="nil"/>
                    <w:tr2bl w:val="nil"/>
                  </w:tcBorders>
                  <w:noWrap w:val="0"/>
                  <w:vAlign w:val="center"/>
                </w:tcPr>
                <w:p w14:paraId="022C5087">
                  <w:pPr>
                    <w:keepNext w:val="0"/>
                    <w:keepLines w:val="0"/>
                    <w:suppressLineNumbers w:val="0"/>
                    <w:spacing w:before="0" w:beforeAutospacing="0" w:after="0" w:afterAutospacing="0"/>
                    <w:ind w:left="0" w:right="0"/>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填表说明（列出项目相关信息及评价说明）：</w:t>
                  </w:r>
                </w:p>
                <w:p w14:paraId="51C631E8">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本项目Q＜1，根据评价等级要求，本项目对环境风险进行简单分析。针对本项目潜在的环境风险，建设单位按照风险防范措施的要求，加强原辅材料防泄漏管理、</w:t>
                  </w:r>
                  <w:r>
                    <w:rPr>
                      <w:rFonts w:hint="eastAsia" w:cs="Times New Roman"/>
                      <w:color w:val="000000" w:themeColor="text1"/>
                      <w:sz w:val="21"/>
                      <w:szCs w:val="21"/>
                      <w:lang w:eastAsia="zh-CN"/>
                      <w14:textFill>
                        <w14:solidFill>
                          <w14:schemeClr w14:val="tx1"/>
                        </w14:solidFill>
                      </w14:textFill>
                    </w:rPr>
                    <w:t>增强</w:t>
                  </w:r>
                  <w:r>
                    <w:rPr>
                      <w:rFonts w:hint="default" w:ascii="Times New Roman" w:hAnsi="Times New Roman" w:eastAsia="宋体" w:cs="Times New Roman"/>
                      <w:color w:val="000000" w:themeColor="text1"/>
                      <w:sz w:val="21"/>
                      <w:szCs w:val="21"/>
                      <w14:textFill>
                        <w14:solidFill>
                          <w14:schemeClr w14:val="tx1"/>
                        </w14:solidFill>
                      </w14:textFill>
                    </w:rPr>
                    <w:t>工作人员防火意识等，事故发生概率很低，经过采取妥善的风险防范措施，本项目环境风险在可接受范围内。</w:t>
                  </w:r>
                </w:p>
              </w:tc>
            </w:tr>
          </w:tbl>
          <w:p w14:paraId="5E718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000000" w:themeColor="text1"/>
                <w14:textFill>
                  <w14:solidFill>
                    <w14:schemeClr w14:val="tx1"/>
                  </w14:solidFill>
                </w14:textFill>
              </w:rPr>
            </w:pPr>
          </w:p>
        </w:tc>
      </w:tr>
    </w:tbl>
    <w:p w14:paraId="221E5C0C">
      <w:pPr>
        <w:pStyle w:val="46"/>
        <w:ind w:firstLine="482"/>
        <w:rPr>
          <w:rFonts w:ascii="Times New Roman" w:hAnsi="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3A46586">
      <w:pPr>
        <w:pStyle w:val="2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rPr>
      </w:pPr>
      <w:bookmarkStart w:id="166" w:name="_Hlk54167917"/>
      <w:r>
        <w:rPr>
          <w:rFonts w:hint="eastAsia" w:ascii="Times New Roman" w:hAnsi="Times New Roman" w:eastAsia="黑体"/>
          <w:b/>
          <w:bCs/>
          <w:snapToGrid w:val="0"/>
          <w:color w:val="auto"/>
          <w:sz w:val="30"/>
          <w:szCs w:val="30"/>
          <w:lang w:eastAsia="zh-CN"/>
        </w:rPr>
        <w:t>五、</w:t>
      </w:r>
      <w:r>
        <w:rPr>
          <w:rFonts w:ascii="Times New Roman" w:hAnsi="Times New Roman" w:eastAsia="黑体"/>
          <w:b/>
          <w:bCs/>
          <w:snapToGrid w:val="0"/>
          <w:color w:val="auto"/>
          <w:sz w:val="30"/>
          <w:szCs w:val="30"/>
        </w:rPr>
        <w:t>环境保护措施监督检查清单</w:t>
      </w:r>
      <w:bookmarkEnd w:id="166"/>
    </w:p>
    <w:tbl>
      <w:tblPr>
        <w:tblStyle w:val="33"/>
        <w:tblW w:w="91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744"/>
        <w:gridCol w:w="1175"/>
        <w:gridCol w:w="1838"/>
        <w:gridCol w:w="3327"/>
      </w:tblGrid>
      <w:tr w14:paraId="2D506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tcBorders>
              <w:tl2br w:val="single" w:color="auto" w:sz="4" w:space="0"/>
            </w:tcBorders>
            <w:noWrap w:val="0"/>
            <w:vAlign w:val="top"/>
          </w:tcPr>
          <w:p w14:paraId="4EF0B554">
            <w:pPr>
              <w:keepNext w:val="0"/>
              <w:keepLines w:val="0"/>
              <w:suppressLineNumbers w:val="0"/>
              <w:adjustRightInd w:val="0"/>
              <w:snapToGrid w:val="0"/>
              <w:spacing w:before="0" w:beforeAutospacing="0" w:after="0" w:afterAutospacing="0"/>
              <w:ind w:left="0" w:right="0"/>
              <w:jc w:val="right"/>
              <w:rPr>
                <w:rFonts w:hint="default" w:ascii="Times New Roman" w:hAnsi="Times New Roman" w:cs="Times New Roman"/>
                <w:b/>
                <w:bCs/>
                <w:color w:val="auto"/>
                <w:spacing w:val="0"/>
                <w:sz w:val="21"/>
                <w:szCs w:val="21"/>
              </w:rPr>
            </w:pPr>
            <w:r>
              <w:rPr>
                <w:rFonts w:hint="default" w:ascii="Times New Roman" w:hAnsi="Times New Roman" w:cs="Times New Roman"/>
                <w:b/>
                <w:bCs/>
                <w:color w:val="auto"/>
                <w:spacing w:val="0"/>
                <w:sz w:val="21"/>
                <w:szCs w:val="21"/>
              </w:rPr>
              <w:t>内容</w:t>
            </w:r>
          </w:p>
          <w:p w14:paraId="580B3FD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b/>
                <w:bCs/>
                <w:color w:val="auto"/>
                <w:spacing w:val="0"/>
                <w:sz w:val="21"/>
                <w:szCs w:val="21"/>
              </w:rPr>
            </w:pPr>
            <w:r>
              <w:rPr>
                <w:rFonts w:hint="default" w:ascii="Times New Roman" w:hAnsi="Times New Roman" w:cs="Times New Roman"/>
                <w:b/>
                <w:bCs/>
                <w:color w:val="auto"/>
                <w:spacing w:val="0"/>
                <w:sz w:val="21"/>
                <w:szCs w:val="21"/>
              </w:rPr>
              <w:t>要素</w:t>
            </w:r>
          </w:p>
        </w:tc>
        <w:tc>
          <w:tcPr>
            <w:tcW w:w="1744" w:type="dxa"/>
            <w:noWrap w:val="0"/>
            <w:vAlign w:val="center"/>
          </w:tcPr>
          <w:p w14:paraId="0C226AB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pacing w:val="0"/>
                <w:sz w:val="21"/>
                <w:szCs w:val="21"/>
              </w:rPr>
            </w:pPr>
            <w:r>
              <w:rPr>
                <w:rFonts w:hint="default" w:ascii="Times New Roman" w:hAnsi="Times New Roman" w:cs="Times New Roman"/>
                <w:b/>
                <w:bCs/>
                <w:color w:val="auto"/>
                <w:spacing w:val="0"/>
                <w:sz w:val="21"/>
                <w:szCs w:val="21"/>
              </w:rPr>
              <w:t>排放口(编号、名称)/污染源</w:t>
            </w:r>
          </w:p>
        </w:tc>
        <w:tc>
          <w:tcPr>
            <w:tcW w:w="1175" w:type="dxa"/>
            <w:noWrap w:val="0"/>
            <w:vAlign w:val="center"/>
          </w:tcPr>
          <w:p w14:paraId="037268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105" w:leftChars="-50" w:right="-105" w:rightChars="-50"/>
              <w:jc w:val="center"/>
              <w:textAlignment w:val="auto"/>
              <w:rPr>
                <w:rFonts w:hint="default" w:ascii="Times New Roman" w:hAnsi="Times New Roman" w:cs="Times New Roman"/>
                <w:b/>
                <w:bCs/>
                <w:color w:val="auto"/>
                <w:spacing w:val="0"/>
                <w:sz w:val="21"/>
                <w:szCs w:val="21"/>
              </w:rPr>
            </w:pPr>
            <w:r>
              <w:rPr>
                <w:rFonts w:hint="default" w:ascii="Times New Roman" w:hAnsi="Times New Roman" w:cs="Times New Roman"/>
                <w:b/>
                <w:bCs/>
                <w:color w:val="auto"/>
                <w:spacing w:val="0"/>
                <w:sz w:val="21"/>
                <w:szCs w:val="21"/>
              </w:rPr>
              <w:t>污染物项目</w:t>
            </w:r>
          </w:p>
        </w:tc>
        <w:tc>
          <w:tcPr>
            <w:tcW w:w="1838" w:type="dxa"/>
            <w:noWrap w:val="0"/>
            <w:vAlign w:val="center"/>
          </w:tcPr>
          <w:p w14:paraId="6F124D7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pacing w:val="0"/>
                <w:sz w:val="21"/>
                <w:szCs w:val="21"/>
              </w:rPr>
            </w:pPr>
            <w:r>
              <w:rPr>
                <w:rFonts w:hint="default" w:ascii="Times New Roman" w:hAnsi="Times New Roman" w:cs="Times New Roman"/>
                <w:b/>
                <w:bCs/>
                <w:color w:val="auto"/>
                <w:spacing w:val="0"/>
                <w:sz w:val="21"/>
                <w:szCs w:val="21"/>
              </w:rPr>
              <w:t>环境保护措施</w:t>
            </w:r>
          </w:p>
        </w:tc>
        <w:tc>
          <w:tcPr>
            <w:tcW w:w="3327" w:type="dxa"/>
            <w:noWrap w:val="0"/>
            <w:vAlign w:val="center"/>
          </w:tcPr>
          <w:p w14:paraId="756364D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pacing w:val="0"/>
                <w:sz w:val="21"/>
                <w:szCs w:val="21"/>
              </w:rPr>
            </w:pPr>
            <w:r>
              <w:rPr>
                <w:rFonts w:hint="default" w:ascii="Times New Roman" w:hAnsi="Times New Roman" w:cs="Times New Roman"/>
                <w:b/>
                <w:bCs/>
                <w:color w:val="auto"/>
                <w:spacing w:val="0"/>
                <w:sz w:val="21"/>
                <w:szCs w:val="21"/>
              </w:rPr>
              <w:t>执行标准</w:t>
            </w:r>
          </w:p>
        </w:tc>
      </w:tr>
      <w:tr w14:paraId="04529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68" w:type="dxa"/>
            <w:vMerge w:val="restart"/>
            <w:noWrap w:val="0"/>
            <w:vAlign w:val="center"/>
          </w:tcPr>
          <w:p w14:paraId="2F20924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大气环境</w:t>
            </w:r>
          </w:p>
        </w:tc>
        <w:tc>
          <w:tcPr>
            <w:tcW w:w="1744" w:type="dxa"/>
            <w:noWrap w:val="0"/>
            <w:vAlign w:val="center"/>
          </w:tcPr>
          <w:p w14:paraId="45E1096F">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b w:val="0"/>
                <w:bCs w:val="0"/>
                <w:color w:val="000000" w:themeColor="text1"/>
                <w:spacing w:val="0"/>
                <w:kern w:val="2"/>
                <w:sz w:val="21"/>
                <w:szCs w:val="22"/>
                <w:lang w:val="en-US" w:eastAsia="zh-CN" w:bidi="ar-SA"/>
                <w14:textFill>
                  <w14:solidFill>
                    <w14:schemeClr w14:val="tx1"/>
                  </w14:solidFill>
                </w14:textFill>
              </w:rPr>
            </w:pPr>
            <w:r>
              <w:rPr>
                <w:rFonts w:hint="eastAsia" w:cs="Times New Roman"/>
                <w:b w:val="0"/>
                <w:bCs w:val="0"/>
                <w:color w:val="auto"/>
                <w:sz w:val="21"/>
                <w:szCs w:val="21"/>
                <w:lang w:val="en-US" w:eastAsia="zh-CN"/>
              </w:rPr>
              <w:t>3</w:t>
            </w:r>
            <w:r>
              <w:rPr>
                <w:rFonts w:hint="eastAsia" w:ascii="Times New Roman" w:hAnsi="Times New Roman" w:cs="Times New Roman"/>
                <w:b w:val="0"/>
                <w:bCs w:val="0"/>
                <w:color w:val="auto"/>
                <w:kern w:val="2"/>
                <w:sz w:val="21"/>
                <w:szCs w:val="21"/>
                <w:lang w:val="en-US" w:eastAsia="zh-CN" w:bidi="ar-SA"/>
              </w:rPr>
              <w:t>#生产车间</w:t>
            </w:r>
            <w:r>
              <w:rPr>
                <w:rFonts w:hint="eastAsia" w:cs="Times New Roman"/>
                <w:b w:val="0"/>
                <w:bCs w:val="0"/>
                <w:color w:val="auto"/>
                <w:sz w:val="21"/>
                <w:szCs w:val="21"/>
                <w:lang w:val="en-US" w:eastAsia="zh-CN"/>
              </w:rPr>
              <w:t>投料粉尘</w:t>
            </w:r>
          </w:p>
        </w:tc>
        <w:tc>
          <w:tcPr>
            <w:tcW w:w="1175" w:type="dxa"/>
            <w:noWrap w:val="0"/>
            <w:vAlign w:val="center"/>
          </w:tcPr>
          <w:p w14:paraId="6E8BB0D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cs="Times New Roman"/>
                <w:color w:val="000000" w:themeColor="text1"/>
                <w:spacing w:val="0"/>
                <w:sz w:val="21"/>
                <w:szCs w:val="21"/>
                <w14:textFill>
                  <w14:solidFill>
                    <w14:schemeClr w14:val="tx1"/>
                  </w14:solidFill>
                </w14:textFill>
              </w:rPr>
            </w:pPr>
            <w:r>
              <w:rPr>
                <w:rFonts w:hint="eastAsia" w:ascii="Times New Roman" w:hAnsi="Times New Roman" w:cs="Times New Roman"/>
                <w:color w:val="000000" w:themeColor="text1"/>
                <w:spacing w:val="0"/>
                <w:kern w:val="2"/>
                <w:sz w:val="21"/>
                <w:szCs w:val="24"/>
                <w:lang w:val="en-US" w:eastAsia="zh-CN" w:bidi="ar-SA"/>
                <w14:textFill>
                  <w14:solidFill>
                    <w14:schemeClr w14:val="tx1"/>
                  </w14:solidFill>
                </w14:textFill>
              </w:rPr>
              <w:t>颗粒物</w:t>
            </w:r>
          </w:p>
        </w:tc>
        <w:tc>
          <w:tcPr>
            <w:tcW w:w="1838" w:type="dxa"/>
            <w:noWrap w:val="0"/>
            <w:vAlign w:val="center"/>
          </w:tcPr>
          <w:p w14:paraId="57ADD2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auto"/>
              <w:outlineLvl w:val="9"/>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集气罩+袋式除尘器</w:t>
            </w:r>
            <w:r>
              <w:rPr>
                <w:rFonts w:hint="eastAsia"/>
                <w:color w:val="000000" w:themeColor="text1"/>
                <w:lang w:val="en-US" w:eastAsia="zh-CN"/>
                <w14:textFill>
                  <w14:solidFill>
                    <w14:schemeClr w14:val="tx1"/>
                  </w14:solidFill>
                </w14:textFill>
              </w:rPr>
              <w:t>+19m排气筒</w:t>
            </w:r>
            <w:r>
              <w:rPr>
                <w:rFonts w:hint="eastAsia" w:ascii="Times New Roman" w:hAnsi="Times New Roman" w:eastAsia="宋体" w:cs="Times New Roman"/>
                <w:color w:val="000000" w:themeColor="text1"/>
                <w:szCs w:val="21"/>
                <w:lang w:val="en-US" w:eastAsia="zh-CN"/>
                <w14:textFill>
                  <w14:solidFill>
                    <w14:schemeClr w14:val="tx1"/>
                  </w14:solidFill>
                </w14:textFill>
              </w:rPr>
              <w:t>（DA001）</w:t>
            </w:r>
          </w:p>
        </w:tc>
        <w:tc>
          <w:tcPr>
            <w:tcW w:w="3327" w:type="dxa"/>
            <w:noWrap w:val="0"/>
            <w:vAlign w:val="center"/>
          </w:tcPr>
          <w:p w14:paraId="784528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05" w:leftChars="-50" w:right="-105" w:rightChars="-50"/>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《大气污染物综合排放标准》（GB16297－1996）表2标准要求</w:t>
            </w:r>
          </w:p>
        </w:tc>
      </w:tr>
      <w:tr w14:paraId="29ACB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68" w:type="dxa"/>
            <w:vMerge w:val="continue"/>
            <w:noWrap w:val="0"/>
            <w:vAlign w:val="center"/>
          </w:tcPr>
          <w:p w14:paraId="2D885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pacing w:val="0"/>
              </w:rPr>
            </w:pPr>
          </w:p>
        </w:tc>
        <w:tc>
          <w:tcPr>
            <w:tcW w:w="1744" w:type="dxa"/>
            <w:noWrap w:val="0"/>
            <w:vAlign w:val="center"/>
          </w:tcPr>
          <w:p w14:paraId="65DC6A26">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olor w:val="000000" w:themeColor="text1"/>
                <w:spacing w:val="0"/>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8#车间蒸煮/</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卤制过程异味</w:t>
            </w:r>
          </w:p>
        </w:tc>
        <w:tc>
          <w:tcPr>
            <w:tcW w:w="1175" w:type="dxa"/>
            <w:noWrap w:val="0"/>
            <w:vAlign w:val="center"/>
          </w:tcPr>
          <w:p w14:paraId="0CB7B8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000000" w:themeColor="text1"/>
                <w:spacing w:val="0"/>
                <w:kern w:val="2"/>
                <w:sz w:val="21"/>
                <w:szCs w:val="24"/>
                <w:vertAlign w:val="baseline"/>
                <w:lang w:val="en-US" w:eastAsia="zh-CN" w:bidi="ar-SA"/>
                <w14:textFill>
                  <w14:solidFill>
                    <w14:schemeClr w14:val="tx1"/>
                  </w14:solidFill>
                </w14:textFill>
              </w:rPr>
            </w:pPr>
            <w:r>
              <w:rPr>
                <w:rFonts w:hint="eastAsia" w:cs="Times New Roman"/>
                <w:color w:val="000000" w:themeColor="text1"/>
                <w:spacing w:val="0"/>
                <w:kern w:val="2"/>
                <w:sz w:val="21"/>
                <w:szCs w:val="24"/>
                <w:vertAlign w:val="baseline"/>
                <w:lang w:val="en-US" w:eastAsia="zh-CN" w:bidi="ar-SA"/>
                <w14:textFill>
                  <w14:solidFill>
                    <w14:schemeClr w14:val="tx1"/>
                  </w14:solidFill>
                </w14:textFill>
              </w:rPr>
              <w:t>臭气浓度</w:t>
            </w:r>
          </w:p>
        </w:tc>
        <w:tc>
          <w:tcPr>
            <w:tcW w:w="1838" w:type="dxa"/>
            <w:noWrap w:val="0"/>
            <w:vAlign w:val="center"/>
          </w:tcPr>
          <w:p w14:paraId="4BF7E054">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color w:val="000000" w:themeColor="text1"/>
                <w:spacing w:val="0"/>
                <w14:textFill>
                  <w14:solidFill>
                    <w14:schemeClr w14:val="tx1"/>
                  </w14:solidFill>
                </w14:textFill>
              </w:rPr>
            </w:pPr>
            <w:r>
              <w:rPr>
                <w:rFonts w:hint="eastAsia"/>
                <w:color w:val="000000" w:themeColor="text1"/>
                <w14:textFill>
                  <w14:solidFill>
                    <w14:schemeClr w14:val="tx1"/>
                  </w14:solidFill>
                </w14:textFill>
              </w:rPr>
              <w:t>集气罩+活性炭吸附</w:t>
            </w:r>
            <w:r>
              <w:rPr>
                <w:rFonts w:hint="eastAsia"/>
                <w:color w:val="000000" w:themeColor="text1"/>
                <w:lang w:eastAsia="zh-CN"/>
                <w14:textFill>
                  <w14:solidFill>
                    <w14:schemeClr w14:val="tx1"/>
                  </w14:solidFill>
                </w14:textFill>
              </w:rPr>
              <w:t>装置</w:t>
            </w:r>
            <w:r>
              <w:rPr>
                <w:rFonts w:hint="eastAsia"/>
                <w:color w:val="000000" w:themeColor="text1"/>
                <w:lang w:val="en-US" w:eastAsia="zh-CN"/>
                <w14:textFill>
                  <w14:solidFill>
                    <w14:schemeClr w14:val="tx1"/>
                  </w14:solidFill>
                </w14:textFill>
              </w:rPr>
              <w:t>+15m排气筒</w:t>
            </w:r>
            <w:r>
              <w:rPr>
                <w:rFonts w:hint="eastAsia" w:ascii="Times New Roman" w:hAnsi="Times New Roman" w:eastAsia="宋体" w:cs="Times New Roman"/>
                <w:color w:val="000000" w:themeColor="text1"/>
                <w:szCs w:val="21"/>
                <w:lang w:val="en-US" w:eastAsia="zh-CN"/>
                <w14:textFill>
                  <w14:solidFill>
                    <w14:schemeClr w14:val="tx1"/>
                  </w14:solidFill>
                </w14:textFill>
              </w:rPr>
              <w:t>（DA002）</w:t>
            </w:r>
          </w:p>
        </w:tc>
        <w:tc>
          <w:tcPr>
            <w:tcW w:w="3327" w:type="dxa"/>
            <w:vMerge w:val="restart"/>
            <w:noWrap w:val="0"/>
            <w:vAlign w:val="center"/>
          </w:tcPr>
          <w:p w14:paraId="275330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05" w:leftChars="-50" w:right="-105" w:rightChars="-50" w:firstLine="420" w:firstLineChars="200"/>
              <w:jc w:val="both"/>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《恶臭污染物排放标准》（GB14554-93）表2排放限值</w:t>
            </w:r>
          </w:p>
        </w:tc>
      </w:tr>
      <w:tr w14:paraId="7083C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68" w:type="dxa"/>
            <w:vMerge w:val="continue"/>
            <w:noWrap w:val="0"/>
            <w:vAlign w:val="center"/>
          </w:tcPr>
          <w:p w14:paraId="6C39E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pacing w:val="0"/>
              </w:rPr>
            </w:pPr>
          </w:p>
        </w:tc>
        <w:tc>
          <w:tcPr>
            <w:tcW w:w="1744" w:type="dxa"/>
            <w:shd w:val="clear" w:color="auto" w:fill="auto"/>
            <w:noWrap w:val="0"/>
            <w:vAlign w:val="center"/>
          </w:tcPr>
          <w:p w14:paraId="64DE41B0">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10#车间蒸煮/</w:t>
            </w:r>
            <w:r>
              <w:rPr>
                <w:rFonts w:hint="default" w:ascii="Times New Roman" w:hAnsi="Times New Roman" w:eastAsia="宋体" w:cs="Times New Roman"/>
                <w:color w:val="000000" w:themeColor="text1"/>
                <w:szCs w:val="21"/>
                <w:lang w:val="en-US" w:eastAsia="zh-CN"/>
                <w14:textFill>
                  <w14:solidFill>
                    <w14:schemeClr w14:val="tx1"/>
                  </w14:solidFill>
                </w14:textFill>
              </w:rPr>
              <w:t>卤制过程异味</w:t>
            </w:r>
          </w:p>
        </w:tc>
        <w:tc>
          <w:tcPr>
            <w:tcW w:w="1175" w:type="dxa"/>
            <w:shd w:val="clear" w:color="auto" w:fill="auto"/>
            <w:noWrap w:val="0"/>
            <w:vAlign w:val="center"/>
          </w:tcPr>
          <w:p w14:paraId="731BC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000000" w:themeColor="text1"/>
                <w:spacing w:val="0"/>
                <w:kern w:val="2"/>
                <w:sz w:val="21"/>
                <w:szCs w:val="24"/>
                <w:vertAlign w:val="baseline"/>
                <w:lang w:val="en-US" w:eastAsia="zh-CN" w:bidi="ar-SA"/>
                <w14:textFill>
                  <w14:solidFill>
                    <w14:schemeClr w14:val="tx1"/>
                  </w14:solidFill>
                </w14:textFill>
              </w:rPr>
            </w:pPr>
            <w:r>
              <w:rPr>
                <w:rFonts w:hint="eastAsia" w:cs="Times New Roman"/>
                <w:color w:val="000000" w:themeColor="text1"/>
                <w:spacing w:val="0"/>
                <w:kern w:val="2"/>
                <w:sz w:val="21"/>
                <w:szCs w:val="24"/>
                <w:vertAlign w:val="baseline"/>
                <w:lang w:val="en-US" w:eastAsia="zh-CN" w:bidi="ar-SA"/>
                <w14:textFill>
                  <w14:solidFill>
                    <w14:schemeClr w14:val="tx1"/>
                  </w14:solidFill>
                </w14:textFill>
              </w:rPr>
              <w:t>臭气浓度</w:t>
            </w:r>
          </w:p>
        </w:tc>
        <w:tc>
          <w:tcPr>
            <w:tcW w:w="1838" w:type="dxa"/>
            <w:shd w:val="clear" w:color="auto" w:fill="auto"/>
            <w:noWrap w:val="0"/>
            <w:vAlign w:val="center"/>
          </w:tcPr>
          <w:p w14:paraId="30D20BF6">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pacing w:val="0"/>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集气罩+活性炭吸附</w:t>
            </w:r>
            <w:r>
              <w:rPr>
                <w:rFonts w:hint="eastAsia"/>
                <w:color w:val="000000" w:themeColor="text1"/>
                <w:lang w:eastAsia="zh-CN"/>
                <w14:textFill>
                  <w14:solidFill>
                    <w14:schemeClr w14:val="tx1"/>
                  </w14:solidFill>
                </w14:textFill>
              </w:rPr>
              <w:t>装置</w:t>
            </w:r>
            <w:r>
              <w:rPr>
                <w:rFonts w:hint="eastAsia"/>
                <w:color w:val="000000" w:themeColor="text1"/>
                <w:lang w:val="en-US" w:eastAsia="zh-CN"/>
                <w14:textFill>
                  <w14:solidFill>
                    <w14:schemeClr w14:val="tx1"/>
                  </w14:solidFill>
                </w14:textFill>
              </w:rPr>
              <w:t>+15m排气筒</w:t>
            </w:r>
            <w:r>
              <w:rPr>
                <w:rFonts w:hint="eastAsia" w:ascii="Times New Roman" w:hAnsi="Times New Roman" w:eastAsia="宋体" w:cs="Times New Roman"/>
                <w:color w:val="000000" w:themeColor="text1"/>
                <w:szCs w:val="21"/>
                <w:lang w:val="en-US" w:eastAsia="zh-CN"/>
                <w14:textFill>
                  <w14:solidFill>
                    <w14:schemeClr w14:val="tx1"/>
                  </w14:solidFill>
                </w14:textFill>
              </w:rPr>
              <w:t>（DA003）</w:t>
            </w:r>
          </w:p>
        </w:tc>
        <w:tc>
          <w:tcPr>
            <w:tcW w:w="3327" w:type="dxa"/>
            <w:vMerge w:val="continue"/>
            <w:noWrap w:val="0"/>
            <w:vAlign w:val="center"/>
          </w:tcPr>
          <w:p w14:paraId="09BD27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2" w:rightChars="-1" w:firstLine="0" w:firstLineChars="0"/>
              <w:jc w:val="center"/>
              <w:textAlignment w:val="auto"/>
              <w:outlineLvl w:val="9"/>
              <w:rPr>
                <w:rFonts w:hint="eastAsia" w:cs="Times New Roman"/>
                <w:b w:val="0"/>
                <w:bCs w:val="0"/>
                <w:color w:val="000000"/>
                <w:sz w:val="21"/>
                <w:szCs w:val="21"/>
                <w:lang w:eastAsia="zh-CN"/>
              </w:rPr>
            </w:pPr>
          </w:p>
        </w:tc>
      </w:tr>
      <w:tr w14:paraId="283A3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068" w:type="dxa"/>
            <w:vMerge w:val="continue"/>
            <w:noWrap w:val="0"/>
            <w:vAlign w:val="center"/>
          </w:tcPr>
          <w:p w14:paraId="19AB8DC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p>
        </w:tc>
        <w:tc>
          <w:tcPr>
            <w:tcW w:w="1744" w:type="dxa"/>
            <w:shd w:val="clear" w:color="auto" w:fill="auto"/>
            <w:noWrap w:val="0"/>
            <w:vAlign w:val="center"/>
          </w:tcPr>
          <w:p w14:paraId="65D93E22">
            <w:pPr>
              <w:pStyle w:val="5"/>
              <w:keepNext w:val="0"/>
              <w:keepLines w:val="0"/>
              <w:suppressLineNumbers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auto"/>
                <w:spacing w:val="0"/>
                <w:kern w:val="2"/>
                <w:sz w:val="21"/>
                <w:szCs w:val="21"/>
                <w:lang w:val="en-US" w:eastAsia="zh-CN" w:bidi="ar-SA"/>
              </w:rPr>
            </w:pPr>
            <w:r>
              <w:rPr>
                <w:rFonts w:hint="eastAsia" w:ascii="Times New Roman" w:hAnsi="Times New Roman" w:cs="Times New Roman"/>
                <w:color w:val="000000" w:themeColor="text1"/>
                <w:szCs w:val="21"/>
                <w:lang w:val="en-US" w:eastAsia="zh-CN"/>
                <w14:textFill>
                  <w14:solidFill>
                    <w14:schemeClr w14:val="tx1"/>
                  </w14:solidFill>
                </w14:textFill>
              </w:rPr>
              <w:t>3#烤箱烘干天然气</w:t>
            </w:r>
            <w:r>
              <w:rPr>
                <w:rFonts w:hint="default" w:ascii="Times New Roman" w:hAnsi="Times New Roman" w:eastAsia="宋体" w:cs="Times New Roman"/>
                <w:color w:val="000000" w:themeColor="text1"/>
                <w:szCs w:val="21"/>
                <w:lang w:val="en-US" w:eastAsia="zh-CN"/>
                <w14:textFill>
                  <w14:solidFill>
                    <w14:schemeClr w14:val="tx1"/>
                  </w14:solidFill>
                </w14:textFill>
              </w:rPr>
              <w:t>燃烧废气</w:t>
            </w:r>
          </w:p>
        </w:tc>
        <w:tc>
          <w:tcPr>
            <w:tcW w:w="1175" w:type="dxa"/>
            <w:noWrap w:val="0"/>
            <w:vAlign w:val="center"/>
          </w:tcPr>
          <w:p w14:paraId="2F6A2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4"/>
                <w:lang w:val="en-US" w:eastAsia="zh-CN" w:bidi="ar-SA"/>
              </w:rPr>
            </w:pPr>
            <w:r>
              <w:rPr>
                <w:rFonts w:hint="eastAsia" w:ascii="Times New Roman" w:hAnsi="Times New Roman" w:cs="Times New Roman"/>
                <w:color w:val="auto"/>
                <w:spacing w:val="0"/>
                <w:kern w:val="2"/>
                <w:sz w:val="21"/>
                <w:szCs w:val="24"/>
                <w:lang w:val="en-US" w:eastAsia="zh-CN" w:bidi="ar-SA"/>
              </w:rPr>
              <w:t>颗粒物</w:t>
            </w:r>
          </w:p>
          <w:p w14:paraId="43960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0"/>
                <w:kern w:val="2"/>
                <w:sz w:val="21"/>
                <w:szCs w:val="24"/>
                <w:lang w:val="en-US" w:eastAsia="zh-CN" w:bidi="ar-SA"/>
              </w:rPr>
            </w:pPr>
            <w:r>
              <w:rPr>
                <w:rFonts w:hint="eastAsia" w:cs="Times New Roman"/>
                <w:color w:val="auto"/>
                <w:spacing w:val="0"/>
                <w:kern w:val="2"/>
                <w:sz w:val="21"/>
                <w:szCs w:val="24"/>
                <w:lang w:val="en-US" w:eastAsia="zh-CN" w:bidi="ar-SA"/>
              </w:rPr>
              <w:t>二氧化硫</w:t>
            </w:r>
          </w:p>
          <w:p w14:paraId="506F9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pacing w:val="0"/>
                <w:sz w:val="21"/>
                <w:szCs w:val="21"/>
                <w:lang w:eastAsia="zh-CN"/>
              </w:rPr>
            </w:pPr>
            <w:r>
              <w:rPr>
                <w:rFonts w:hint="eastAsia" w:cs="Times New Roman"/>
                <w:color w:val="auto"/>
                <w:spacing w:val="0"/>
                <w:kern w:val="2"/>
                <w:sz w:val="21"/>
                <w:szCs w:val="24"/>
                <w:lang w:val="en-US" w:eastAsia="zh-CN" w:bidi="ar-SA"/>
              </w:rPr>
              <w:t>氮氧化物</w:t>
            </w:r>
          </w:p>
        </w:tc>
        <w:tc>
          <w:tcPr>
            <w:tcW w:w="1838" w:type="dxa"/>
            <w:noWrap w:val="0"/>
            <w:vAlign w:val="center"/>
          </w:tcPr>
          <w:p w14:paraId="70575C42">
            <w:pPr>
              <w:keepNext w:val="0"/>
              <w:keepLines w:val="0"/>
              <w:suppressLineNumbers w:val="0"/>
              <w:adjustRightInd w:val="0"/>
              <w:snapToGrid w:val="0"/>
              <w:spacing w:before="0" w:beforeAutospacing="0" w:after="0" w:afterAutospacing="0" w:line="260" w:lineRule="exact"/>
              <w:ind w:left="0" w:leftChars="0" w:right="0" w:rightChars="0"/>
              <w:jc w:val="center"/>
              <w:rPr>
                <w:rFonts w:hint="default" w:ascii="Times New Roman" w:hAnsi="Times New Roman" w:cs="Times New Roman"/>
                <w:color w:val="auto"/>
                <w:spacing w:val="0"/>
                <w:sz w:val="21"/>
                <w:szCs w:val="21"/>
              </w:rPr>
            </w:pPr>
            <w:r>
              <w:rPr>
                <w:rFonts w:hint="eastAsia"/>
                <w:color w:val="auto"/>
                <w:szCs w:val="21"/>
                <w:lang w:eastAsia="zh-CN"/>
              </w:rPr>
              <w:t>清洁能源天然气，</w:t>
            </w:r>
            <w:r>
              <w:rPr>
                <w:rFonts w:hint="eastAsia"/>
                <w:lang w:val="en-US" w:eastAsia="zh-CN"/>
              </w:rPr>
              <w:t>+17m排气筒</w:t>
            </w:r>
            <w:r>
              <w:rPr>
                <w:rFonts w:hint="eastAsia" w:ascii="Times New Roman" w:hAnsi="Times New Roman" w:eastAsia="宋体" w:cs="Times New Roman"/>
                <w:color w:val="auto"/>
                <w:szCs w:val="21"/>
                <w:lang w:val="en-US" w:eastAsia="zh-CN"/>
              </w:rPr>
              <w:t>（DA00</w:t>
            </w:r>
            <w:r>
              <w:rPr>
                <w:rFonts w:hint="eastAsia" w:cs="Times New Roman"/>
                <w:color w:val="auto"/>
                <w:szCs w:val="21"/>
                <w:lang w:val="en-US" w:eastAsia="zh-CN"/>
              </w:rPr>
              <w:t>4</w:t>
            </w:r>
            <w:r>
              <w:rPr>
                <w:rFonts w:hint="eastAsia" w:ascii="Times New Roman" w:hAnsi="Times New Roman" w:eastAsia="宋体" w:cs="Times New Roman"/>
                <w:color w:val="auto"/>
                <w:szCs w:val="21"/>
                <w:lang w:val="en-US" w:eastAsia="zh-CN"/>
              </w:rPr>
              <w:t>）</w:t>
            </w:r>
          </w:p>
        </w:tc>
        <w:tc>
          <w:tcPr>
            <w:tcW w:w="3327" w:type="dxa"/>
            <w:noWrap w:val="0"/>
            <w:vAlign w:val="center"/>
          </w:tcPr>
          <w:p w14:paraId="0A811A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420" w:firstLineChars="200"/>
              <w:jc w:val="both"/>
              <w:textAlignment w:val="auto"/>
              <w:rPr>
                <w:rFonts w:hint="default" w:ascii="Times New Roman" w:hAnsi="Times New Roman" w:cs="Times New Roman"/>
                <w:color w:val="auto"/>
                <w:spacing w:val="0"/>
                <w:sz w:val="21"/>
                <w:szCs w:val="21"/>
                <w:lang w:eastAsia="zh-CN"/>
              </w:rPr>
            </w:pPr>
            <w:r>
              <w:rPr>
                <w:rFonts w:hint="default" w:ascii="Times New Roman" w:hAnsi="Times New Roman" w:cs="Times New Roman"/>
                <w:color w:val="000000"/>
                <w:szCs w:val="21"/>
              </w:rPr>
              <w:t>《工业炉窑大气污染物排放标准》（DB13/1640－2012）表1、表2标准限值</w:t>
            </w:r>
            <w:r>
              <w:rPr>
                <w:rFonts w:hint="eastAsia" w:cs="Times New Roman"/>
                <w:color w:val="000000"/>
                <w:szCs w:val="21"/>
                <w:lang w:eastAsia="zh-CN"/>
              </w:rPr>
              <w:t>（同时满足</w:t>
            </w:r>
            <w:r>
              <w:rPr>
                <w:rFonts w:hint="eastAsia" w:ascii="Times New Roman" w:hAnsi="Times New Roman" w:cs="Times New Roman"/>
                <w:color w:val="000000"/>
                <w:szCs w:val="21"/>
                <w:lang w:val="en-US" w:eastAsia="zh-CN"/>
              </w:rPr>
              <w:t>《工业炉窑大气污染综合治理方案》(环大气</w:t>
            </w:r>
            <w:r>
              <w:rPr>
                <w:rFonts w:hint="eastAsia" w:cs="Times New Roman"/>
                <w:color w:val="000000"/>
                <w:szCs w:val="21"/>
                <w:lang w:val="en-US" w:eastAsia="zh-CN"/>
              </w:rPr>
              <w:t>〔2019〕56号</w:t>
            </w:r>
            <w:r>
              <w:rPr>
                <w:rFonts w:hint="eastAsia" w:ascii="Times New Roman" w:hAnsi="Times New Roman" w:cs="Times New Roman"/>
                <w:color w:val="000000"/>
                <w:szCs w:val="21"/>
                <w:lang w:val="en-US" w:eastAsia="zh-CN"/>
              </w:rPr>
              <w:t>)要求</w:t>
            </w:r>
            <w:r>
              <w:rPr>
                <w:rFonts w:hint="eastAsia" w:cs="Times New Roman"/>
                <w:color w:val="000000"/>
                <w:szCs w:val="21"/>
                <w:lang w:eastAsia="zh-CN"/>
              </w:rPr>
              <w:t>）</w:t>
            </w:r>
          </w:p>
        </w:tc>
      </w:tr>
      <w:tr w14:paraId="58589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8" w:type="dxa"/>
            <w:vMerge w:val="continue"/>
            <w:noWrap w:val="0"/>
            <w:vAlign w:val="center"/>
          </w:tcPr>
          <w:p w14:paraId="360C45D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p>
        </w:tc>
        <w:tc>
          <w:tcPr>
            <w:tcW w:w="1744" w:type="dxa"/>
            <w:shd w:val="clear" w:color="auto" w:fill="auto"/>
            <w:noWrap w:val="0"/>
            <w:vAlign w:val="center"/>
          </w:tcPr>
          <w:p w14:paraId="04A6BA93">
            <w:pPr>
              <w:pStyle w:val="5"/>
              <w:keepNext w:val="0"/>
              <w:keepLines w:val="0"/>
              <w:suppressLineNumbers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3#生产车间蒸汽发生器天然气燃烧废气</w:t>
            </w:r>
          </w:p>
        </w:tc>
        <w:tc>
          <w:tcPr>
            <w:tcW w:w="1175" w:type="dxa"/>
            <w:noWrap w:val="0"/>
            <w:vAlign w:val="center"/>
          </w:tcPr>
          <w:p w14:paraId="09128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4"/>
                <w:lang w:val="en-US" w:eastAsia="zh-CN" w:bidi="ar-SA"/>
              </w:rPr>
            </w:pPr>
            <w:r>
              <w:rPr>
                <w:rFonts w:hint="eastAsia" w:ascii="Times New Roman" w:hAnsi="Times New Roman" w:cs="Times New Roman"/>
                <w:color w:val="auto"/>
                <w:spacing w:val="0"/>
                <w:kern w:val="2"/>
                <w:sz w:val="21"/>
                <w:szCs w:val="24"/>
                <w:lang w:val="en-US" w:eastAsia="zh-CN" w:bidi="ar-SA"/>
              </w:rPr>
              <w:t>颗粒物</w:t>
            </w:r>
          </w:p>
          <w:p w14:paraId="6CFFC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0"/>
                <w:kern w:val="2"/>
                <w:sz w:val="21"/>
                <w:szCs w:val="24"/>
                <w:lang w:val="en-US" w:eastAsia="zh-CN" w:bidi="ar-SA"/>
              </w:rPr>
            </w:pPr>
            <w:r>
              <w:rPr>
                <w:rFonts w:hint="eastAsia" w:cs="Times New Roman"/>
                <w:color w:val="auto"/>
                <w:spacing w:val="0"/>
                <w:kern w:val="2"/>
                <w:sz w:val="21"/>
                <w:szCs w:val="24"/>
                <w:lang w:val="en-US" w:eastAsia="zh-CN" w:bidi="ar-SA"/>
              </w:rPr>
              <w:t>二氧化硫</w:t>
            </w:r>
          </w:p>
          <w:p w14:paraId="5A2AB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0"/>
                <w:kern w:val="2"/>
                <w:sz w:val="21"/>
                <w:szCs w:val="24"/>
                <w:lang w:val="en-US" w:eastAsia="zh-CN" w:bidi="ar-SA"/>
              </w:rPr>
            </w:pPr>
            <w:r>
              <w:rPr>
                <w:rFonts w:hint="eastAsia" w:cs="Times New Roman"/>
                <w:color w:val="auto"/>
                <w:spacing w:val="0"/>
                <w:kern w:val="2"/>
                <w:sz w:val="21"/>
                <w:szCs w:val="24"/>
                <w:lang w:val="en-US" w:eastAsia="zh-CN" w:bidi="ar-SA"/>
              </w:rPr>
              <w:t>氮氧化物烟气黑度</w:t>
            </w:r>
          </w:p>
        </w:tc>
        <w:tc>
          <w:tcPr>
            <w:tcW w:w="1838" w:type="dxa"/>
            <w:noWrap w:val="0"/>
            <w:vAlign w:val="center"/>
          </w:tcPr>
          <w:p w14:paraId="70E8D5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color w:val="auto"/>
                <w:szCs w:val="21"/>
                <w:lang w:eastAsia="zh-CN"/>
              </w:rPr>
            </w:pPr>
            <w:r>
              <w:rPr>
                <w:rFonts w:hint="eastAsia"/>
                <w:color w:val="auto"/>
                <w:szCs w:val="21"/>
                <w:lang w:eastAsia="zh-CN"/>
              </w:rPr>
              <w:t>清洁能源天然气，</w:t>
            </w:r>
            <w:r>
              <w:rPr>
                <w:rFonts w:hint="eastAsia"/>
                <w:color w:val="000000"/>
                <w:sz w:val="21"/>
                <w:szCs w:val="21"/>
                <w:lang w:eastAsia="zh-CN"/>
              </w:rPr>
              <w:t>低氮燃烧器</w:t>
            </w:r>
            <w:r>
              <w:rPr>
                <w:rFonts w:hint="eastAsia"/>
                <w:color w:val="000000"/>
                <w:sz w:val="21"/>
                <w:szCs w:val="21"/>
              </w:rPr>
              <w:t>+</w:t>
            </w:r>
            <w:r>
              <w:rPr>
                <w:rFonts w:hint="eastAsia"/>
                <w:color w:val="000000"/>
                <w:sz w:val="21"/>
                <w:szCs w:val="21"/>
                <w:lang w:val="en-US" w:eastAsia="zh-CN"/>
              </w:rPr>
              <w:t>17</w:t>
            </w:r>
            <w:r>
              <w:rPr>
                <w:rFonts w:hint="eastAsia"/>
                <w:color w:val="000000"/>
                <w:sz w:val="21"/>
                <w:szCs w:val="21"/>
                <w:lang w:eastAsia="zh-CN"/>
              </w:rPr>
              <w:t>m</w:t>
            </w:r>
            <w:r>
              <w:rPr>
                <w:rFonts w:hint="eastAsia"/>
                <w:color w:val="000000"/>
                <w:sz w:val="21"/>
                <w:szCs w:val="21"/>
              </w:rPr>
              <w:t>排气筒</w:t>
            </w:r>
            <w:r>
              <w:rPr>
                <w:rFonts w:hint="eastAsia"/>
                <w:color w:val="000000"/>
                <w:sz w:val="21"/>
                <w:szCs w:val="21"/>
                <w:lang w:eastAsia="zh-CN"/>
              </w:rPr>
              <w:t>（</w:t>
            </w:r>
            <w:r>
              <w:rPr>
                <w:rFonts w:hint="eastAsia"/>
                <w:color w:val="000000"/>
                <w:sz w:val="21"/>
                <w:szCs w:val="21"/>
                <w:lang w:val="en-US" w:eastAsia="zh-CN"/>
              </w:rPr>
              <w:t>DA005</w:t>
            </w:r>
            <w:r>
              <w:rPr>
                <w:rFonts w:hint="eastAsia"/>
                <w:color w:val="000000"/>
                <w:sz w:val="21"/>
                <w:szCs w:val="21"/>
                <w:lang w:eastAsia="zh-CN"/>
              </w:rPr>
              <w:t>）</w:t>
            </w:r>
          </w:p>
        </w:tc>
        <w:tc>
          <w:tcPr>
            <w:tcW w:w="3327" w:type="dxa"/>
            <w:vMerge w:val="restart"/>
            <w:noWrap w:val="0"/>
            <w:vAlign w:val="center"/>
          </w:tcPr>
          <w:p w14:paraId="16ED31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baseline"/>
              <w:rPr>
                <w:rFonts w:hint="eastAsia"/>
                <w:color w:val="auto"/>
                <w:kern w:val="0"/>
                <w:sz w:val="21"/>
                <w:szCs w:val="21"/>
              </w:rPr>
            </w:pPr>
            <w:r>
              <w:rPr>
                <w:rFonts w:hint="eastAsia"/>
                <w:color w:val="auto"/>
                <w:kern w:val="0"/>
                <w:sz w:val="21"/>
                <w:szCs w:val="21"/>
                <w:lang w:val="en-US" w:eastAsia="zh-CN"/>
              </w:rPr>
              <w:t xml:space="preserve">  《锅炉大气污染物排放标准》 </w:t>
            </w:r>
          </w:p>
          <w:p w14:paraId="3BC164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baseline"/>
              <w:rPr>
                <w:rFonts w:hint="eastAsia"/>
                <w:color w:val="auto"/>
                <w:kern w:val="0"/>
                <w:sz w:val="21"/>
                <w:szCs w:val="21"/>
                <w:lang w:val="en-US" w:eastAsia="zh-CN"/>
              </w:rPr>
            </w:pPr>
            <w:r>
              <w:rPr>
                <w:rFonts w:hint="eastAsia"/>
                <w:color w:val="auto"/>
                <w:kern w:val="0"/>
                <w:sz w:val="21"/>
                <w:szCs w:val="21"/>
                <w:lang w:val="en-US" w:eastAsia="zh-CN"/>
              </w:rPr>
              <w:t>(DB13/5161-2020)中表1大气污染物排放限值要求</w:t>
            </w:r>
          </w:p>
          <w:p w14:paraId="69D179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baseline"/>
              <w:rPr>
                <w:rFonts w:hint="default" w:ascii="Times New Roman" w:hAnsi="Times New Roman" w:cs="Times New Roman"/>
                <w:color w:val="000000"/>
                <w:szCs w:val="21"/>
              </w:rPr>
            </w:pPr>
            <w:r>
              <w:rPr>
                <w:rFonts w:hint="eastAsia"/>
                <w:color w:val="auto"/>
                <w:kern w:val="0"/>
                <w:sz w:val="21"/>
                <w:szCs w:val="21"/>
                <w:lang w:val="en-US" w:eastAsia="zh-CN"/>
              </w:rPr>
              <w:t xml:space="preserve">  </w:t>
            </w:r>
          </w:p>
          <w:p w14:paraId="3ACBAE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baseline"/>
              <w:rPr>
                <w:rFonts w:hint="default" w:ascii="Times New Roman" w:hAnsi="Times New Roman" w:cs="Times New Roman"/>
                <w:color w:val="000000"/>
                <w:szCs w:val="21"/>
              </w:rPr>
            </w:pPr>
            <w:r>
              <w:rPr>
                <w:rFonts w:hint="eastAsia"/>
                <w:color w:val="auto"/>
                <w:kern w:val="0"/>
                <w:sz w:val="21"/>
                <w:szCs w:val="21"/>
                <w:lang w:val="en-US" w:eastAsia="zh-CN"/>
              </w:rPr>
              <w:t xml:space="preserve">  </w:t>
            </w:r>
          </w:p>
        </w:tc>
      </w:tr>
      <w:tr w14:paraId="7DF39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68" w:type="dxa"/>
            <w:vMerge w:val="continue"/>
            <w:noWrap w:val="0"/>
            <w:vAlign w:val="center"/>
          </w:tcPr>
          <w:p w14:paraId="0E4CC23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p>
        </w:tc>
        <w:tc>
          <w:tcPr>
            <w:tcW w:w="1744" w:type="dxa"/>
            <w:shd w:val="clear" w:color="auto" w:fill="auto"/>
            <w:noWrap w:val="0"/>
            <w:vAlign w:val="center"/>
          </w:tcPr>
          <w:p w14:paraId="44D7B50E">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p>
        </w:tc>
        <w:tc>
          <w:tcPr>
            <w:tcW w:w="1175" w:type="dxa"/>
            <w:noWrap w:val="0"/>
            <w:vAlign w:val="center"/>
          </w:tcPr>
          <w:p w14:paraId="419FC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4"/>
                <w:lang w:val="en-US" w:eastAsia="zh-CN" w:bidi="ar-SA"/>
              </w:rPr>
            </w:pPr>
            <w:r>
              <w:rPr>
                <w:rFonts w:hint="eastAsia" w:ascii="Times New Roman" w:hAnsi="Times New Roman" w:cs="Times New Roman"/>
                <w:color w:val="auto"/>
                <w:spacing w:val="0"/>
                <w:kern w:val="2"/>
                <w:sz w:val="21"/>
                <w:szCs w:val="24"/>
                <w:lang w:val="en-US" w:eastAsia="zh-CN" w:bidi="ar-SA"/>
              </w:rPr>
              <w:t>颗粒物</w:t>
            </w:r>
          </w:p>
          <w:p w14:paraId="10388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0"/>
                <w:kern w:val="2"/>
                <w:sz w:val="21"/>
                <w:szCs w:val="24"/>
                <w:lang w:val="en-US" w:eastAsia="zh-CN" w:bidi="ar-SA"/>
              </w:rPr>
            </w:pPr>
            <w:r>
              <w:rPr>
                <w:rFonts w:hint="eastAsia" w:cs="Times New Roman"/>
                <w:color w:val="auto"/>
                <w:spacing w:val="0"/>
                <w:kern w:val="2"/>
                <w:sz w:val="21"/>
                <w:szCs w:val="24"/>
                <w:lang w:val="en-US" w:eastAsia="zh-CN" w:bidi="ar-SA"/>
              </w:rPr>
              <w:t>二氧化硫</w:t>
            </w:r>
          </w:p>
          <w:p w14:paraId="41BC7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0"/>
                <w:kern w:val="2"/>
                <w:sz w:val="21"/>
                <w:szCs w:val="24"/>
                <w:lang w:val="en-US" w:eastAsia="zh-CN" w:bidi="ar-SA"/>
              </w:rPr>
            </w:pPr>
            <w:r>
              <w:rPr>
                <w:rFonts w:hint="eastAsia" w:cs="Times New Roman"/>
                <w:color w:val="auto"/>
                <w:spacing w:val="0"/>
                <w:kern w:val="2"/>
                <w:sz w:val="21"/>
                <w:szCs w:val="24"/>
                <w:lang w:val="en-US" w:eastAsia="zh-CN" w:bidi="ar-SA"/>
              </w:rPr>
              <w:t>氮氧化物烟气黑度</w:t>
            </w:r>
          </w:p>
        </w:tc>
        <w:tc>
          <w:tcPr>
            <w:tcW w:w="1838" w:type="dxa"/>
            <w:noWrap w:val="0"/>
            <w:vAlign w:val="center"/>
          </w:tcPr>
          <w:p w14:paraId="7D0082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color w:val="auto"/>
                <w:szCs w:val="21"/>
                <w:lang w:eastAsia="zh-CN"/>
              </w:rPr>
            </w:pPr>
            <w:r>
              <w:rPr>
                <w:rFonts w:hint="eastAsia"/>
                <w:color w:val="auto"/>
                <w:szCs w:val="21"/>
                <w:lang w:eastAsia="zh-CN"/>
              </w:rPr>
              <w:t>清洁能源天然气，</w:t>
            </w:r>
            <w:r>
              <w:rPr>
                <w:rFonts w:hint="eastAsia"/>
                <w:color w:val="000000"/>
                <w:sz w:val="21"/>
                <w:szCs w:val="21"/>
                <w:lang w:eastAsia="zh-CN"/>
              </w:rPr>
              <w:t>低氮燃烧器</w:t>
            </w:r>
            <w:r>
              <w:rPr>
                <w:rFonts w:hint="eastAsia"/>
                <w:color w:val="000000"/>
                <w:sz w:val="21"/>
                <w:szCs w:val="21"/>
              </w:rPr>
              <w:t>+</w:t>
            </w:r>
            <w:r>
              <w:rPr>
                <w:rFonts w:hint="eastAsia"/>
                <w:color w:val="000000"/>
                <w:sz w:val="21"/>
                <w:szCs w:val="21"/>
                <w:lang w:val="en-US" w:eastAsia="zh-CN"/>
              </w:rPr>
              <w:t>17</w:t>
            </w:r>
            <w:r>
              <w:rPr>
                <w:rFonts w:hint="eastAsia"/>
                <w:color w:val="000000"/>
                <w:sz w:val="21"/>
                <w:szCs w:val="21"/>
                <w:lang w:eastAsia="zh-CN"/>
              </w:rPr>
              <w:t>m</w:t>
            </w:r>
            <w:r>
              <w:rPr>
                <w:rFonts w:hint="eastAsia"/>
                <w:color w:val="000000"/>
                <w:sz w:val="21"/>
                <w:szCs w:val="21"/>
              </w:rPr>
              <w:t>排气筒</w:t>
            </w:r>
            <w:r>
              <w:rPr>
                <w:rFonts w:hint="eastAsia"/>
                <w:color w:val="000000"/>
                <w:sz w:val="21"/>
                <w:szCs w:val="21"/>
                <w:lang w:eastAsia="zh-CN"/>
              </w:rPr>
              <w:t>（</w:t>
            </w:r>
            <w:r>
              <w:rPr>
                <w:rFonts w:hint="eastAsia"/>
                <w:color w:val="000000"/>
                <w:sz w:val="21"/>
                <w:szCs w:val="21"/>
                <w:lang w:val="en-US" w:eastAsia="zh-CN"/>
              </w:rPr>
              <w:t>DA006</w:t>
            </w:r>
            <w:r>
              <w:rPr>
                <w:rFonts w:hint="eastAsia"/>
                <w:color w:val="000000"/>
                <w:sz w:val="21"/>
                <w:szCs w:val="21"/>
                <w:lang w:eastAsia="zh-CN"/>
              </w:rPr>
              <w:t>）</w:t>
            </w:r>
          </w:p>
        </w:tc>
        <w:tc>
          <w:tcPr>
            <w:tcW w:w="3327" w:type="dxa"/>
            <w:vMerge w:val="continue"/>
            <w:noWrap w:val="0"/>
            <w:vAlign w:val="center"/>
          </w:tcPr>
          <w:p w14:paraId="7CB1E1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baseline"/>
              <w:rPr>
                <w:rFonts w:hint="default" w:ascii="Times New Roman" w:hAnsi="Times New Roman" w:cs="Times New Roman"/>
                <w:color w:val="000000"/>
                <w:szCs w:val="21"/>
              </w:rPr>
            </w:pPr>
          </w:p>
        </w:tc>
      </w:tr>
      <w:tr w14:paraId="25240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8" w:type="dxa"/>
            <w:vMerge w:val="continue"/>
            <w:noWrap w:val="0"/>
            <w:vAlign w:val="center"/>
          </w:tcPr>
          <w:p w14:paraId="6AC8CAA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p>
        </w:tc>
        <w:tc>
          <w:tcPr>
            <w:tcW w:w="1744" w:type="dxa"/>
            <w:shd w:val="clear" w:color="auto" w:fill="auto"/>
            <w:noWrap w:val="0"/>
            <w:vAlign w:val="center"/>
          </w:tcPr>
          <w:p w14:paraId="7EB90D4E">
            <w:pPr>
              <w:keepNext w:val="0"/>
              <w:keepLines w:val="0"/>
              <w:suppressLineNumbers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w:t>
            </w: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#生产车间蒸汽发生器天然气燃烧废气</w:t>
            </w:r>
          </w:p>
        </w:tc>
        <w:tc>
          <w:tcPr>
            <w:tcW w:w="1175" w:type="dxa"/>
            <w:noWrap w:val="0"/>
            <w:vAlign w:val="center"/>
          </w:tcPr>
          <w:p w14:paraId="12A1A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4"/>
                <w:lang w:val="en-US" w:eastAsia="zh-CN" w:bidi="ar-SA"/>
              </w:rPr>
            </w:pPr>
            <w:r>
              <w:rPr>
                <w:rFonts w:hint="eastAsia" w:ascii="Times New Roman" w:hAnsi="Times New Roman" w:cs="Times New Roman"/>
                <w:color w:val="auto"/>
                <w:spacing w:val="0"/>
                <w:kern w:val="2"/>
                <w:sz w:val="21"/>
                <w:szCs w:val="24"/>
                <w:lang w:val="en-US" w:eastAsia="zh-CN" w:bidi="ar-SA"/>
              </w:rPr>
              <w:t>颗粒物</w:t>
            </w:r>
          </w:p>
          <w:p w14:paraId="25E9F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0"/>
                <w:kern w:val="2"/>
                <w:sz w:val="21"/>
                <w:szCs w:val="24"/>
                <w:lang w:val="en-US" w:eastAsia="zh-CN" w:bidi="ar-SA"/>
              </w:rPr>
            </w:pPr>
            <w:r>
              <w:rPr>
                <w:rFonts w:hint="eastAsia" w:cs="Times New Roman"/>
                <w:color w:val="auto"/>
                <w:spacing w:val="0"/>
                <w:kern w:val="2"/>
                <w:sz w:val="21"/>
                <w:szCs w:val="24"/>
                <w:lang w:val="en-US" w:eastAsia="zh-CN" w:bidi="ar-SA"/>
              </w:rPr>
              <w:t>二氧化硫</w:t>
            </w:r>
          </w:p>
          <w:p w14:paraId="51929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0"/>
                <w:kern w:val="2"/>
                <w:sz w:val="21"/>
                <w:szCs w:val="24"/>
                <w:lang w:val="en-US" w:eastAsia="zh-CN" w:bidi="ar-SA"/>
              </w:rPr>
            </w:pPr>
            <w:r>
              <w:rPr>
                <w:rFonts w:hint="eastAsia" w:cs="Times New Roman"/>
                <w:color w:val="auto"/>
                <w:spacing w:val="0"/>
                <w:kern w:val="2"/>
                <w:sz w:val="21"/>
                <w:szCs w:val="24"/>
                <w:lang w:val="en-US" w:eastAsia="zh-CN" w:bidi="ar-SA"/>
              </w:rPr>
              <w:t>氮氧化物烟气黑度</w:t>
            </w:r>
          </w:p>
        </w:tc>
        <w:tc>
          <w:tcPr>
            <w:tcW w:w="1838" w:type="dxa"/>
            <w:noWrap w:val="0"/>
            <w:vAlign w:val="center"/>
          </w:tcPr>
          <w:p w14:paraId="68B5D9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color w:val="auto"/>
                <w:szCs w:val="21"/>
                <w:lang w:eastAsia="zh-CN"/>
              </w:rPr>
            </w:pPr>
            <w:r>
              <w:rPr>
                <w:rFonts w:hint="eastAsia"/>
                <w:color w:val="auto"/>
                <w:szCs w:val="21"/>
                <w:lang w:eastAsia="zh-CN"/>
              </w:rPr>
              <w:t>清洁能源天然气，</w:t>
            </w:r>
            <w:r>
              <w:rPr>
                <w:rFonts w:hint="eastAsia"/>
                <w:color w:val="000000"/>
                <w:sz w:val="21"/>
                <w:szCs w:val="21"/>
                <w:lang w:eastAsia="zh-CN"/>
              </w:rPr>
              <w:t>低氮燃烧器</w:t>
            </w:r>
            <w:r>
              <w:rPr>
                <w:rFonts w:hint="eastAsia"/>
                <w:color w:val="000000"/>
                <w:sz w:val="21"/>
                <w:szCs w:val="21"/>
              </w:rPr>
              <w:t>+</w:t>
            </w:r>
            <w:r>
              <w:rPr>
                <w:rFonts w:hint="eastAsia"/>
                <w:color w:val="000000"/>
                <w:sz w:val="21"/>
                <w:szCs w:val="21"/>
                <w:lang w:val="en-US" w:eastAsia="zh-CN"/>
              </w:rPr>
              <w:t>17</w:t>
            </w:r>
            <w:r>
              <w:rPr>
                <w:rFonts w:hint="eastAsia"/>
                <w:color w:val="000000"/>
                <w:sz w:val="21"/>
                <w:szCs w:val="21"/>
                <w:lang w:eastAsia="zh-CN"/>
              </w:rPr>
              <w:t>m</w:t>
            </w:r>
            <w:r>
              <w:rPr>
                <w:rFonts w:hint="eastAsia"/>
                <w:color w:val="000000"/>
                <w:sz w:val="21"/>
                <w:szCs w:val="21"/>
              </w:rPr>
              <w:t>排气筒</w:t>
            </w:r>
            <w:r>
              <w:rPr>
                <w:rFonts w:hint="eastAsia"/>
                <w:color w:val="000000"/>
                <w:sz w:val="21"/>
                <w:szCs w:val="21"/>
                <w:lang w:eastAsia="zh-CN"/>
              </w:rPr>
              <w:t>（</w:t>
            </w:r>
            <w:r>
              <w:rPr>
                <w:rFonts w:hint="eastAsia"/>
                <w:color w:val="000000"/>
                <w:sz w:val="21"/>
                <w:szCs w:val="21"/>
                <w:lang w:val="en-US" w:eastAsia="zh-CN"/>
              </w:rPr>
              <w:t>DA007</w:t>
            </w:r>
            <w:r>
              <w:rPr>
                <w:rFonts w:hint="eastAsia"/>
                <w:color w:val="000000"/>
                <w:sz w:val="21"/>
                <w:szCs w:val="21"/>
                <w:lang w:eastAsia="zh-CN"/>
              </w:rPr>
              <w:t>）</w:t>
            </w:r>
          </w:p>
        </w:tc>
        <w:tc>
          <w:tcPr>
            <w:tcW w:w="3327" w:type="dxa"/>
            <w:vMerge w:val="continue"/>
            <w:noWrap w:val="0"/>
            <w:vAlign w:val="center"/>
          </w:tcPr>
          <w:p w14:paraId="7B03D2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baseline"/>
              <w:rPr>
                <w:rFonts w:hint="default" w:ascii="Times New Roman" w:hAnsi="Times New Roman" w:cs="Times New Roman"/>
                <w:color w:val="000000"/>
                <w:szCs w:val="21"/>
              </w:rPr>
            </w:pPr>
          </w:p>
        </w:tc>
      </w:tr>
      <w:tr w14:paraId="15344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068" w:type="dxa"/>
            <w:vMerge w:val="continue"/>
            <w:noWrap w:val="0"/>
            <w:vAlign w:val="center"/>
          </w:tcPr>
          <w:p w14:paraId="1778324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p>
        </w:tc>
        <w:tc>
          <w:tcPr>
            <w:tcW w:w="1744" w:type="dxa"/>
            <w:noWrap w:val="0"/>
            <w:vAlign w:val="center"/>
          </w:tcPr>
          <w:p w14:paraId="481CF581">
            <w:pPr>
              <w:pStyle w:val="5"/>
              <w:keepNext w:val="0"/>
              <w:keepLines w:val="0"/>
              <w:suppressLineNumbers w:val="0"/>
              <w:spacing w:before="0" w:beforeAutospacing="0" w:after="0" w:afterAutospacing="0" w:line="280" w:lineRule="exact"/>
              <w:ind w:left="0" w:leftChars="0" w:right="0" w:rightChars="0" w:firstLine="0" w:firstLineChars="0"/>
              <w:jc w:val="center"/>
              <w:rPr>
                <w:rFonts w:hint="eastAsia" w:ascii="Times New Roman" w:hAnsi="Times New Roman" w:cs="Times New Roman"/>
                <w:color w:val="auto"/>
                <w:spacing w:val="0"/>
                <w:sz w:val="21"/>
                <w:szCs w:val="21"/>
                <w:lang w:val="en-US" w:eastAsia="zh-CN"/>
              </w:rPr>
            </w:pPr>
            <w:r>
              <w:rPr>
                <w:rFonts w:hint="eastAsia" w:cs="Times New Roman"/>
                <w:color w:val="000000" w:themeColor="text1"/>
                <w:szCs w:val="21"/>
                <w:lang w:eastAsia="zh-CN"/>
                <w14:textFill>
                  <w14:solidFill>
                    <w14:schemeClr w14:val="tx1"/>
                  </w14:solidFill>
                </w14:textFill>
              </w:rPr>
              <w:t>污水处理恶臭</w:t>
            </w:r>
          </w:p>
        </w:tc>
        <w:tc>
          <w:tcPr>
            <w:tcW w:w="1175" w:type="dxa"/>
            <w:noWrap w:val="0"/>
            <w:vAlign w:val="center"/>
          </w:tcPr>
          <w:p w14:paraId="46B642EB">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pacing w:val="0"/>
                <w:sz w:val="21"/>
                <w:szCs w:val="21"/>
                <w:lang w:eastAsia="zh-CN"/>
              </w:rPr>
            </w:pPr>
            <w:r>
              <w:rPr>
                <w:rFonts w:hint="eastAsia"/>
                <w:color w:val="auto"/>
                <w:szCs w:val="21"/>
                <w:lang w:eastAsia="zh-CN"/>
              </w:rPr>
              <w:t>氨、硫化氢、臭气浓度</w:t>
            </w:r>
          </w:p>
        </w:tc>
        <w:tc>
          <w:tcPr>
            <w:tcW w:w="1838" w:type="dxa"/>
            <w:noWrap w:val="0"/>
            <w:vAlign w:val="center"/>
          </w:tcPr>
          <w:p w14:paraId="5C0075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000000"/>
                <w:spacing w:val="0"/>
                <w:sz w:val="21"/>
                <w:szCs w:val="21"/>
                <w:highlight w:val="none"/>
                <w:lang w:val="en-US" w:eastAsia="zh-CN"/>
              </w:rPr>
              <w:t>活性炭吸附装置</w:t>
            </w:r>
            <w:r>
              <w:rPr>
                <w:rFonts w:hint="default" w:ascii="Times New Roman" w:hAnsi="Times New Roman" w:eastAsia="宋体" w:cs="Times New Roman"/>
                <w:color w:val="000000"/>
                <w:spacing w:val="0"/>
                <w:sz w:val="21"/>
                <w:szCs w:val="21"/>
                <w:highlight w:val="none"/>
                <w:lang w:val="en-US" w:eastAsia="zh-CN"/>
              </w:rPr>
              <w:t>+</w:t>
            </w:r>
            <w:r>
              <w:rPr>
                <w:rFonts w:hint="eastAsia" w:ascii="Times New Roman" w:hAnsi="Times New Roman" w:eastAsia="宋体" w:cs="Times New Roman"/>
                <w:color w:val="000000"/>
                <w:spacing w:val="0"/>
                <w:sz w:val="21"/>
                <w:szCs w:val="21"/>
                <w:highlight w:val="none"/>
                <w:lang w:val="en-US" w:eastAsia="zh-CN"/>
              </w:rPr>
              <w:t>15</w:t>
            </w:r>
            <w:r>
              <w:rPr>
                <w:rFonts w:hint="default" w:ascii="Times New Roman" w:hAnsi="Times New Roman" w:eastAsia="宋体" w:cs="Times New Roman"/>
                <w:color w:val="000000"/>
                <w:spacing w:val="0"/>
                <w:sz w:val="21"/>
                <w:szCs w:val="21"/>
                <w:highlight w:val="none"/>
                <w:lang w:val="en-US" w:eastAsia="zh-CN"/>
              </w:rPr>
              <w:t>m排气筒</w:t>
            </w:r>
            <w:r>
              <w:rPr>
                <w:rFonts w:hint="eastAsia"/>
                <w:color w:val="000000"/>
                <w:sz w:val="21"/>
                <w:szCs w:val="21"/>
                <w:lang w:eastAsia="zh-CN"/>
              </w:rPr>
              <w:t>（</w:t>
            </w:r>
            <w:r>
              <w:rPr>
                <w:rFonts w:hint="eastAsia"/>
                <w:color w:val="000000"/>
                <w:sz w:val="21"/>
                <w:szCs w:val="21"/>
                <w:lang w:val="en-US" w:eastAsia="zh-CN"/>
              </w:rPr>
              <w:t>DA008</w:t>
            </w:r>
            <w:r>
              <w:rPr>
                <w:rFonts w:hint="eastAsia"/>
                <w:color w:val="000000"/>
                <w:sz w:val="21"/>
                <w:szCs w:val="21"/>
                <w:lang w:eastAsia="zh-CN"/>
              </w:rPr>
              <w:t>）</w:t>
            </w:r>
          </w:p>
        </w:tc>
        <w:tc>
          <w:tcPr>
            <w:tcW w:w="3327" w:type="dxa"/>
            <w:noWrap w:val="0"/>
            <w:vAlign w:val="center"/>
          </w:tcPr>
          <w:p w14:paraId="5AB1695D">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eastAsia" w:ascii="Times New Roman" w:hAnsi="Times New Roman" w:eastAsia="宋体" w:cs="Times New Roman"/>
                <w:color w:val="0000FF"/>
                <w:spacing w:val="0"/>
                <w:kern w:val="21"/>
                <w:sz w:val="21"/>
                <w:szCs w:val="21"/>
                <w:highlight w:val="none"/>
                <w:lang w:val="en-US" w:eastAsia="zh-CN" w:bidi="ar-SA"/>
              </w:rPr>
            </w:pPr>
            <w:r>
              <w:rPr>
                <w:rFonts w:hint="eastAsia"/>
                <w:color w:val="000000"/>
                <w:szCs w:val="21"/>
                <w:lang w:val="en-US" w:eastAsia="zh-CN"/>
              </w:rPr>
              <w:t>《恶臭污染物排放标准》GB14554-93）表2中排放限值</w:t>
            </w:r>
          </w:p>
        </w:tc>
      </w:tr>
      <w:tr w14:paraId="71F07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68" w:type="dxa"/>
            <w:vMerge w:val="continue"/>
            <w:noWrap w:val="0"/>
            <w:vAlign w:val="center"/>
          </w:tcPr>
          <w:p w14:paraId="67631D90">
            <w:pPr>
              <w:keepNext w:val="0"/>
              <w:keepLines w:val="0"/>
              <w:suppressLineNumbers w:val="0"/>
              <w:adjustRightInd w:val="0"/>
              <w:snapToGrid w:val="0"/>
              <w:spacing w:before="0" w:beforeAutospacing="0" w:after="0" w:afterAutospacing="0"/>
              <w:ind w:left="0" w:leftChars="0" w:right="0" w:rightChars="0"/>
              <w:jc w:val="center"/>
              <w:rPr>
                <w:rFonts w:hint="default"/>
                <w:color w:val="auto"/>
                <w:spacing w:val="0"/>
              </w:rPr>
            </w:pPr>
          </w:p>
        </w:tc>
        <w:tc>
          <w:tcPr>
            <w:tcW w:w="1744" w:type="dxa"/>
            <w:vMerge w:val="restart"/>
            <w:shd w:val="clear" w:color="auto" w:fill="auto"/>
            <w:noWrap w:val="0"/>
            <w:vAlign w:val="center"/>
          </w:tcPr>
          <w:p w14:paraId="6169712F">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sz w:val="21"/>
                <w:szCs w:val="21"/>
              </w:rPr>
              <w:t>无组织废气</w:t>
            </w:r>
          </w:p>
        </w:tc>
        <w:tc>
          <w:tcPr>
            <w:tcW w:w="1175" w:type="dxa"/>
            <w:noWrap w:val="0"/>
            <w:vAlign w:val="center"/>
          </w:tcPr>
          <w:p w14:paraId="4E4B6FA2">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auto"/>
                <w:spacing w:val="0"/>
                <w:lang w:eastAsia="zh-CN"/>
              </w:rPr>
            </w:pPr>
            <w:r>
              <w:rPr>
                <w:rFonts w:hint="eastAsia"/>
                <w:color w:val="auto"/>
                <w:spacing w:val="0"/>
                <w:lang w:eastAsia="zh-CN"/>
              </w:rPr>
              <w:t>颗粒物</w:t>
            </w:r>
          </w:p>
        </w:tc>
        <w:tc>
          <w:tcPr>
            <w:tcW w:w="1838" w:type="dxa"/>
            <w:vMerge w:val="restart"/>
            <w:shd w:val="clear" w:color="auto" w:fill="auto"/>
            <w:noWrap w:val="0"/>
            <w:vAlign w:val="center"/>
          </w:tcPr>
          <w:p w14:paraId="3C7C4B74">
            <w:pPr>
              <w:pStyle w:val="5"/>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20" w:firstLineChars="200"/>
              <w:jc w:val="both"/>
              <w:textAlignment w:val="auto"/>
              <w:rPr>
                <w:rFonts w:hint="default" w:ascii="Calibri" w:hAnsi="Calibri" w:eastAsia="宋体" w:cs="Times New Roman"/>
                <w:color w:val="auto"/>
                <w:kern w:val="2"/>
                <w:sz w:val="21"/>
                <w:szCs w:val="21"/>
                <w:lang w:val="en-US" w:eastAsia="zh-CN" w:bidi="ar-SA"/>
              </w:rPr>
            </w:pPr>
            <w:r>
              <w:rPr>
                <w:rFonts w:hint="eastAsia"/>
                <w:color w:val="auto"/>
                <w:sz w:val="21"/>
                <w:szCs w:val="21"/>
                <w:lang w:eastAsia="zh-CN"/>
              </w:rPr>
              <w:t>生产</w:t>
            </w:r>
            <w:r>
              <w:rPr>
                <w:rFonts w:hint="eastAsia"/>
                <w:color w:val="auto"/>
                <w:sz w:val="21"/>
                <w:szCs w:val="21"/>
              </w:rPr>
              <w:t>车间密闭</w:t>
            </w:r>
            <w:r>
              <w:rPr>
                <w:rFonts w:hint="eastAsia"/>
                <w:color w:val="auto"/>
                <w:sz w:val="21"/>
                <w:szCs w:val="21"/>
                <w:lang w:eastAsia="zh-CN"/>
              </w:rPr>
              <w:t>，</w:t>
            </w:r>
            <w:r>
              <w:rPr>
                <w:rFonts w:hint="eastAsia"/>
                <w:color w:val="auto"/>
                <w:sz w:val="21"/>
                <w:szCs w:val="21"/>
              </w:rPr>
              <w:t>加强废气收集措施</w:t>
            </w:r>
            <w:r>
              <w:rPr>
                <w:rFonts w:hint="eastAsia"/>
                <w:color w:val="auto"/>
                <w:sz w:val="21"/>
                <w:szCs w:val="21"/>
                <w:lang w:eastAsia="zh-CN"/>
              </w:rPr>
              <w:t>，污水处理站密闭运行，喷洒除臭剂。</w:t>
            </w:r>
          </w:p>
        </w:tc>
        <w:tc>
          <w:tcPr>
            <w:tcW w:w="3327" w:type="dxa"/>
            <w:noWrap w:val="0"/>
            <w:vAlign w:val="center"/>
          </w:tcPr>
          <w:p w14:paraId="682D84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rightChars="0" w:firstLine="420" w:firstLineChars="200"/>
              <w:jc w:val="both"/>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sz w:val="21"/>
                <w:szCs w:val="21"/>
              </w:rPr>
              <w:t>《</w:t>
            </w:r>
            <w:r>
              <w:rPr>
                <w:rFonts w:hint="eastAsia" w:cs="Times New Roman"/>
                <w:sz w:val="21"/>
                <w:szCs w:val="21"/>
                <w:lang w:eastAsia="zh-CN"/>
              </w:rPr>
              <w:t>大气污染物综合排放标准</w:t>
            </w:r>
            <w:r>
              <w:rPr>
                <w:rFonts w:hint="default" w:ascii="Times New Roman" w:hAnsi="Times New Roman" w:cs="Times New Roman"/>
                <w:sz w:val="21"/>
                <w:szCs w:val="21"/>
              </w:rPr>
              <w:t>》（GB16297-1996）中表2无组织排放浓度监控限值要求</w:t>
            </w:r>
          </w:p>
        </w:tc>
      </w:tr>
      <w:tr w14:paraId="35BE2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068" w:type="dxa"/>
            <w:vMerge w:val="continue"/>
            <w:noWrap w:val="0"/>
            <w:vAlign w:val="center"/>
          </w:tcPr>
          <w:p w14:paraId="0F39F6DA">
            <w:pPr>
              <w:keepNext w:val="0"/>
              <w:keepLines w:val="0"/>
              <w:suppressLineNumbers w:val="0"/>
              <w:adjustRightInd w:val="0"/>
              <w:snapToGrid w:val="0"/>
              <w:spacing w:before="0" w:beforeAutospacing="0" w:after="0" w:afterAutospacing="0"/>
              <w:ind w:left="0" w:leftChars="0" w:right="0" w:rightChars="0"/>
              <w:jc w:val="center"/>
              <w:rPr>
                <w:rFonts w:hint="default"/>
                <w:color w:val="auto"/>
                <w:spacing w:val="0"/>
              </w:rPr>
            </w:pPr>
          </w:p>
        </w:tc>
        <w:tc>
          <w:tcPr>
            <w:tcW w:w="1744" w:type="dxa"/>
            <w:vMerge w:val="continue"/>
            <w:noWrap w:val="0"/>
            <w:vAlign w:val="center"/>
          </w:tcPr>
          <w:p w14:paraId="1E8DA8CE">
            <w:pPr>
              <w:keepNext w:val="0"/>
              <w:keepLines w:val="0"/>
              <w:suppressLineNumbers w:val="0"/>
              <w:adjustRightInd w:val="0"/>
              <w:snapToGrid w:val="0"/>
              <w:spacing w:before="0" w:beforeAutospacing="0" w:after="0" w:afterAutospacing="0"/>
              <w:ind w:left="0" w:leftChars="0" w:right="0" w:rightChars="0"/>
              <w:jc w:val="center"/>
              <w:rPr>
                <w:rFonts w:hint="default"/>
                <w:color w:val="auto"/>
                <w:spacing w:val="0"/>
              </w:rPr>
            </w:pPr>
          </w:p>
        </w:tc>
        <w:tc>
          <w:tcPr>
            <w:tcW w:w="1175" w:type="dxa"/>
            <w:noWrap w:val="0"/>
            <w:vAlign w:val="center"/>
          </w:tcPr>
          <w:p w14:paraId="16BC7F01">
            <w:pPr>
              <w:keepNext w:val="0"/>
              <w:keepLines w:val="0"/>
              <w:suppressLineNumbers w:val="0"/>
              <w:adjustRightInd w:val="0"/>
              <w:snapToGrid w:val="0"/>
              <w:spacing w:before="0" w:beforeAutospacing="0" w:after="0" w:afterAutospacing="0"/>
              <w:ind w:left="0" w:leftChars="0" w:right="0" w:rightChars="0"/>
              <w:jc w:val="center"/>
              <w:rPr>
                <w:rFonts w:hint="eastAsia"/>
                <w:color w:val="auto"/>
                <w:spacing w:val="0"/>
                <w:lang w:eastAsia="zh-CN"/>
              </w:rPr>
            </w:pPr>
            <w:r>
              <w:rPr>
                <w:rFonts w:hint="eastAsia"/>
                <w:color w:val="auto"/>
                <w:spacing w:val="0"/>
                <w:lang w:eastAsia="zh-CN"/>
              </w:rPr>
              <w:t>氨、硫化氢、臭气浓度</w:t>
            </w:r>
          </w:p>
        </w:tc>
        <w:tc>
          <w:tcPr>
            <w:tcW w:w="1838" w:type="dxa"/>
            <w:vMerge w:val="continue"/>
            <w:noWrap w:val="0"/>
            <w:vAlign w:val="center"/>
          </w:tcPr>
          <w:p w14:paraId="337D8A7D">
            <w:pPr>
              <w:keepNext w:val="0"/>
              <w:keepLines w:val="0"/>
              <w:pageBreakBefore w:val="0"/>
              <w:widowControl/>
              <w:suppressLineNumbers w:val="0"/>
              <w:kinsoku/>
              <w:wordWrap w:val="0"/>
              <w:overflowPunct/>
              <w:topLinePunct w:val="0"/>
              <w:bidi w:val="0"/>
              <w:adjustRightInd/>
              <w:snapToGrid/>
              <w:spacing w:before="0" w:beforeAutospacing="0" w:after="0" w:afterAutospacing="0"/>
              <w:ind w:left="0" w:leftChars="0" w:right="0" w:rightChars="0"/>
              <w:jc w:val="center"/>
              <w:textAlignment w:val="center"/>
              <w:rPr>
                <w:rFonts w:hint="default"/>
                <w:color w:val="auto"/>
                <w:spacing w:val="0"/>
              </w:rPr>
            </w:pPr>
          </w:p>
        </w:tc>
        <w:tc>
          <w:tcPr>
            <w:tcW w:w="3327" w:type="dxa"/>
            <w:noWrap w:val="0"/>
            <w:vAlign w:val="center"/>
          </w:tcPr>
          <w:p w14:paraId="060BE8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rightChars="0" w:firstLine="420" w:firstLineChars="200"/>
              <w:jc w:val="both"/>
              <w:textAlignment w:val="auto"/>
              <w:rPr>
                <w:rFonts w:hint="default" w:ascii="Times New Roman" w:hAnsi="Times New Roman" w:cs="Times New Roman"/>
                <w:sz w:val="21"/>
                <w:szCs w:val="21"/>
              </w:rPr>
            </w:pPr>
            <w:r>
              <w:rPr>
                <w:rFonts w:hint="eastAsia" w:ascii="Times New Roman" w:hAnsi="Times New Roman" w:eastAsia="宋体" w:cs="Times New Roman"/>
                <w:color w:val="auto"/>
                <w:kern w:val="2"/>
                <w:sz w:val="21"/>
                <w:szCs w:val="21"/>
                <w:lang w:val="en-US" w:eastAsia="zh-CN" w:bidi="ar-SA"/>
              </w:rPr>
              <w:t>《恶臭污染物排放标准》(GB14554-93)标准表1二级新扩改建标</w:t>
            </w:r>
          </w:p>
        </w:tc>
      </w:tr>
      <w:tr w14:paraId="12424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068" w:type="dxa"/>
            <w:vMerge w:val="restart"/>
            <w:noWrap w:val="0"/>
            <w:vAlign w:val="center"/>
          </w:tcPr>
          <w:p w14:paraId="31D09F1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地表水</w:t>
            </w:r>
          </w:p>
          <w:p w14:paraId="686361F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环境</w:t>
            </w:r>
          </w:p>
        </w:tc>
        <w:tc>
          <w:tcPr>
            <w:tcW w:w="1744" w:type="dxa"/>
            <w:shd w:val="clear" w:color="auto" w:fill="auto"/>
            <w:noWrap w:val="0"/>
            <w:vAlign w:val="center"/>
          </w:tcPr>
          <w:p w14:paraId="4C49770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生活废水</w:t>
            </w:r>
          </w:p>
        </w:tc>
        <w:tc>
          <w:tcPr>
            <w:tcW w:w="1175" w:type="dxa"/>
            <w:shd w:val="clear" w:color="auto" w:fill="auto"/>
            <w:noWrap w:val="0"/>
            <w:vAlign w:val="center"/>
          </w:tcPr>
          <w:p w14:paraId="3EAF840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pH</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COD、</w:t>
            </w:r>
          </w:p>
          <w:p w14:paraId="4079C3E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BOD</w:t>
            </w:r>
            <w:r>
              <w:rPr>
                <w:rFonts w:hint="eastAsia" w:ascii="Times New Roman" w:hAnsi="Times New Roman" w:eastAsia="宋体" w:cs="Times New Roman"/>
                <w:color w:val="000000" w:themeColor="text1"/>
                <w:sz w:val="21"/>
                <w:szCs w:val="21"/>
                <w:vertAlign w:val="subscript"/>
                <w14:textFill>
                  <w14:solidFill>
                    <w14:schemeClr w14:val="tx1"/>
                  </w14:solidFill>
                </w14:textFill>
              </w:rPr>
              <w:t>5</w:t>
            </w:r>
            <w:r>
              <w:rPr>
                <w:rFonts w:hint="eastAsia" w:ascii="Times New Roman" w:hAnsi="Times New Roman" w:eastAsia="宋体" w:cs="Times New Roman"/>
                <w:color w:val="000000" w:themeColor="text1"/>
                <w:sz w:val="21"/>
                <w:szCs w:val="21"/>
                <w14:textFill>
                  <w14:solidFill>
                    <w14:schemeClr w14:val="tx1"/>
                  </w14:solidFill>
                </w14:textFill>
              </w:rPr>
              <w:t xml:space="preserve"> 、氨</w:t>
            </w:r>
          </w:p>
          <w:p w14:paraId="7B9E0D2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pacing w:val="0"/>
                <w:kern w:val="2"/>
                <w:sz w:val="21"/>
                <w:szCs w:val="21"/>
                <w:lang w:val="en-US" w:eastAsia="zh-CN" w:bidi="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氮、SS</w:t>
            </w:r>
          </w:p>
        </w:tc>
        <w:tc>
          <w:tcPr>
            <w:tcW w:w="1838" w:type="dxa"/>
            <w:shd w:val="clear" w:color="auto" w:fill="auto"/>
            <w:noWrap w:val="0"/>
            <w:vAlign w:val="center"/>
          </w:tcPr>
          <w:p w14:paraId="2E944330">
            <w:pPr>
              <w:keepNext w:val="0"/>
              <w:keepLines w:val="0"/>
              <w:suppressLineNumbers w:val="0"/>
              <w:adjustRightInd w:val="0"/>
              <w:snapToGrid w:val="0"/>
              <w:spacing w:before="0" w:beforeAutospacing="0" w:after="0" w:afterAutospacing="0"/>
              <w:ind w:left="0" w:right="0" w:firstLine="420" w:firstLineChars="200"/>
              <w:jc w:val="both"/>
              <w:rPr>
                <w:rFonts w:hint="eastAsia" w:ascii="Times New Roman" w:hAnsi="Times New Roman" w:eastAsia="宋体" w:cs="Times New Roman"/>
                <w:color w:val="000000" w:themeColor="text1"/>
                <w:spacing w:val="0"/>
                <w:kern w:val="2"/>
                <w:sz w:val="21"/>
                <w:szCs w:val="21"/>
                <w:lang w:val="en-US" w:eastAsia="zh-CN" w:bidi="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生活废水</w:t>
            </w:r>
            <w:r>
              <w:rPr>
                <w:rFonts w:hint="eastAsia" w:ascii="Times New Roman" w:hAnsi="Times New Roman" w:eastAsia="宋体" w:cs="Times New Roman"/>
                <w:color w:val="000000" w:themeColor="text1"/>
                <w:sz w:val="21"/>
                <w:szCs w:val="21"/>
                <w:lang w:eastAsia="zh-CN"/>
                <w14:textFill>
                  <w14:solidFill>
                    <w14:schemeClr w14:val="tx1"/>
                  </w14:solidFill>
                </w14:textFill>
              </w:rPr>
              <w:t>经化粪池处理后，由园区污水管网排入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魏县经济开发区污水处理有限公司</w:t>
            </w:r>
            <w:r>
              <w:rPr>
                <w:rFonts w:hint="eastAsia" w:ascii="Times New Roman" w:hAnsi="Times New Roman" w:eastAsia="宋体" w:cs="Times New Roman"/>
                <w:color w:val="000000" w:themeColor="text1"/>
                <w:sz w:val="21"/>
                <w:szCs w:val="21"/>
                <w:lang w:eastAsia="zh-CN"/>
                <w14:textFill>
                  <w14:solidFill>
                    <w14:schemeClr w14:val="tx1"/>
                  </w14:solidFill>
                </w14:textFill>
              </w:rPr>
              <w:t>处理</w:t>
            </w:r>
          </w:p>
        </w:tc>
        <w:tc>
          <w:tcPr>
            <w:tcW w:w="3327" w:type="dxa"/>
            <w:vMerge w:val="restart"/>
            <w:shd w:val="clear" w:color="auto" w:fill="auto"/>
            <w:noWrap w:val="0"/>
            <w:vAlign w:val="center"/>
          </w:tcPr>
          <w:p w14:paraId="6531A3DD">
            <w:pPr>
              <w:keepNext w:val="0"/>
              <w:keepLines w:val="0"/>
              <w:suppressLineNumbers w:val="0"/>
              <w:adjustRightInd w:val="0"/>
              <w:snapToGrid w:val="0"/>
              <w:spacing w:before="0" w:beforeAutospacing="0" w:after="0" w:afterAutospacing="0"/>
              <w:ind w:left="0" w:right="0" w:firstLine="420" w:firstLineChars="20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《污水综合排放标准》（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GB8978-1996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）表4三级标准，同时满足魏县经济开发区污水处理有限公司进水水质要求</w:t>
            </w:r>
          </w:p>
        </w:tc>
      </w:tr>
      <w:tr w14:paraId="2479A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68" w:type="dxa"/>
            <w:vMerge w:val="continue"/>
            <w:noWrap w:val="0"/>
            <w:vAlign w:val="center"/>
          </w:tcPr>
          <w:p w14:paraId="52B4189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p>
        </w:tc>
        <w:tc>
          <w:tcPr>
            <w:tcW w:w="1744" w:type="dxa"/>
            <w:shd w:val="clear" w:color="auto" w:fill="auto"/>
            <w:noWrap w:val="0"/>
            <w:vAlign w:val="center"/>
          </w:tcPr>
          <w:p w14:paraId="7A4EB3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生产废水</w:t>
            </w:r>
          </w:p>
        </w:tc>
        <w:tc>
          <w:tcPr>
            <w:tcW w:w="1175" w:type="dxa"/>
            <w:shd w:val="clear" w:color="auto" w:fill="auto"/>
            <w:noWrap w:val="0"/>
            <w:vAlign w:val="center"/>
          </w:tcPr>
          <w:p w14:paraId="181583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rPr>
            </w:pPr>
            <w:r>
              <w:rPr>
                <w:rFonts w:hint="eastAsia"/>
                <w:color w:val="auto"/>
                <w:lang w:val="en-US" w:eastAsia="zh-CN"/>
              </w:rPr>
              <w:t>pH、</w:t>
            </w:r>
            <w:r>
              <w:rPr>
                <w:rFonts w:hint="default" w:ascii="Times New Roman" w:hAnsi="Times New Roman" w:eastAsia="宋体" w:cs="Times New Roman"/>
                <w:color w:val="auto"/>
                <w:sz w:val="21"/>
                <w:szCs w:val="21"/>
              </w:rPr>
              <w:t>COD</w:t>
            </w:r>
          </w:p>
          <w:p w14:paraId="2A5A17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vertAlign w:val="subscript"/>
              </w:rPr>
            </w:pP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p>
          <w:p w14:paraId="74D3D0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p w14:paraId="187B3B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SS</w:t>
            </w:r>
            <w:r>
              <w:rPr>
                <w:rFonts w:hint="eastAsia" w:eastAsia="宋体" w:cs="Times New Roman"/>
                <w:color w:val="auto"/>
                <w:sz w:val="21"/>
                <w:szCs w:val="21"/>
                <w:lang w:eastAsia="zh-CN"/>
              </w:rPr>
              <w:t>、</w:t>
            </w:r>
            <w:r>
              <w:rPr>
                <w:rFonts w:hint="eastAsia" w:cs="Times New Roman"/>
                <w:color w:val="auto"/>
                <w:sz w:val="21"/>
                <w:szCs w:val="21"/>
                <w:lang w:eastAsia="zh-CN"/>
              </w:rPr>
              <w:t>动植物油</w:t>
            </w:r>
          </w:p>
        </w:tc>
        <w:tc>
          <w:tcPr>
            <w:tcW w:w="1838" w:type="dxa"/>
            <w:shd w:val="clear" w:color="auto" w:fill="auto"/>
            <w:noWrap w:val="0"/>
            <w:vAlign w:val="center"/>
          </w:tcPr>
          <w:p w14:paraId="178F8452">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经厂区污水处理站“格栅+沉淀+调节+破乳+絮凝+气浮+A/O+沉淀”处理后经园区污水管网排入魏县经济开发区污水处理有限公司</w:t>
            </w:r>
          </w:p>
        </w:tc>
        <w:tc>
          <w:tcPr>
            <w:tcW w:w="3327" w:type="dxa"/>
            <w:vMerge w:val="continue"/>
            <w:shd w:val="clear" w:color="auto" w:fill="auto"/>
            <w:noWrap w:val="0"/>
            <w:vAlign w:val="center"/>
          </w:tcPr>
          <w:p w14:paraId="1B13014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r>
      <w:tr w14:paraId="3299E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noWrap w:val="0"/>
            <w:vAlign w:val="center"/>
          </w:tcPr>
          <w:p w14:paraId="4CBC499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声环境</w:t>
            </w:r>
          </w:p>
        </w:tc>
        <w:tc>
          <w:tcPr>
            <w:tcW w:w="1744" w:type="dxa"/>
            <w:shd w:val="clear" w:color="auto" w:fill="auto"/>
            <w:noWrap w:val="0"/>
            <w:vAlign w:val="center"/>
          </w:tcPr>
          <w:p w14:paraId="4EFBAF64">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厂界噪声</w:t>
            </w:r>
          </w:p>
          <w:p w14:paraId="3AEF34A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/设备运行</w:t>
            </w:r>
          </w:p>
        </w:tc>
        <w:tc>
          <w:tcPr>
            <w:tcW w:w="1175" w:type="dxa"/>
            <w:noWrap w:val="0"/>
            <w:vAlign w:val="center"/>
          </w:tcPr>
          <w:p w14:paraId="397E37A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0"/>
                <w:sz w:val="21"/>
                <w:szCs w:val="21"/>
                <w:lang w:eastAsia="zh-CN"/>
              </w:rPr>
            </w:pPr>
            <w:r>
              <w:rPr>
                <w:rFonts w:hint="default" w:ascii="Times New Roman" w:hAnsi="Times New Roman" w:cs="Times New Roman"/>
                <w:color w:val="auto"/>
                <w:szCs w:val="21"/>
                <w:lang w:eastAsia="zh-CN"/>
              </w:rPr>
              <w:t>等效噪声</w:t>
            </w:r>
          </w:p>
        </w:tc>
        <w:tc>
          <w:tcPr>
            <w:tcW w:w="1838" w:type="dxa"/>
            <w:noWrap w:val="0"/>
            <w:vAlign w:val="center"/>
          </w:tcPr>
          <w:p w14:paraId="45894FF5">
            <w:pPr>
              <w:keepNext w:val="0"/>
              <w:keepLines w:val="0"/>
              <w:suppressLineNumbers w:val="0"/>
              <w:spacing w:before="0" w:beforeAutospacing="0" w:after="0" w:afterAutospacing="0"/>
              <w:ind w:left="-105" w:leftChars="-50" w:right="-105" w:rightChars="-50"/>
              <w:jc w:val="center"/>
              <w:rPr>
                <w:rFonts w:hint="default" w:ascii="Times New Roman" w:hAnsi="Times New Roman" w:cs="Times New Roman"/>
                <w:color w:val="auto"/>
                <w:spacing w:val="0"/>
                <w:sz w:val="21"/>
                <w:szCs w:val="21"/>
              </w:rPr>
            </w:pPr>
            <w:r>
              <w:rPr>
                <w:rFonts w:hint="default" w:ascii="Times New Roman" w:hAnsi="Times New Roman" w:cs="Times New Roman"/>
                <w:color w:val="000000" w:themeColor="text1"/>
                <w:spacing w:val="0"/>
                <w:kern w:val="0"/>
                <w:sz w:val="21"/>
                <w:szCs w:val="21"/>
                <w:lang w:eastAsia="zh-CN"/>
                <w14:textFill>
                  <w14:solidFill>
                    <w14:schemeClr w14:val="tx1"/>
                  </w14:solidFill>
                </w14:textFill>
              </w:rPr>
              <w:t>选用</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低噪声设备</w:t>
            </w:r>
            <w:r>
              <w:rPr>
                <w:rFonts w:hint="default" w:ascii="Times New Roman" w:hAnsi="Times New Roman" w:cs="Times New Roman"/>
                <w:color w:val="000000" w:themeColor="text1"/>
                <w:spacing w:val="0"/>
                <w:kern w:val="0"/>
                <w:sz w:val="21"/>
                <w:szCs w:val="21"/>
                <w:lang w:eastAsia="zh-CN"/>
                <w14:textFill>
                  <w14:solidFill>
                    <w14:schemeClr w14:val="tx1"/>
                  </w14:solidFill>
                </w14:textFill>
              </w:rPr>
              <w:t>，采用</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基础减振、厂房隔声、距离衰减</w:t>
            </w:r>
            <w:r>
              <w:rPr>
                <w:rFonts w:hint="default" w:ascii="Times New Roman" w:hAnsi="Times New Roman" w:cs="Times New Roman"/>
                <w:color w:val="000000" w:themeColor="text1"/>
                <w:spacing w:val="0"/>
                <w:kern w:val="0"/>
                <w:sz w:val="21"/>
                <w:szCs w:val="21"/>
                <w:lang w:eastAsia="zh-CN"/>
                <w14:textFill>
                  <w14:solidFill>
                    <w14:schemeClr w14:val="tx1"/>
                  </w14:solidFill>
                </w14:textFill>
              </w:rPr>
              <w:t>等</w:t>
            </w:r>
          </w:p>
        </w:tc>
        <w:tc>
          <w:tcPr>
            <w:tcW w:w="3327" w:type="dxa"/>
            <w:noWrap w:val="0"/>
            <w:vAlign w:val="center"/>
          </w:tcPr>
          <w:p w14:paraId="1699A5F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eastAsia" w:cs="Times New Roman"/>
                <w:color w:val="auto"/>
                <w:spacing w:val="0"/>
                <w:sz w:val="21"/>
                <w:szCs w:val="21"/>
                <w:lang w:val="en-US" w:eastAsia="zh-CN"/>
              </w:rPr>
              <w:t xml:space="preserve">  </w:t>
            </w:r>
            <w:r>
              <w:rPr>
                <w:rFonts w:hint="default" w:ascii="Times New Roman" w:hAnsi="Times New Roman" w:cs="Times New Roman"/>
                <w:color w:val="auto"/>
                <w:spacing w:val="0"/>
                <w:sz w:val="21"/>
                <w:szCs w:val="21"/>
              </w:rPr>
              <w:t>《工业企业厂界环境噪声排放标准》(GB12348-2008) 3类标准</w:t>
            </w:r>
          </w:p>
        </w:tc>
      </w:tr>
      <w:tr w14:paraId="58011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noWrap w:val="0"/>
            <w:vAlign w:val="center"/>
          </w:tcPr>
          <w:p w14:paraId="7192E21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电磁辐射</w:t>
            </w:r>
          </w:p>
        </w:tc>
        <w:tc>
          <w:tcPr>
            <w:tcW w:w="1744" w:type="dxa"/>
            <w:noWrap w:val="0"/>
            <w:vAlign w:val="center"/>
          </w:tcPr>
          <w:p w14:paraId="2B646D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w:t>
            </w:r>
          </w:p>
        </w:tc>
        <w:tc>
          <w:tcPr>
            <w:tcW w:w="1175" w:type="dxa"/>
            <w:noWrap w:val="0"/>
            <w:vAlign w:val="center"/>
          </w:tcPr>
          <w:p w14:paraId="0528A3E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0"/>
                <w:sz w:val="21"/>
                <w:szCs w:val="21"/>
                <w:lang w:eastAsia="zh-CN"/>
              </w:rPr>
            </w:pPr>
            <w:r>
              <w:rPr>
                <w:rFonts w:hint="default" w:ascii="Times New Roman" w:hAnsi="Times New Roman" w:cs="Times New Roman"/>
                <w:color w:val="auto"/>
                <w:spacing w:val="0"/>
                <w:sz w:val="21"/>
                <w:szCs w:val="21"/>
                <w:lang w:val="en-US" w:eastAsia="zh-CN"/>
              </w:rPr>
              <w:t>/</w:t>
            </w:r>
          </w:p>
        </w:tc>
        <w:tc>
          <w:tcPr>
            <w:tcW w:w="1838" w:type="dxa"/>
            <w:noWrap w:val="0"/>
            <w:vAlign w:val="center"/>
          </w:tcPr>
          <w:p w14:paraId="2F40290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w:t>
            </w:r>
          </w:p>
        </w:tc>
        <w:tc>
          <w:tcPr>
            <w:tcW w:w="3327" w:type="dxa"/>
            <w:noWrap w:val="0"/>
            <w:vAlign w:val="center"/>
          </w:tcPr>
          <w:p w14:paraId="572AE9D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w:t>
            </w:r>
          </w:p>
        </w:tc>
      </w:tr>
      <w:tr w14:paraId="76E40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vMerge w:val="restart"/>
            <w:noWrap w:val="0"/>
            <w:vAlign w:val="center"/>
          </w:tcPr>
          <w:p w14:paraId="0DCFDF0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固体废物</w:t>
            </w:r>
          </w:p>
        </w:tc>
        <w:tc>
          <w:tcPr>
            <w:tcW w:w="4757" w:type="dxa"/>
            <w:gridSpan w:val="3"/>
            <w:shd w:val="clear" w:color="auto" w:fill="auto"/>
            <w:noWrap w:val="0"/>
            <w:vAlign w:val="center"/>
          </w:tcPr>
          <w:p w14:paraId="675A217D">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420" w:firstLineChars="200"/>
              <w:jc w:val="left"/>
              <w:textAlignment w:val="auto"/>
              <w:rPr>
                <w:rFonts w:hint="default" w:ascii="Times New Roman" w:hAnsi="Times New Roman" w:eastAsia="宋体" w:cs="Times New Roman"/>
                <w:color w:val="000000" w:themeColor="text1"/>
                <w:spacing w:val="0"/>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spacing w:val="0"/>
                <w:sz w:val="21"/>
                <w:szCs w:val="21"/>
                <w:highlight w:val="none"/>
                <w:lang w:eastAsia="zh-CN"/>
                <w14:textFill>
                  <w14:solidFill>
                    <w14:schemeClr w14:val="tx1"/>
                  </w14:solidFill>
                </w14:textFill>
              </w:rPr>
              <w:t>一般工业固体废物：污水处理站污泥、包装工序废包装材料、浸泡清洗</w:t>
            </w:r>
            <w:r>
              <w:rPr>
                <w:rFonts w:hint="eastAsia" w:cs="Times New Roman"/>
                <w:color w:val="000000" w:themeColor="text1"/>
                <w:spacing w:val="0"/>
                <w:sz w:val="21"/>
                <w:szCs w:val="21"/>
                <w:highlight w:val="none"/>
                <w:lang w:eastAsia="zh-CN"/>
                <w14:textFill>
                  <w14:solidFill>
                    <w14:schemeClr w14:val="tx1"/>
                  </w14:solidFill>
                </w14:textFill>
              </w:rPr>
              <w:t>、蒸煮</w:t>
            </w:r>
            <w:r>
              <w:rPr>
                <w:rFonts w:hint="eastAsia" w:cs="Times New Roman"/>
                <w:color w:val="000000" w:themeColor="text1"/>
                <w:spacing w:val="0"/>
                <w:sz w:val="21"/>
                <w:szCs w:val="21"/>
                <w:highlight w:val="none"/>
                <w:lang w:val="en-US" w:eastAsia="zh-CN"/>
                <w14:textFill>
                  <w14:solidFill>
                    <w14:schemeClr w14:val="tx1"/>
                  </w14:solidFill>
                </w14:textFill>
              </w:rPr>
              <w:t>/</w:t>
            </w:r>
            <w:r>
              <w:rPr>
                <w:rFonts w:hint="eastAsia" w:cs="Times New Roman"/>
                <w:color w:val="000000" w:themeColor="text1"/>
                <w:spacing w:val="0"/>
                <w:sz w:val="21"/>
                <w:szCs w:val="21"/>
                <w:highlight w:val="none"/>
                <w:lang w:eastAsia="zh-CN"/>
                <w14:textFill>
                  <w14:solidFill>
                    <w14:schemeClr w14:val="tx1"/>
                  </w14:solidFill>
                </w14:textFill>
              </w:rPr>
              <w:t>卤制</w:t>
            </w:r>
            <w:r>
              <w:rPr>
                <w:rFonts w:hint="default" w:ascii="Times New Roman" w:hAnsi="Times New Roman" w:cs="Times New Roman"/>
                <w:color w:val="000000" w:themeColor="text1"/>
                <w:spacing w:val="0"/>
                <w:sz w:val="21"/>
                <w:szCs w:val="21"/>
                <w:highlight w:val="none"/>
                <w:lang w:eastAsia="zh-CN"/>
                <w14:textFill>
                  <w14:solidFill>
                    <w14:schemeClr w14:val="tx1"/>
                  </w14:solidFill>
                </w14:textFill>
              </w:rPr>
              <w:t>工序废渣、检验工序不合格品、袋式除尘器除尘灰外售综合利用，职工生活垃圾委托环卫部门统一处置。</w:t>
            </w:r>
          </w:p>
        </w:tc>
        <w:tc>
          <w:tcPr>
            <w:tcW w:w="3327" w:type="dxa"/>
            <w:shd w:val="clear" w:color="auto" w:fill="auto"/>
            <w:noWrap w:val="0"/>
            <w:vAlign w:val="center"/>
          </w:tcPr>
          <w:p w14:paraId="6E116B22">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kern w:val="2"/>
                <w:sz w:val="21"/>
                <w:szCs w:val="24"/>
                <w:lang w:val="en-US" w:eastAsia="zh-CN" w:bidi="ar-SA"/>
              </w:rPr>
              <w:t>《一般工业固体废物贮存和填埋污染控制标准》(GB 18599-2020)</w:t>
            </w:r>
            <w:r>
              <w:rPr>
                <w:rFonts w:hint="default" w:ascii="Times New Roman" w:hAnsi="Times New Roman" w:cs="Times New Roman"/>
                <w:color w:val="auto"/>
                <w:spacing w:val="0"/>
                <w:kern w:val="2"/>
                <w:sz w:val="21"/>
                <w:szCs w:val="24"/>
                <w:lang w:val="en-US" w:eastAsia="zh-CN" w:bidi="ar-SA"/>
              </w:rPr>
              <w:t>要求</w:t>
            </w:r>
          </w:p>
        </w:tc>
      </w:tr>
      <w:tr w14:paraId="6FDC2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vMerge w:val="continue"/>
            <w:noWrap w:val="0"/>
            <w:vAlign w:val="center"/>
          </w:tcPr>
          <w:p w14:paraId="123235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p>
        </w:tc>
        <w:tc>
          <w:tcPr>
            <w:tcW w:w="4757" w:type="dxa"/>
            <w:gridSpan w:val="3"/>
            <w:noWrap w:val="0"/>
            <w:vAlign w:val="center"/>
          </w:tcPr>
          <w:p w14:paraId="5B9EFD4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420" w:firstLineChars="200"/>
              <w:jc w:val="left"/>
              <w:textAlignment w:val="auto"/>
              <w:rPr>
                <w:rFonts w:hint="eastAsia" w:ascii="Times New Roman" w:hAnsi="Times New Roman" w:eastAsia="宋体" w:cs="Times New Roman"/>
                <w:color w:val="000000" w:themeColor="text1"/>
                <w:spacing w:val="0"/>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spacing w:val="0"/>
                <w:sz w:val="21"/>
                <w:szCs w:val="21"/>
                <w:highlight w:val="none"/>
                <w:lang w:eastAsia="zh-CN"/>
                <w14:textFill>
                  <w14:solidFill>
                    <w14:schemeClr w14:val="tx1"/>
                  </w14:solidFill>
                </w14:textFill>
              </w:rPr>
              <w:t>危险废物：</w:t>
            </w:r>
            <w:r>
              <w:rPr>
                <w:rFonts w:hint="eastAsia" w:cs="Times New Roman"/>
                <w:color w:val="000000" w:themeColor="text1"/>
                <w:spacing w:val="0"/>
                <w:sz w:val="21"/>
                <w:szCs w:val="21"/>
                <w:highlight w:val="none"/>
                <w:lang w:eastAsia="zh-CN"/>
                <w14:textFill>
                  <w14:solidFill>
                    <w14:schemeClr w14:val="tx1"/>
                  </w14:solidFill>
                </w14:textFill>
              </w:rPr>
              <w:t>蒸煮</w:t>
            </w:r>
            <w:r>
              <w:rPr>
                <w:rFonts w:hint="eastAsia" w:cs="Times New Roman"/>
                <w:color w:val="000000" w:themeColor="text1"/>
                <w:spacing w:val="0"/>
                <w:sz w:val="21"/>
                <w:szCs w:val="21"/>
                <w:highlight w:val="none"/>
                <w:lang w:val="en-US" w:eastAsia="zh-CN"/>
                <w14:textFill>
                  <w14:solidFill>
                    <w14:schemeClr w14:val="tx1"/>
                  </w14:solidFill>
                </w14:textFill>
              </w:rPr>
              <w:t>/</w:t>
            </w:r>
            <w:r>
              <w:rPr>
                <w:rFonts w:hint="eastAsia" w:cs="Times New Roman"/>
                <w:color w:val="auto"/>
                <w:spacing w:val="0"/>
                <w:sz w:val="21"/>
                <w:szCs w:val="21"/>
                <w:highlight w:val="none"/>
                <w:lang w:eastAsia="zh-CN"/>
              </w:rPr>
              <w:t>卤制工序废气处理废活性炭、污水处理站废气处理废活性炭委托有资质单位统一处置。</w:t>
            </w:r>
          </w:p>
        </w:tc>
        <w:tc>
          <w:tcPr>
            <w:tcW w:w="3327" w:type="dxa"/>
            <w:noWrap w:val="0"/>
            <w:vAlign w:val="center"/>
          </w:tcPr>
          <w:p w14:paraId="64FB8C83">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0" w:beforeAutospacing="0" w:after="0" w:afterAutospacing="0"/>
              <w:ind w:left="-105" w:leftChars="-50" w:right="-105" w:rightChars="-50" w:firstLine="420" w:firstLineChars="200"/>
              <w:jc w:val="both"/>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《危险废物贮存污染控制标准》（GB 18597</w:t>
            </w:r>
            <w:r>
              <w:rPr>
                <w:rFonts w:hint="eastAsia" w:ascii="Times New Roman" w:hAnsi="Times New Roman" w:cs="Times New Roman"/>
                <w:color w:val="auto"/>
                <w:spacing w:val="0"/>
                <w:sz w:val="21"/>
                <w:szCs w:val="21"/>
                <w:lang w:val="en-US" w:eastAsia="zh-CN"/>
              </w:rPr>
              <w:t>-</w:t>
            </w:r>
            <w:r>
              <w:rPr>
                <w:rFonts w:hint="default" w:ascii="Times New Roman" w:hAnsi="Times New Roman" w:cs="Times New Roman"/>
                <w:color w:val="auto"/>
                <w:spacing w:val="0"/>
                <w:sz w:val="21"/>
                <w:szCs w:val="21"/>
                <w:lang w:val="en-US" w:eastAsia="zh-CN"/>
              </w:rPr>
              <w:t>2023）</w:t>
            </w:r>
          </w:p>
        </w:tc>
      </w:tr>
      <w:tr w14:paraId="332CA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vMerge w:val="continue"/>
            <w:noWrap w:val="0"/>
            <w:vAlign w:val="center"/>
          </w:tcPr>
          <w:p w14:paraId="2914708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p>
        </w:tc>
        <w:tc>
          <w:tcPr>
            <w:tcW w:w="4757" w:type="dxa"/>
            <w:gridSpan w:val="3"/>
            <w:noWrap w:val="0"/>
            <w:vAlign w:val="center"/>
          </w:tcPr>
          <w:p w14:paraId="33A7E2F5">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生活垃圾收集后由环卫部门统一清运处置。</w:t>
            </w:r>
          </w:p>
        </w:tc>
        <w:tc>
          <w:tcPr>
            <w:tcW w:w="3327" w:type="dxa"/>
            <w:noWrap w:val="0"/>
            <w:vAlign w:val="center"/>
          </w:tcPr>
          <w:p w14:paraId="372D2A9D">
            <w:pPr>
              <w:keepNext w:val="0"/>
              <w:keepLines w:val="0"/>
              <w:suppressLineNumbers w:val="0"/>
              <w:adjustRightInd w:val="0"/>
              <w:snapToGrid w:val="0"/>
              <w:spacing w:before="0" w:beforeAutospacing="0" w:after="0" w:afterAutospacing="0" w:line="400" w:lineRule="exact"/>
              <w:ind w:left="0" w:right="0" w:firstLine="420" w:firstLineChars="200"/>
              <w:jc w:val="both"/>
              <w:rPr>
                <w:rFonts w:hint="default" w:ascii="Times New Roman" w:hAnsi="Times New Roman" w:eastAsia="宋体" w:cs="宋体"/>
                <w:color w:val="auto"/>
                <w:kern w:val="2"/>
                <w:sz w:val="21"/>
                <w:szCs w:val="21"/>
                <w:lang w:val="en-US" w:eastAsia="zh-CN" w:bidi="ar-SA"/>
              </w:rPr>
            </w:pPr>
            <w:r>
              <w:rPr>
                <w:rFonts w:hint="eastAsia" w:cs="宋体"/>
                <w:color w:val="auto"/>
                <w:sz w:val="21"/>
                <w:szCs w:val="21"/>
              </w:rPr>
              <w:t>《中华人民共和国固体废物污染环境防治法》（2020年09月实施）中第四章中的相关内容</w:t>
            </w:r>
          </w:p>
        </w:tc>
      </w:tr>
      <w:tr w14:paraId="1DCAE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noWrap w:val="0"/>
            <w:vAlign w:val="center"/>
          </w:tcPr>
          <w:p w14:paraId="1A3811B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土壤及地下水污染防治措施</w:t>
            </w:r>
          </w:p>
        </w:tc>
        <w:tc>
          <w:tcPr>
            <w:tcW w:w="8084" w:type="dxa"/>
            <w:gridSpan w:val="4"/>
            <w:noWrap w:val="0"/>
            <w:vAlign w:val="center"/>
          </w:tcPr>
          <w:p w14:paraId="727FC0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20" w:lineRule="exact"/>
              <w:ind w:left="0" w:right="0" w:firstLine="42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1"/>
                <w:szCs w:val="21"/>
                <w:lang w:val="zh-CN" w:eastAsia="zh-CN" w:bidi="ar"/>
              </w:rPr>
              <w:t>为了避免污染地下水、土壤，</w:t>
            </w:r>
            <w:r>
              <w:rPr>
                <w:rFonts w:hint="default" w:ascii="Times New Roman" w:hAnsi="Times New Roman" w:eastAsia="宋体" w:cs="Times New Roman"/>
                <w:color w:val="auto"/>
                <w:kern w:val="2"/>
                <w:sz w:val="21"/>
                <w:szCs w:val="21"/>
                <w:lang w:val="en-US" w:eastAsia="zh-CN" w:bidi="ar"/>
              </w:rPr>
              <w:t>参照《环境影响评价技术导则地下水环境》（HJ610-2016）、《危险废物贮存污染控制标准》（GB18597-2023）的要求，</w:t>
            </w:r>
            <w:r>
              <w:rPr>
                <w:rFonts w:hint="default" w:ascii="Times New Roman" w:hAnsi="Times New Roman" w:eastAsia="宋体" w:cs="Times New Roman"/>
                <w:color w:val="auto"/>
                <w:kern w:val="2"/>
                <w:sz w:val="21"/>
                <w:szCs w:val="21"/>
                <w:lang w:val="zh-CN" w:eastAsia="zh-CN" w:bidi="ar"/>
              </w:rPr>
              <w:t>厂区相应的防控措施</w:t>
            </w:r>
            <w:r>
              <w:rPr>
                <w:rFonts w:hint="eastAsia" w:cs="Times New Roman"/>
                <w:color w:val="auto"/>
                <w:kern w:val="2"/>
                <w:sz w:val="21"/>
                <w:szCs w:val="21"/>
                <w:lang w:val="zh-CN" w:eastAsia="zh-CN" w:bidi="ar"/>
              </w:rPr>
              <w:t>见表</w:t>
            </w:r>
            <w:r>
              <w:rPr>
                <w:rFonts w:hint="eastAsia" w:cs="Times New Roman"/>
                <w:color w:val="auto"/>
                <w:kern w:val="2"/>
                <w:sz w:val="21"/>
                <w:szCs w:val="21"/>
                <w:lang w:val="en-US" w:eastAsia="zh-CN" w:bidi="ar"/>
              </w:rPr>
              <w:t>5-1</w:t>
            </w:r>
            <w:r>
              <w:rPr>
                <w:rFonts w:hint="default" w:ascii="Times New Roman" w:hAnsi="Times New Roman" w:eastAsia="宋体" w:cs="Times New Roman"/>
                <w:color w:val="auto"/>
                <w:kern w:val="2"/>
                <w:sz w:val="21"/>
                <w:szCs w:val="21"/>
                <w:lang w:val="en-US" w:eastAsia="zh-CN" w:bidi="ar"/>
              </w:rPr>
              <w:t>。</w:t>
            </w:r>
          </w:p>
          <w:p w14:paraId="0F4B937B">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Times New Roman" w:hAnsi="Times New Roman" w:eastAsia="宋体" w:cs="Times New Roman"/>
                <w:b/>
                <w:color w:val="auto"/>
                <w:kern w:val="2"/>
                <w:sz w:val="21"/>
                <w:szCs w:val="21"/>
                <w:highlight w:val="none"/>
                <w:lang w:val="en-US" w:eastAsia="zh-CN" w:bidi="ar-SA"/>
              </w:rPr>
            </w:pPr>
            <w:r>
              <w:rPr>
                <w:rFonts w:hint="eastAsia" w:cs="Times New Roman"/>
                <w:b/>
                <w:color w:val="auto"/>
                <w:kern w:val="2"/>
                <w:sz w:val="21"/>
                <w:szCs w:val="21"/>
                <w:highlight w:val="none"/>
                <w:lang w:val="en-US" w:eastAsia="zh-CN" w:bidi="ar-SA"/>
              </w:rPr>
              <w:t xml:space="preserve">表5-1  </w:t>
            </w:r>
            <w:r>
              <w:rPr>
                <w:rFonts w:hint="default" w:ascii="Times New Roman" w:hAnsi="Times New Roman" w:eastAsia="宋体" w:cs="Times New Roman"/>
                <w:b/>
                <w:color w:val="auto"/>
                <w:kern w:val="2"/>
                <w:sz w:val="21"/>
                <w:szCs w:val="21"/>
                <w:highlight w:val="none"/>
                <w:lang w:val="en-US" w:eastAsia="zh-CN" w:bidi="ar-SA"/>
              </w:rPr>
              <w:t>污染防治分区情况一览表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426"/>
              <w:gridCol w:w="1731"/>
              <w:gridCol w:w="4148"/>
            </w:tblGrid>
            <w:tr w14:paraId="2D9A81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56" w:type="pct"/>
                  <w:tcBorders>
                    <w:tl2br w:val="nil"/>
                    <w:tr2bl w:val="nil"/>
                  </w:tcBorders>
                  <w:noWrap w:val="0"/>
                  <w:vAlign w:val="center"/>
                </w:tcPr>
                <w:p w14:paraId="71DA197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序号</w:t>
                  </w:r>
                </w:p>
              </w:tc>
              <w:tc>
                <w:tcPr>
                  <w:tcW w:w="906" w:type="pct"/>
                  <w:tcBorders>
                    <w:tl2br w:val="nil"/>
                    <w:tr2bl w:val="nil"/>
                  </w:tcBorders>
                  <w:noWrap w:val="0"/>
                  <w:vAlign w:val="center"/>
                </w:tcPr>
                <w:p w14:paraId="57C1CA6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val="0"/>
                      <w:color w:val="auto"/>
                      <w:sz w:val="21"/>
                      <w:szCs w:val="21"/>
                      <w:lang w:eastAsia="zh-CN"/>
                    </w:rPr>
                  </w:pPr>
                  <w:r>
                    <w:rPr>
                      <w:rFonts w:hint="default" w:ascii="Times New Roman" w:hAnsi="Times New Roman" w:eastAsia="宋体" w:cs="Times New Roman"/>
                      <w:b/>
                      <w:bCs w:val="0"/>
                      <w:color w:val="auto"/>
                      <w:sz w:val="21"/>
                      <w:szCs w:val="21"/>
                      <w:lang w:eastAsia="zh-CN"/>
                    </w:rPr>
                    <w:t>防治分区</w:t>
                  </w:r>
                </w:p>
              </w:tc>
              <w:tc>
                <w:tcPr>
                  <w:tcW w:w="1100" w:type="pct"/>
                  <w:tcBorders>
                    <w:tl2br w:val="nil"/>
                    <w:tr2bl w:val="nil"/>
                  </w:tcBorders>
                  <w:noWrap w:val="0"/>
                  <w:vAlign w:val="center"/>
                </w:tcPr>
                <w:p w14:paraId="55E4733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val="0"/>
                      <w:color w:val="auto"/>
                      <w:sz w:val="21"/>
                      <w:szCs w:val="21"/>
                      <w:lang w:eastAsia="zh-CN"/>
                    </w:rPr>
                  </w:pPr>
                  <w:r>
                    <w:rPr>
                      <w:rFonts w:hint="default" w:ascii="Times New Roman" w:hAnsi="Times New Roman" w:cs="Times New Roman"/>
                      <w:b/>
                      <w:bCs w:val="0"/>
                      <w:color w:val="auto"/>
                      <w:sz w:val="21"/>
                      <w:szCs w:val="21"/>
                      <w:lang w:eastAsia="zh-CN"/>
                    </w:rPr>
                    <w:t>分区位置</w:t>
                  </w:r>
                </w:p>
              </w:tc>
              <w:tc>
                <w:tcPr>
                  <w:tcW w:w="2636" w:type="pct"/>
                  <w:tcBorders>
                    <w:tl2br w:val="nil"/>
                    <w:tr2bl w:val="nil"/>
                  </w:tcBorders>
                  <w:noWrap w:val="0"/>
                  <w:vAlign w:val="center"/>
                </w:tcPr>
                <w:p w14:paraId="7DEF981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
                      <w:bCs w:val="0"/>
                      <w:color w:val="auto"/>
                      <w:sz w:val="21"/>
                      <w:szCs w:val="21"/>
                      <w:lang w:eastAsia="zh-CN"/>
                    </w:rPr>
                  </w:pPr>
                  <w:r>
                    <w:rPr>
                      <w:rFonts w:hint="default" w:ascii="Times New Roman" w:hAnsi="Times New Roman" w:cs="Times New Roman"/>
                      <w:b/>
                      <w:bCs w:val="0"/>
                      <w:color w:val="auto"/>
                      <w:sz w:val="21"/>
                      <w:szCs w:val="21"/>
                      <w:lang w:eastAsia="zh-CN"/>
                    </w:rPr>
                    <w:t>防渗要求</w:t>
                  </w:r>
                </w:p>
              </w:tc>
            </w:tr>
            <w:tr w14:paraId="7776AA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6" w:type="pct"/>
                  <w:tcBorders>
                    <w:tl2br w:val="nil"/>
                    <w:tr2bl w:val="nil"/>
                  </w:tcBorders>
                  <w:noWrap w:val="0"/>
                  <w:vAlign w:val="center"/>
                </w:tcPr>
                <w:p w14:paraId="35898DD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1</w:t>
                  </w:r>
                </w:p>
              </w:tc>
              <w:tc>
                <w:tcPr>
                  <w:tcW w:w="906" w:type="pct"/>
                  <w:tcBorders>
                    <w:tl2br w:val="nil"/>
                    <w:tr2bl w:val="nil"/>
                  </w:tcBorders>
                  <w:noWrap w:val="0"/>
                  <w:vAlign w:val="center"/>
                </w:tcPr>
                <w:p w14:paraId="6E3B8973">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lang w:eastAsia="zh-CN"/>
                    </w:rPr>
                    <w:t>重点防渗区</w:t>
                  </w:r>
                </w:p>
              </w:tc>
              <w:tc>
                <w:tcPr>
                  <w:tcW w:w="1100" w:type="pct"/>
                  <w:tcBorders>
                    <w:tl2br w:val="nil"/>
                    <w:tr2bl w:val="nil"/>
                  </w:tcBorders>
                  <w:noWrap w:val="0"/>
                  <w:vAlign w:val="center"/>
                </w:tcPr>
                <w:p w14:paraId="2BA38D52">
                  <w:pPr>
                    <w:keepNext w:val="0"/>
                    <w:keepLines w:val="0"/>
                    <w:pageBreakBefore w:val="0"/>
                    <w:widowControl w:val="0"/>
                    <w:suppressLineNumbers w:val="0"/>
                    <w:kinsoku/>
                    <w:wordWrap w:val="0"/>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eastAsia="zh-CN"/>
                    </w:rPr>
                    <w:t>危废</w:t>
                  </w:r>
                  <w:r>
                    <w:rPr>
                      <w:rFonts w:hint="eastAsia" w:cs="Times New Roman"/>
                      <w:bCs/>
                      <w:color w:val="auto"/>
                      <w:sz w:val="21"/>
                      <w:szCs w:val="21"/>
                      <w:lang w:eastAsia="zh-CN"/>
                    </w:rPr>
                    <w:t>暂存间、污水处理站</w:t>
                  </w:r>
                </w:p>
              </w:tc>
              <w:tc>
                <w:tcPr>
                  <w:tcW w:w="2636" w:type="pct"/>
                  <w:tcBorders>
                    <w:tl2br w:val="nil"/>
                    <w:tr2bl w:val="nil"/>
                  </w:tcBorders>
                  <w:noWrap w:val="0"/>
                  <w:vAlign w:val="center"/>
                </w:tcPr>
                <w:p w14:paraId="14A51E99">
                  <w:pPr>
                    <w:keepNext w:val="0"/>
                    <w:keepLines w:val="0"/>
                    <w:pageBreakBefore w:val="0"/>
                    <w:widowControl w:val="0"/>
                    <w:suppressLineNumbers w:val="0"/>
                    <w:kinsoku/>
                    <w:wordWrap w:val="0"/>
                    <w:overflowPunct/>
                    <w:topLinePunct w:val="0"/>
                    <w:autoSpaceDE w:val="0"/>
                    <w:autoSpaceDN w:val="0"/>
                    <w:bidi w:val="0"/>
                    <w:adjustRightInd/>
                    <w:snapToGrid w:val="0"/>
                    <w:spacing w:before="0" w:beforeAutospacing="0" w:after="0" w:afterAutospacing="0" w:line="240" w:lineRule="auto"/>
                    <w:ind w:left="-105" w:leftChars="-50" w:right="-105" w:rightChars="-50" w:firstLine="420" w:firstLineChars="200"/>
                    <w:jc w:val="both"/>
                    <w:textAlignment w:val="auto"/>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color w:val="auto"/>
                      <w:sz w:val="21"/>
                      <w:szCs w:val="21"/>
                      <w:highlight w:val="none"/>
                    </w:rPr>
                    <w:t>基础防渗层为粘土层，其厚度应在1m以上，渗透系数应小于1.0×10</w:t>
                  </w:r>
                  <w:r>
                    <w:rPr>
                      <w:rFonts w:hint="default" w:ascii="Times New Roman" w:hAnsi="Times New Roman" w:eastAsia="宋体" w:cs="Times New Roman"/>
                      <w:color w:val="auto"/>
                      <w:sz w:val="21"/>
                      <w:szCs w:val="21"/>
                      <w:highlight w:val="none"/>
                      <w:vertAlign w:val="superscript"/>
                    </w:rPr>
                    <w:t>-7</w:t>
                  </w:r>
                  <w:r>
                    <w:rPr>
                      <w:rFonts w:hint="default" w:ascii="Times New Roman" w:hAnsi="Times New Roman" w:eastAsia="宋体" w:cs="Times New Roman"/>
                      <w:color w:val="auto"/>
                      <w:sz w:val="21"/>
                      <w:szCs w:val="21"/>
                      <w:highlight w:val="none"/>
                    </w:rPr>
                    <w:t>cm/s；基础防渗层也可用厚度在2mm以上的高密度聚乙烯或其他人工防渗材料组成，渗透系数应小于1.0×10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cm/s</w:t>
                  </w:r>
                  <w:r>
                    <w:rPr>
                      <w:rFonts w:hint="eastAsia" w:cs="Times New Roman"/>
                      <w:color w:val="auto"/>
                      <w:sz w:val="21"/>
                      <w:szCs w:val="21"/>
                      <w:highlight w:val="none"/>
                      <w:lang w:eastAsia="zh-CN"/>
                    </w:rPr>
                    <w:t>。</w:t>
                  </w:r>
                </w:p>
              </w:tc>
            </w:tr>
            <w:tr w14:paraId="7B9BAC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l2br w:val="nil"/>
                    <w:tr2bl w:val="nil"/>
                  </w:tcBorders>
                  <w:noWrap w:val="0"/>
                  <w:vAlign w:val="center"/>
                </w:tcPr>
                <w:p w14:paraId="2248F20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2</w:t>
                  </w:r>
                </w:p>
              </w:tc>
              <w:tc>
                <w:tcPr>
                  <w:tcW w:w="906" w:type="pct"/>
                  <w:tcBorders>
                    <w:tl2br w:val="nil"/>
                    <w:tr2bl w:val="nil"/>
                  </w:tcBorders>
                  <w:noWrap w:val="0"/>
                  <w:vAlign w:val="center"/>
                </w:tcPr>
                <w:p w14:paraId="1982C0A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lang w:eastAsia="zh-CN"/>
                    </w:rPr>
                    <w:t>一般防渗区</w:t>
                  </w:r>
                </w:p>
              </w:tc>
              <w:tc>
                <w:tcPr>
                  <w:tcW w:w="1100" w:type="pct"/>
                  <w:tcBorders>
                    <w:tl2br w:val="nil"/>
                    <w:tr2bl w:val="nil"/>
                  </w:tcBorders>
                  <w:noWrap w:val="0"/>
                  <w:vAlign w:val="center"/>
                </w:tcPr>
                <w:p w14:paraId="23E13F50">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生产车间其他区域</w:t>
                  </w:r>
                  <w:r>
                    <w:rPr>
                      <w:rFonts w:hint="default" w:ascii="Times New Roman" w:hAnsi="Times New Roman" w:eastAsia="宋体" w:cs="Times New Roman"/>
                      <w:bCs/>
                      <w:color w:val="auto"/>
                      <w:sz w:val="21"/>
                      <w:szCs w:val="21"/>
                      <w:lang w:val="en-US" w:eastAsia="zh-CN"/>
                    </w:rPr>
                    <w:t>车间</w:t>
                  </w:r>
                </w:p>
              </w:tc>
              <w:tc>
                <w:tcPr>
                  <w:tcW w:w="2636" w:type="pct"/>
                  <w:tcBorders>
                    <w:tl2br w:val="nil"/>
                    <w:tr2bl w:val="nil"/>
                  </w:tcBorders>
                  <w:noWrap w:val="0"/>
                  <w:vAlign w:val="center"/>
                </w:tcPr>
                <w:p w14:paraId="35C70AF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auto"/>
                      <w:sz w:val="21"/>
                      <w:szCs w:val="21"/>
                    </w:rPr>
                  </w:pPr>
                  <w:r>
                    <w:rPr>
                      <w:rFonts w:hint="default" w:ascii="Times New Roman" w:hAnsi="Times New Roman" w:cs="Times New Roman"/>
                      <w:color w:val="auto"/>
                      <w:kern w:val="2"/>
                      <w:sz w:val="21"/>
                      <w:szCs w:val="21"/>
                      <w:lang w:val="en-US" w:eastAsia="zh-CN" w:bidi="ar-SA"/>
                    </w:rPr>
                    <w:t>防渗层</w:t>
                  </w:r>
                  <w:r>
                    <w:rPr>
                      <w:rFonts w:hint="default" w:ascii="Times New Roman" w:hAnsi="Times New Roman" w:cs="Times New Roman"/>
                      <w:bCs/>
                      <w:color w:val="auto"/>
                      <w:sz w:val="21"/>
                      <w:szCs w:val="21"/>
                      <w:lang w:val="en-US" w:eastAsia="zh-CN"/>
                    </w:rPr>
                    <w:t>采用</w:t>
                  </w:r>
                  <w:r>
                    <w:rPr>
                      <w:rFonts w:hint="default" w:ascii="Times New Roman" w:hAnsi="Times New Roman" w:eastAsia="宋体" w:cs="Times New Roman"/>
                      <w:bCs/>
                      <w:color w:val="auto"/>
                      <w:sz w:val="21"/>
                      <w:szCs w:val="21"/>
                    </w:rPr>
                    <w:t>等效黏土防渗层Mb≥1.5m</w:t>
                  </w:r>
                  <w:r>
                    <w:rPr>
                      <w:rFonts w:hint="default" w:ascii="Times New Roman" w:hAnsi="Times New Roman" w:cs="Times New Roman"/>
                      <w:bCs/>
                      <w:color w:val="auto"/>
                      <w:sz w:val="21"/>
                      <w:szCs w:val="21"/>
                      <w:lang w:eastAsia="zh-CN"/>
                    </w:rPr>
                    <w:t>；</w:t>
                  </w:r>
                  <w:r>
                    <w:rPr>
                      <w:rFonts w:hint="default" w:ascii="Times New Roman" w:hAnsi="Times New Roman" w:eastAsia="宋体" w:cs="Times New Roman"/>
                      <w:bCs/>
                      <w:color w:val="auto"/>
                      <w:sz w:val="21"/>
                      <w:szCs w:val="21"/>
                    </w:rPr>
                    <w:t>K≤1×10</w:t>
                  </w:r>
                  <w:r>
                    <w:rPr>
                      <w:rFonts w:hint="default" w:ascii="Times New Roman" w:hAnsi="Times New Roman" w:eastAsia="宋体" w:cs="Times New Roman"/>
                      <w:bCs/>
                      <w:color w:val="auto"/>
                      <w:sz w:val="21"/>
                      <w:szCs w:val="21"/>
                      <w:vertAlign w:val="superscript"/>
                    </w:rPr>
                    <w:t>-7</w:t>
                  </w:r>
                  <w:r>
                    <w:rPr>
                      <w:rFonts w:hint="default" w:ascii="Times New Roman" w:hAnsi="Times New Roman" w:eastAsia="宋体" w:cs="Times New Roman"/>
                      <w:bCs/>
                      <w:color w:val="auto"/>
                      <w:sz w:val="21"/>
                      <w:szCs w:val="21"/>
                    </w:rPr>
                    <w:t>cm/s</w:t>
                  </w:r>
                  <w:r>
                    <w:rPr>
                      <w:rFonts w:hint="default" w:ascii="Times New Roman" w:hAnsi="Times New Roman" w:cs="Times New Roman"/>
                      <w:bCs/>
                      <w:color w:val="auto"/>
                      <w:sz w:val="21"/>
                      <w:szCs w:val="21"/>
                      <w:lang w:val="en-US" w:eastAsia="zh-CN"/>
                    </w:rPr>
                    <w:t>的防渗性能</w:t>
                  </w:r>
                </w:p>
              </w:tc>
            </w:tr>
            <w:tr w14:paraId="3BF7D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l2br w:val="nil"/>
                    <w:tr2bl w:val="nil"/>
                  </w:tcBorders>
                  <w:noWrap w:val="0"/>
                  <w:vAlign w:val="center"/>
                </w:tcPr>
                <w:p w14:paraId="255AB63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3</w:t>
                  </w:r>
                </w:p>
              </w:tc>
              <w:tc>
                <w:tcPr>
                  <w:tcW w:w="906" w:type="pct"/>
                  <w:tcBorders>
                    <w:tl2br w:val="nil"/>
                    <w:tr2bl w:val="nil"/>
                  </w:tcBorders>
                  <w:noWrap w:val="0"/>
                  <w:vAlign w:val="center"/>
                </w:tcPr>
                <w:p w14:paraId="74EA6D4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lang w:eastAsia="zh-CN"/>
                    </w:rPr>
                    <w:t>简单防渗区</w:t>
                  </w:r>
                </w:p>
              </w:tc>
              <w:tc>
                <w:tcPr>
                  <w:tcW w:w="1100" w:type="pct"/>
                  <w:tcBorders>
                    <w:tl2br w:val="nil"/>
                    <w:tr2bl w:val="nil"/>
                  </w:tcBorders>
                  <w:noWrap w:val="0"/>
                  <w:vAlign w:val="center"/>
                </w:tcPr>
                <w:p w14:paraId="1A8DB32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kern w:val="2"/>
                      <w:sz w:val="21"/>
                      <w:szCs w:val="21"/>
                      <w:lang w:val="zh-CN" w:eastAsia="zh-CN" w:bidi="ar-SA"/>
                    </w:rPr>
                    <w:t>非污染区厂区道路、</w:t>
                  </w:r>
                  <w:r>
                    <w:rPr>
                      <w:rFonts w:hint="eastAsia" w:cs="Times New Roman"/>
                      <w:color w:val="auto"/>
                      <w:kern w:val="2"/>
                      <w:sz w:val="21"/>
                      <w:szCs w:val="21"/>
                      <w:lang w:val="zh-CN" w:eastAsia="zh-CN" w:bidi="ar-SA"/>
                    </w:rPr>
                    <w:t>办公楼</w:t>
                  </w:r>
                </w:p>
              </w:tc>
              <w:tc>
                <w:tcPr>
                  <w:tcW w:w="2636" w:type="pct"/>
                  <w:tcBorders>
                    <w:tl2br w:val="nil"/>
                    <w:tr2bl w:val="nil"/>
                  </w:tcBorders>
                  <w:noWrap w:val="0"/>
                  <w:vAlign w:val="center"/>
                </w:tcPr>
                <w:p w14:paraId="3BC7825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105" w:leftChars="-50" w:right="-105" w:rightChars="-50" w:firstLine="420" w:firstLineChars="200"/>
                    <w:jc w:val="both"/>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按常规工程进行设计和建设，地面混凝土硬化，未硬化地点绿化。</w:t>
                  </w:r>
                </w:p>
              </w:tc>
            </w:tr>
          </w:tbl>
          <w:p w14:paraId="10F372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eastAsia="宋体" w:cs="Times New Roman"/>
                <w:color w:val="auto"/>
                <w:kern w:val="2"/>
                <w:sz w:val="21"/>
                <w:szCs w:val="21"/>
                <w:lang w:val="zh-CN" w:eastAsia="zh-CN" w:bidi="ar"/>
              </w:rPr>
              <w:t>本项目应严格按照国家相关规范要求，对该厂区采取相应的防渗措施，以防止和降低可能污染物的跑、冒、滴、漏。公司应对废气治理设施、防腐防渗措施等定期进行检查，并设专人监督环保设备的使用、固废的储存、厂内车辆行驶情况以及是否有防渗层开裂、破损、腐蚀等情况，出现上述情况应及时修缮，并制定严格的操作规范，坚持源头控制措施与过程控制措施相结合。</w:t>
            </w:r>
          </w:p>
        </w:tc>
      </w:tr>
      <w:tr w14:paraId="22768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noWrap w:val="0"/>
            <w:vAlign w:val="center"/>
          </w:tcPr>
          <w:p w14:paraId="0E6642F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生态保护措施</w:t>
            </w:r>
          </w:p>
        </w:tc>
        <w:tc>
          <w:tcPr>
            <w:tcW w:w="8084" w:type="dxa"/>
            <w:gridSpan w:val="4"/>
            <w:noWrap w:val="0"/>
            <w:vAlign w:val="center"/>
          </w:tcPr>
          <w:p w14:paraId="147AE24E">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leftChars="0" w:right="0" w:rightChars="0"/>
              <w:jc w:val="center"/>
              <w:textAlignment w:val="auto"/>
              <w:rPr>
                <w:rFonts w:hint="default" w:ascii="Times New Roman" w:hAnsi="Times New Roman" w:eastAsia="宋体" w:cs="Times New Roman"/>
                <w:color w:val="auto"/>
                <w:spacing w:val="0"/>
                <w:sz w:val="21"/>
                <w:szCs w:val="21"/>
                <w:lang w:val="en-US" w:eastAsia="zh-CN"/>
              </w:rPr>
            </w:pPr>
            <w:r>
              <w:rPr>
                <w:rFonts w:hint="eastAsia" w:ascii="Times New Roman" w:hAnsi="Times New Roman" w:cs="Times New Roman"/>
                <w:color w:val="auto"/>
                <w:spacing w:val="0"/>
                <w:sz w:val="21"/>
                <w:szCs w:val="21"/>
                <w:lang w:val="en-US" w:eastAsia="zh-CN"/>
              </w:rPr>
              <w:t>/</w:t>
            </w:r>
          </w:p>
        </w:tc>
      </w:tr>
      <w:tr w14:paraId="3092C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noWrap w:val="0"/>
            <w:vAlign w:val="center"/>
          </w:tcPr>
          <w:p w14:paraId="6AE3164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color w:val="auto"/>
                <w:spacing w:val="0"/>
                <w:sz w:val="21"/>
                <w:szCs w:val="21"/>
              </w:rPr>
            </w:pPr>
            <w:r>
              <w:rPr>
                <w:rFonts w:hint="default" w:ascii="Times New Roman" w:hAnsi="Times New Roman" w:cs="Times New Roman"/>
                <w:b w:val="0"/>
                <w:bCs w:val="0"/>
                <w:color w:val="auto"/>
                <w:spacing w:val="0"/>
                <w:sz w:val="21"/>
                <w:szCs w:val="21"/>
              </w:rPr>
              <w:t>环境风险</w:t>
            </w:r>
          </w:p>
          <w:p w14:paraId="65E5293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color w:val="auto"/>
                <w:spacing w:val="0"/>
                <w:sz w:val="21"/>
                <w:szCs w:val="21"/>
              </w:rPr>
            </w:pPr>
            <w:r>
              <w:rPr>
                <w:rFonts w:hint="default" w:ascii="Times New Roman" w:hAnsi="Times New Roman" w:cs="Times New Roman"/>
                <w:b w:val="0"/>
                <w:bCs w:val="0"/>
                <w:color w:val="auto"/>
                <w:spacing w:val="0"/>
                <w:sz w:val="21"/>
                <w:szCs w:val="21"/>
              </w:rPr>
              <w:t>防范措施</w:t>
            </w:r>
          </w:p>
        </w:tc>
        <w:tc>
          <w:tcPr>
            <w:tcW w:w="8084" w:type="dxa"/>
            <w:gridSpan w:val="4"/>
            <w:noWrap w:val="0"/>
            <w:vAlign w:val="center"/>
          </w:tcPr>
          <w:p w14:paraId="40940157">
            <w:pPr>
              <w:keepNext w:val="0"/>
              <w:keepLines w:val="0"/>
              <w:suppressLineNumbers w:val="0"/>
              <w:adjustRightInd w:val="0"/>
              <w:snapToGrid w:val="0"/>
              <w:spacing w:before="0" w:beforeAutospacing="0" w:after="0" w:afterAutospacing="0" w:line="440" w:lineRule="exact"/>
              <w:ind w:left="0" w:right="0" w:firstLine="420" w:firstLineChars="200"/>
              <w:jc w:val="left"/>
              <w:rPr>
                <w:rFonts w:hint="eastAsia" w:cs="宋体"/>
                <w:color w:val="auto"/>
                <w:sz w:val="21"/>
                <w:szCs w:val="21"/>
              </w:rPr>
            </w:pPr>
            <w:r>
              <w:rPr>
                <w:rFonts w:hint="default"/>
                <w:color w:val="auto"/>
                <w:sz w:val="21"/>
                <w:szCs w:val="21"/>
              </w:rPr>
              <w:t>针对原辅材料泄漏，应按规范要求使用、贮存和管理原辅材料，设置警示标识，加强人员安全教育；针对污废水泄漏，严把设备实施及图件构筑物质量，消除质量缺陷造成的先天性事故隐患，</w:t>
            </w:r>
            <w:r>
              <w:rPr>
                <w:rFonts w:hint="eastAsia"/>
                <w:color w:val="auto"/>
                <w:sz w:val="21"/>
                <w:szCs w:val="21"/>
              </w:rPr>
              <w:t>按照规范分区防渗</w:t>
            </w:r>
            <w:r>
              <w:rPr>
                <w:rFonts w:hint="default"/>
                <w:color w:val="auto"/>
                <w:sz w:val="21"/>
                <w:szCs w:val="21"/>
              </w:rPr>
              <w:t>，加强人员安全教育</w:t>
            </w:r>
            <w:r>
              <w:rPr>
                <w:rFonts w:hint="eastAsia" w:cs="宋体"/>
                <w:color w:val="auto"/>
                <w:sz w:val="21"/>
                <w:szCs w:val="21"/>
              </w:rPr>
              <w:t>。</w:t>
            </w:r>
          </w:p>
          <w:p w14:paraId="42E5F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396" w:firstLineChars="200"/>
              <w:textAlignment w:val="auto"/>
              <w:rPr>
                <w:rFonts w:hint="default" w:ascii="Times New Roman" w:hAnsi="Times New Roman" w:cs="Times New Roman"/>
                <w:b w:val="0"/>
                <w:bCs w:val="0"/>
                <w:color w:val="auto"/>
                <w:spacing w:val="0"/>
                <w:sz w:val="21"/>
                <w:szCs w:val="21"/>
              </w:rPr>
            </w:pPr>
            <w:r>
              <w:rPr>
                <w:rFonts w:hint="eastAsia" w:cs="宋体"/>
                <w:color w:val="auto"/>
                <w:spacing w:val="-6"/>
                <w:sz w:val="21"/>
                <w:szCs w:val="21"/>
              </w:rPr>
              <w:t>根据《突发环境事件应急预案管理办法》（2021 年修订）编制突发环境事件应急预案并向当地生态环境主管部门备案</w:t>
            </w:r>
            <w:r>
              <w:rPr>
                <w:rFonts w:hint="eastAsia" w:ascii="Times New Roman" w:hAnsi="Times New Roman" w:cs="Times New Roman"/>
                <w:b w:val="0"/>
                <w:bCs w:val="0"/>
                <w:color w:val="auto"/>
                <w:spacing w:val="0"/>
                <w:sz w:val="21"/>
                <w:szCs w:val="21"/>
                <w:lang w:eastAsia="zh-CN"/>
              </w:rPr>
              <w:t>。</w:t>
            </w:r>
          </w:p>
        </w:tc>
      </w:tr>
      <w:tr w14:paraId="0E543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8" w:type="dxa"/>
            <w:noWrap w:val="0"/>
            <w:vAlign w:val="center"/>
          </w:tcPr>
          <w:p w14:paraId="77201E5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其他环境</w:t>
            </w:r>
          </w:p>
          <w:p w14:paraId="06CFF18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管理要求</w:t>
            </w:r>
          </w:p>
        </w:tc>
        <w:tc>
          <w:tcPr>
            <w:tcW w:w="8084" w:type="dxa"/>
            <w:gridSpan w:val="4"/>
            <w:noWrap w:val="0"/>
            <w:vAlign w:val="center"/>
          </w:tcPr>
          <w:p w14:paraId="6A5C73A3">
            <w:pPr>
              <w:keepNext w:val="0"/>
              <w:keepLines w:val="0"/>
              <w:suppressLineNumbers w:val="0"/>
              <w:spacing w:before="0" w:beforeAutospacing="0" w:after="0" w:afterAutospacing="0" w:line="440" w:lineRule="exact"/>
              <w:ind w:left="0" w:right="0" w:firstLine="420" w:firstLineChars="200"/>
              <w:rPr>
                <w:rFonts w:hint="default"/>
                <w:color w:val="auto"/>
                <w:sz w:val="21"/>
                <w:szCs w:val="21"/>
              </w:rPr>
            </w:pPr>
            <w:r>
              <w:rPr>
                <w:rFonts w:hint="default"/>
                <w:color w:val="auto"/>
                <w:sz w:val="21"/>
                <w:szCs w:val="21"/>
              </w:rPr>
              <w:t>为了贯彻执行有关环境保护法规，及时了解项目及其周围环境质量变化情况，掌握环境保护措施实施的效果，保证该区域良好的环境质量，建设单位进行相应的环境管理。</w:t>
            </w:r>
          </w:p>
          <w:p w14:paraId="3F13A5F8">
            <w:pPr>
              <w:keepNext w:val="0"/>
              <w:keepLines w:val="0"/>
              <w:suppressLineNumbers w:val="0"/>
              <w:spacing w:before="0" w:beforeAutospacing="0" w:after="0" w:afterAutospacing="0" w:line="440" w:lineRule="exact"/>
              <w:ind w:left="0" w:right="0" w:firstLine="420" w:firstLineChars="200"/>
              <w:rPr>
                <w:rFonts w:hint="default"/>
                <w:color w:val="auto"/>
                <w:sz w:val="21"/>
                <w:szCs w:val="21"/>
              </w:rPr>
            </w:pPr>
            <w:r>
              <w:rPr>
                <w:rFonts w:hint="default"/>
                <w:color w:val="auto"/>
                <w:sz w:val="21"/>
                <w:szCs w:val="21"/>
              </w:rPr>
              <w:t>（1）环境管理要求</w:t>
            </w:r>
          </w:p>
          <w:p w14:paraId="6100197D">
            <w:pPr>
              <w:keepNext w:val="0"/>
              <w:keepLines w:val="0"/>
              <w:suppressLineNumbers w:val="0"/>
              <w:spacing w:before="0" w:beforeAutospacing="0" w:after="0" w:afterAutospacing="0" w:line="440" w:lineRule="exact"/>
              <w:ind w:left="0" w:right="0" w:firstLine="420" w:firstLineChars="200"/>
              <w:rPr>
                <w:rFonts w:hint="default"/>
                <w:color w:val="auto"/>
                <w:sz w:val="21"/>
                <w:szCs w:val="21"/>
              </w:rPr>
            </w:pPr>
            <w:r>
              <w:rPr>
                <w:rFonts w:hint="eastAsia" w:ascii="宋体" w:hAnsi="宋体" w:cs="宋体"/>
                <w:color w:val="auto"/>
                <w:sz w:val="21"/>
                <w:szCs w:val="21"/>
              </w:rPr>
              <w:t>①</w:t>
            </w:r>
            <w:r>
              <w:rPr>
                <w:rFonts w:hint="default"/>
                <w:color w:val="auto"/>
                <w:sz w:val="21"/>
                <w:szCs w:val="21"/>
              </w:rPr>
              <w:t>贯彻落实国家相关法律法规及政策，以国家相关法律法规为依据，落实防治环境污染和生态破坏的措施以及环境保护设施投资概算，及时</w:t>
            </w:r>
            <w:r>
              <w:rPr>
                <w:rFonts w:hint="eastAsia" w:cs="宋体"/>
                <w:color w:val="auto"/>
                <w:spacing w:val="-6"/>
                <w:sz w:val="21"/>
                <w:szCs w:val="21"/>
                <w:lang w:eastAsia="zh-CN"/>
              </w:rPr>
              <w:t>向</w:t>
            </w:r>
            <w:r>
              <w:rPr>
                <w:rFonts w:hint="default"/>
                <w:color w:val="auto"/>
                <w:sz w:val="21"/>
                <w:szCs w:val="21"/>
              </w:rPr>
              <w:t>当地环境保护部门汇报各阶段的情况。</w:t>
            </w:r>
          </w:p>
          <w:p w14:paraId="2A091948">
            <w:pPr>
              <w:keepNext w:val="0"/>
              <w:keepLines w:val="0"/>
              <w:suppressLineNumbers w:val="0"/>
              <w:spacing w:before="0" w:beforeAutospacing="0" w:after="0" w:afterAutospacing="0" w:line="440" w:lineRule="exact"/>
              <w:ind w:left="0" w:right="0" w:firstLine="420" w:firstLineChars="200"/>
              <w:rPr>
                <w:rFonts w:hint="default"/>
                <w:color w:val="auto"/>
                <w:sz w:val="21"/>
                <w:szCs w:val="21"/>
              </w:rPr>
            </w:pPr>
            <w:r>
              <w:rPr>
                <w:rFonts w:hint="eastAsia" w:ascii="宋体" w:hAnsi="宋体" w:cs="宋体"/>
                <w:color w:val="auto"/>
                <w:sz w:val="21"/>
                <w:szCs w:val="21"/>
              </w:rPr>
              <w:t>②</w:t>
            </w:r>
            <w:r>
              <w:rPr>
                <w:rFonts w:hint="default"/>
                <w:color w:val="auto"/>
                <w:sz w:val="21"/>
                <w:szCs w:val="21"/>
              </w:rPr>
              <w:t>项目的建设遵循“三同时”制度，即项目环保措施与主体工程同时设计、同时施工、同时投产使用。</w:t>
            </w:r>
          </w:p>
          <w:p w14:paraId="28B61C17">
            <w:pPr>
              <w:keepNext w:val="0"/>
              <w:keepLines w:val="0"/>
              <w:suppressLineNumbers w:val="0"/>
              <w:spacing w:before="0" w:beforeAutospacing="0" w:after="0" w:afterAutospacing="0" w:line="440" w:lineRule="exact"/>
              <w:ind w:left="0" w:right="0" w:firstLine="420" w:firstLineChars="200"/>
              <w:rPr>
                <w:rFonts w:hint="default"/>
                <w:color w:val="auto"/>
                <w:sz w:val="21"/>
                <w:szCs w:val="21"/>
              </w:rPr>
            </w:pPr>
            <w:r>
              <w:rPr>
                <w:rFonts w:hint="default"/>
                <w:color w:val="auto"/>
                <w:sz w:val="21"/>
                <w:szCs w:val="21"/>
              </w:rPr>
              <w:t>③排污许可制度衔接。建设单位应按照《</w:t>
            </w:r>
            <w:r>
              <w:rPr>
                <w:rFonts w:hint="eastAsia"/>
                <w:color w:val="auto"/>
                <w:sz w:val="21"/>
                <w:szCs w:val="21"/>
                <w:lang w:eastAsia="zh-CN"/>
              </w:rPr>
              <w:t>排污许可管理条例》《</w:t>
            </w:r>
            <w:r>
              <w:rPr>
                <w:rFonts w:hint="default"/>
                <w:color w:val="auto"/>
                <w:sz w:val="21"/>
                <w:szCs w:val="21"/>
              </w:rPr>
              <w:t>固定污染源排污许可分类管理名录（2019年版）》等排污许可证相关管理要求，在规定时限内申请</w:t>
            </w:r>
            <w:r>
              <w:rPr>
                <w:rFonts w:hint="eastAsia"/>
                <w:color w:val="auto"/>
                <w:sz w:val="21"/>
                <w:szCs w:val="21"/>
              </w:rPr>
              <w:t>办理</w:t>
            </w:r>
            <w:r>
              <w:rPr>
                <w:rFonts w:hint="default"/>
                <w:color w:val="auto"/>
                <w:sz w:val="21"/>
                <w:szCs w:val="21"/>
              </w:rPr>
              <w:t>排污许可证。</w:t>
            </w:r>
          </w:p>
          <w:p w14:paraId="61B50E66">
            <w:pPr>
              <w:keepNext w:val="0"/>
              <w:keepLines w:val="0"/>
              <w:suppressLineNumbers w:val="0"/>
              <w:spacing w:before="0" w:beforeAutospacing="0" w:after="0" w:afterAutospacing="0" w:line="440" w:lineRule="exact"/>
              <w:ind w:left="0" w:right="0" w:firstLine="420" w:firstLineChars="200"/>
              <w:rPr>
                <w:rFonts w:hint="default"/>
                <w:color w:val="000000" w:themeColor="text1"/>
                <w:sz w:val="21"/>
                <w:szCs w:val="21"/>
                <w14:textFill>
                  <w14:solidFill>
                    <w14:schemeClr w14:val="tx1"/>
                  </w14:solidFill>
                </w14:textFill>
              </w:rPr>
            </w:pPr>
            <w:r>
              <w:rPr>
                <w:rFonts w:hint="eastAsia" w:ascii="宋体" w:hAnsi="宋体" w:cs="宋体"/>
                <w:color w:val="auto"/>
                <w:sz w:val="21"/>
                <w:szCs w:val="21"/>
              </w:rPr>
              <w:t>④</w:t>
            </w:r>
            <w:r>
              <w:rPr>
                <w:rFonts w:hint="default"/>
                <w:color w:val="auto"/>
                <w:sz w:val="21"/>
                <w:szCs w:val="21"/>
              </w:rPr>
              <w:t>建设项目竣工后，建设单位或者其委托的技术机构应当依照国家有关法律法规。建设</w:t>
            </w:r>
            <w:r>
              <w:rPr>
                <w:rFonts w:hint="eastAsia"/>
                <w:color w:val="auto"/>
                <w:sz w:val="21"/>
                <w:szCs w:val="21"/>
              </w:rPr>
              <w:t>项目</w:t>
            </w:r>
            <w:r>
              <w:rPr>
                <w:rFonts w:hint="default"/>
                <w:color w:val="auto"/>
                <w:sz w:val="21"/>
                <w:szCs w:val="21"/>
              </w:rPr>
              <w:t>竣工环境保护验收技术规范。建设项目环境影响报告表和审批决定等要求，如</w:t>
            </w:r>
            <w:r>
              <w:rPr>
                <w:rFonts w:hint="default"/>
                <w:color w:val="000000" w:themeColor="text1"/>
                <w:sz w:val="21"/>
                <w:szCs w:val="21"/>
                <w14:textFill>
                  <w14:solidFill>
                    <w14:schemeClr w14:val="tx1"/>
                  </w14:solidFill>
                </w14:textFill>
              </w:rPr>
              <w:t>实查验、监测、记载建设项目环境保护设施的建设和调试情况，同时还应如实记载其他环境保护对策措施“三同时”落实情况，编制竣工环境保护验收报告。</w:t>
            </w:r>
          </w:p>
          <w:p w14:paraId="5802F4CD">
            <w:pPr>
              <w:keepNext w:val="0"/>
              <w:keepLines w:val="0"/>
              <w:suppressLineNumbers w:val="0"/>
              <w:spacing w:before="0" w:beforeAutospacing="0" w:after="0" w:afterAutospacing="0" w:line="440" w:lineRule="exact"/>
              <w:ind w:left="0" w:right="0" w:firstLine="420" w:firstLineChars="200"/>
              <w:rPr>
                <w:rFonts w:hint="eastAsia"/>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⑤</w:t>
            </w:r>
            <w:r>
              <w:rPr>
                <w:rFonts w:hint="default"/>
                <w:color w:val="000000" w:themeColor="text1"/>
                <w:sz w:val="21"/>
                <w:szCs w:val="21"/>
                <w14:textFill>
                  <w14:solidFill>
                    <w14:schemeClr w14:val="tx1"/>
                  </w14:solidFill>
                </w14:textFill>
              </w:rPr>
              <w:t>验收报告编制完成后，建设单位应组织成立验收工作组。验收工作组由建设单位、设计单位、施工单位、环境影响报告表编制机构、验收报告编制机构等单位代表和专业技术专家组成。建设单位应当对验收工作组提出的问题进行整改，合格后方可出具验收合格的意见。建设项目配套建设的环境保护设施经验收合格后，其主体工程才可以投入生产或者使用，并纳入环境保护管理部门的管理，对项目各阶段工作进行监督、检查。建设单位按《环境保护信息公开办法》进行相关信息的公开。</w:t>
            </w:r>
          </w:p>
          <w:p w14:paraId="4DA80F46">
            <w:pPr>
              <w:keepNext w:val="0"/>
              <w:keepLines w:val="0"/>
              <w:suppressLineNumbers w:val="0"/>
              <w:spacing w:before="0" w:beforeAutospacing="0" w:after="0" w:afterAutospacing="0" w:line="440" w:lineRule="exact"/>
              <w:ind w:left="0" w:right="0" w:firstLine="420" w:firstLineChars="20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default"/>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）排污口规范化管理</w:t>
            </w:r>
          </w:p>
          <w:p w14:paraId="6D227506">
            <w:pPr>
              <w:keepNext w:val="0"/>
              <w:keepLines w:val="0"/>
              <w:suppressLineNumbers w:val="0"/>
              <w:spacing w:before="0" w:beforeAutospacing="0" w:after="0" w:afterAutospacing="0" w:line="440" w:lineRule="exact"/>
              <w:ind w:left="0" w:right="0" w:firstLine="420" w:firstLineChars="20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排放口规范化整治的统一要求做到：首先排污口要设立标识管理，按照国家标准规定设立标志牌，根据排放口污染物的排放特点，设置提示性或警告性环境保护图形标志牌。一般污染源设置提示性标志牌。建设项目的污染源需设立提示性标志牌。其次废气排放口应按照国家有关规定，规范排气筒数量，高度。废水排水口应规范化，使排水口清晰可见，便于采样、计量，排水口旁设置环保图形标志牌。此外按照《固定污染源监测质量保证与质量控制技术规范（试行）》（</w:t>
            </w:r>
            <w:r>
              <w:rPr>
                <w:rFonts w:hint="default"/>
                <w:color w:val="000000" w:themeColor="text1"/>
                <w:sz w:val="21"/>
                <w:szCs w:val="21"/>
                <w14:textFill>
                  <w14:solidFill>
                    <w14:schemeClr w14:val="tx1"/>
                  </w14:solidFill>
                </w14:textFill>
              </w:rPr>
              <w:t>HJ/T373</w:t>
            </w:r>
            <w:r>
              <w:rPr>
                <w:rFonts w:hint="eastAsia"/>
                <w:color w:val="000000" w:themeColor="text1"/>
                <w:sz w:val="21"/>
                <w:szCs w:val="21"/>
                <w14:textFill>
                  <w14:solidFill>
                    <w14:schemeClr w14:val="tx1"/>
                  </w14:solidFill>
                </w14:textFill>
              </w:rPr>
              <w:t>－</w:t>
            </w:r>
            <w:r>
              <w:rPr>
                <w:rFonts w:hint="default"/>
                <w:color w:val="000000" w:themeColor="text1"/>
                <w:sz w:val="21"/>
                <w:szCs w:val="21"/>
                <w14:textFill>
                  <w14:solidFill>
                    <w14:schemeClr w14:val="tx1"/>
                  </w14:solidFill>
                </w14:textFill>
              </w:rPr>
              <w:t>2007</w:t>
            </w:r>
            <w:r>
              <w:rPr>
                <w:rFonts w:hint="eastAsia"/>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、《排污单位污染物排放口监测点位设置 技术规范》（HJ 1405—2024）</w:t>
            </w:r>
            <w:r>
              <w:rPr>
                <w:rFonts w:hint="eastAsia"/>
                <w:color w:val="000000" w:themeColor="text1"/>
                <w:sz w:val="21"/>
                <w:szCs w:val="21"/>
                <w14:textFill>
                  <w14:solidFill>
                    <w14:schemeClr w14:val="tx1"/>
                  </w14:solidFill>
                </w14:textFill>
              </w:rPr>
              <w:t>，对现场监测条件按规范要求搭设采样监测平台，废气治理措施治理前、后预留监测孔，便于环境管理及监测部门的日常监督、检查及监测。</w:t>
            </w:r>
          </w:p>
          <w:p w14:paraId="1AE187D7">
            <w:pPr>
              <w:keepNext w:val="0"/>
              <w:keepLines w:val="0"/>
              <w:suppressLineNumbers w:val="0"/>
              <w:spacing w:before="0" w:beforeAutospacing="0" w:after="0" w:afterAutospacing="0" w:line="440" w:lineRule="exact"/>
              <w:ind w:left="0" w:right="0" w:firstLine="420" w:firstLineChars="200"/>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fldChar w:fldCharType="begin"/>
            </w:r>
            <w:r>
              <w:rPr>
                <w:rFonts w:hint="default"/>
                <w:color w:val="000000" w:themeColor="text1"/>
                <w:sz w:val="21"/>
                <w:szCs w:val="21"/>
                <w14:textFill>
                  <w14:solidFill>
                    <w14:schemeClr w14:val="tx1"/>
                  </w14:solidFill>
                </w14:textFill>
              </w:rPr>
              <w:instrText xml:space="preserve"> = 1 \* GB3 \* MERGEFORMAT </w:instrText>
            </w:r>
            <w:r>
              <w:rPr>
                <w:rFonts w:hint="default"/>
                <w:color w:val="000000" w:themeColor="text1"/>
                <w:sz w:val="21"/>
                <w:szCs w:val="21"/>
                <w14:textFill>
                  <w14:solidFill>
                    <w14:schemeClr w14:val="tx1"/>
                  </w14:solidFill>
                </w14:textFill>
              </w:rPr>
              <w:fldChar w:fldCharType="separate"/>
            </w:r>
            <w:r>
              <w:rPr>
                <w:rFonts w:hint="default"/>
              </w:rPr>
              <w:t>①</w:t>
            </w:r>
            <w:r>
              <w:rPr>
                <w:rFonts w:hint="default"/>
                <w:color w:val="000000" w:themeColor="text1"/>
                <w:sz w:val="21"/>
                <w:szCs w:val="21"/>
                <w14:textFill>
                  <w14:solidFill>
                    <w14:schemeClr w14:val="tx1"/>
                  </w14:solidFill>
                </w14:textFill>
              </w:rPr>
              <w:fldChar w:fldCharType="end"/>
            </w:r>
            <w:r>
              <w:rPr>
                <w:rFonts w:hint="eastAsia"/>
                <w:color w:val="000000" w:themeColor="text1"/>
                <w:sz w:val="21"/>
                <w:szCs w:val="21"/>
                <w14:textFill>
                  <w14:solidFill>
                    <w14:schemeClr w14:val="tx1"/>
                  </w14:solidFill>
                </w14:textFill>
              </w:rPr>
              <w:t>建设规范化排污口</w:t>
            </w:r>
          </w:p>
          <w:p w14:paraId="34412DB4">
            <w:pPr>
              <w:keepNext w:val="0"/>
              <w:keepLines w:val="0"/>
              <w:suppressLineNumbers w:val="0"/>
              <w:spacing w:before="0" w:beforeAutospacing="0" w:after="0" w:afterAutospacing="0" w:line="440" w:lineRule="exact"/>
              <w:ind w:left="0" w:right="0" w:firstLine="420" w:firstLineChars="20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建设完善规范化排污口，同时建设的规范化排污口要充分考虑便于采集样品、便于监测计量、便于日常环境监督管理的要求。</w:t>
            </w:r>
          </w:p>
          <w:p w14:paraId="70608328">
            <w:pPr>
              <w:keepNext w:val="0"/>
              <w:keepLines w:val="0"/>
              <w:suppressLineNumbers w:val="0"/>
              <w:spacing w:before="0" w:beforeAutospacing="0" w:after="0" w:afterAutospacing="0" w:line="440" w:lineRule="exact"/>
              <w:ind w:left="0" w:right="0" w:firstLine="420" w:firstLineChars="200"/>
              <w:rPr>
                <w:rFonts w:hint="eastAsia"/>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fldChar w:fldCharType="begin"/>
            </w:r>
            <w:r>
              <w:rPr>
                <w:rFonts w:hint="default"/>
                <w:color w:val="000000" w:themeColor="text1"/>
                <w:sz w:val="21"/>
                <w:szCs w:val="21"/>
                <w14:textFill>
                  <w14:solidFill>
                    <w14:schemeClr w14:val="tx1"/>
                  </w14:solidFill>
                </w14:textFill>
              </w:rPr>
              <w:instrText xml:space="preserve"> = 2 \* GB3 \* MERGEFORMAT </w:instrText>
            </w:r>
            <w:r>
              <w:rPr>
                <w:rFonts w:hint="default"/>
                <w:color w:val="000000" w:themeColor="text1"/>
                <w:sz w:val="21"/>
                <w:szCs w:val="21"/>
                <w14:textFill>
                  <w14:solidFill>
                    <w14:schemeClr w14:val="tx1"/>
                  </w14:solidFill>
                </w14:textFill>
              </w:rPr>
              <w:fldChar w:fldCharType="separate"/>
            </w:r>
            <w:r>
              <w:rPr>
                <w:rFonts w:hint="default"/>
              </w:rPr>
              <w:t>②</w:t>
            </w:r>
            <w:r>
              <w:rPr>
                <w:rFonts w:hint="default"/>
                <w:color w:val="000000" w:themeColor="text1"/>
                <w:sz w:val="21"/>
                <w:szCs w:val="21"/>
                <w14:textFill>
                  <w14:solidFill>
                    <w14:schemeClr w14:val="tx1"/>
                  </w14:solidFill>
                </w14:textFill>
              </w:rPr>
              <w:fldChar w:fldCharType="end"/>
            </w:r>
            <w:r>
              <w:rPr>
                <w:rFonts w:hint="eastAsia"/>
                <w:color w:val="000000" w:themeColor="text1"/>
                <w:sz w:val="21"/>
                <w:szCs w:val="21"/>
                <w14:textFill>
                  <w14:solidFill>
                    <w14:schemeClr w14:val="tx1"/>
                  </w14:solidFill>
                </w14:textFill>
              </w:rPr>
              <w:t>设立标志牌</w:t>
            </w:r>
          </w:p>
          <w:p w14:paraId="286C3CB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该项目标志牌图例见图</w:t>
            </w:r>
            <w:r>
              <w:rPr>
                <w:rFonts w:hint="eastAsia"/>
                <w:color w:val="000000" w:themeColor="text1"/>
                <w:sz w:val="21"/>
                <w:szCs w:val="21"/>
                <w:lang w:val="en-US" w:eastAsia="zh-CN"/>
                <w14:textFill>
                  <w14:solidFill>
                    <w14:schemeClr w14:val="tx1"/>
                  </w14:solidFill>
                </w14:textFill>
              </w:rPr>
              <w:t>5-1.</w:t>
            </w:r>
          </w:p>
          <w:p w14:paraId="5937475A">
            <w:pPr>
              <w:keepNext w:val="0"/>
              <w:keepLines w:val="0"/>
              <w:widowControl/>
              <w:suppressLineNumbers w:val="0"/>
              <w:spacing w:before="0" w:beforeAutospacing="0" w:after="0" w:afterAutospacing="0" w:line="240" w:lineRule="atLeast"/>
              <w:ind w:left="0" w:right="0"/>
              <w:rPr>
                <w:rFonts w:hint="eastAsia" w:ascii="Arial Unicode MS" w:hAnsi="Arial Unicode MS" w:eastAsia="宋体" w:cs="Arial Unicode MS"/>
                <w:color w:val="auto"/>
                <w:kern w:val="0"/>
                <w:sz w:val="21"/>
                <w:szCs w:val="21"/>
                <w:lang w:val="en-US" w:eastAsia="zh-CN"/>
              </w:rPr>
            </w:pPr>
            <w:r>
              <w:rPr>
                <w:rFonts w:hint="eastAsia"/>
                <w:b/>
                <w:sz w:val="24"/>
              </w:rPr>
              <w:drawing>
                <wp:anchor distT="0" distB="0" distL="114300" distR="114300" simplePos="0" relativeHeight="251672576" behindDoc="0" locked="0" layoutInCell="1" allowOverlap="1">
                  <wp:simplePos x="0" y="0"/>
                  <wp:positionH relativeFrom="column">
                    <wp:posOffset>1832610</wp:posOffset>
                  </wp:positionH>
                  <wp:positionV relativeFrom="paragraph">
                    <wp:posOffset>145415</wp:posOffset>
                  </wp:positionV>
                  <wp:extent cx="1485265" cy="1067435"/>
                  <wp:effectExtent l="0" t="0" r="635" b="18415"/>
                  <wp:wrapNone/>
                  <wp:docPr id="9" name="图片 7" descr="1ecfb8a90909621b17aa9f7dcdd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1ecfb8a90909621b17aa9f7dcdd0070"/>
                          <pic:cNvPicPr>
                            <a:picLocks noChangeAspect="1"/>
                          </pic:cNvPicPr>
                        </pic:nvPicPr>
                        <pic:blipFill>
                          <a:blip r:embed="rId27"/>
                          <a:srcRect l="5641" t="6120" r="6088" b="8423"/>
                          <a:stretch>
                            <a:fillRect/>
                          </a:stretch>
                        </pic:blipFill>
                        <pic:spPr>
                          <a:xfrm>
                            <a:off x="0" y="0"/>
                            <a:ext cx="1485265" cy="1067435"/>
                          </a:xfrm>
                          <a:prstGeom prst="rect">
                            <a:avLst/>
                          </a:prstGeom>
                          <a:noFill/>
                          <a:ln>
                            <a:noFill/>
                          </a:ln>
                        </pic:spPr>
                      </pic:pic>
                    </a:graphicData>
                  </a:graphic>
                </wp:anchor>
              </w:drawing>
            </w:r>
            <w:r>
              <w:rPr>
                <w:rFonts w:hint="default"/>
                <w:sz w:val="24"/>
              </w:rPr>
              <w:drawing>
                <wp:anchor distT="0" distB="0" distL="114300" distR="114300" simplePos="0" relativeHeight="251673600" behindDoc="0" locked="0" layoutInCell="1" allowOverlap="1">
                  <wp:simplePos x="0" y="0"/>
                  <wp:positionH relativeFrom="column">
                    <wp:posOffset>3422650</wp:posOffset>
                  </wp:positionH>
                  <wp:positionV relativeFrom="paragraph">
                    <wp:posOffset>166370</wp:posOffset>
                  </wp:positionV>
                  <wp:extent cx="1490345" cy="1033145"/>
                  <wp:effectExtent l="9525" t="9525" r="24130" b="24130"/>
                  <wp:wrapNone/>
                  <wp:docPr id="6" name="图片 1063" descr="687f15e72b2caa7fb261f25803ab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63" descr="687f15e72b2caa7fb261f25803ab729"/>
                          <pic:cNvPicPr>
                            <a:picLocks noChangeAspect="1"/>
                          </pic:cNvPicPr>
                        </pic:nvPicPr>
                        <pic:blipFill>
                          <a:blip r:embed="rId28"/>
                          <a:stretch>
                            <a:fillRect/>
                          </a:stretch>
                        </pic:blipFill>
                        <pic:spPr>
                          <a:xfrm>
                            <a:off x="0" y="0"/>
                            <a:ext cx="1490345" cy="1033145"/>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Arial Unicode MS" w:hAnsi="Arial Unicode MS" w:eastAsia="MingLiU" w:cs="Arial Unicode MS"/>
                <w:color w:val="auto"/>
                <w:kern w:val="0"/>
                <w:sz w:val="21"/>
                <w:szCs w:val="21"/>
              </w:rPr>
              <w:drawing>
                <wp:anchor distT="0" distB="0" distL="114300" distR="114300" simplePos="0" relativeHeight="251667456" behindDoc="0" locked="0" layoutInCell="1" allowOverlap="1">
                  <wp:simplePos x="0" y="0"/>
                  <wp:positionH relativeFrom="column">
                    <wp:posOffset>175260</wp:posOffset>
                  </wp:positionH>
                  <wp:positionV relativeFrom="paragraph">
                    <wp:posOffset>167640</wp:posOffset>
                  </wp:positionV>
                  <wp:extent cx="1561465" cy="1022985"/>
                  <wp:effectExtent l="9525" t="9525" r="10160" b="15240"/>
                  <wp:wrapNone/>
                  <wp:docPr id="7" name="图片 9" descr="540faf47c2c3eaffb918b2647aa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540faf47c2c3eaffb918b2647aa6424"/>
                          <pic:cNvPicPr>
                            <a:picLocks noChangeAspect="1"/>
                          </pic:cNvPicPr>
                        </pic:nvPicPr>
                        <pic:blipFill>
                          <a:blip r:embed="rId29"/>
                          <a:stretch>
                            <a:fillRect/>
                          </a:stretch>
                        </pic:blipFill>
                        <pic:spPr>
                          <a:xfrm>
                            <a:off x="0" y="0"/>
                            <a:ext cx="1561465" cy="1022985"/>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Arial Unicode MS" w:hAnsi="Arial Unicode MS" w:cs="Arial Unicode MS"/>
                <w:color w:val="auto"/>
                <w:kern w:val="0"/>
                <w:sz w:val="21"/>
                <w:szCs w:val="21"/>
              </w:rPr>
              <w:t xml:space="preserve">  </w:t>
            </w:r>
            <w:r>
              <w:rPr>
                <w:rFonts w:hint="eastAsia" w:ascii="Arial Unicode MS" w:hAnsi="Arial Unicode MS" w:cs="Arial Unicode MS"/>
                <w:color w:val="auto"/>
                <w:kern w:val="0"/>
                <w:sz w:val="21"/>
                <w:szCs w:val="21"/>
                <w:lang w:val="en-US" w:eastAsia="zh-CN"/>
              </w:rPr>
              <w:t xml:space="preserve">   </w:t>
            </w:r>
            <w:r>
              <w:rPr>
                <w:rFonts w:hint="eastAsia" w:ascii="Arial Unicode MS" w:hAnsi="Arial Unicode MS" w:cs="Arial Unicode MS"/>
                <w:color w:val="auto"/>
                <w:kern w:val="0"/>
                <w:sz w:val="21"/>
                <w:szCs w:val="21"/>
              </w:rPr>
              <w:t xml:space="preserve">  </w:t>
            </w:r>
            <w:r>
              <w:rPr>
                <w:rFonts w:hint="eastAsia" w:ascii="Arial Unicode MS" w:hAnsi="Arial Unicode MS" w:eastAsia="宋体" w:cs="Arial Unicode MS"/>
                <w:color w:val="auto"/>
                <w:kern w:val="0"/>
                <w:sz w:val="21"/>
                <w:szCs w:val="21"/>
                <w:lang w:val="en-US" w:eastAsia="zh-CN"/>
              </w:rPr>
              <w:t xml:space="preserve"> </w:t>
            </w:r>
          </w:p>
          <w:p w14:paraId="2DED7F3E">
            <w:pPr>
              <w:keepNext w:val="0"/>
              <w:keepLines w:val="0"/>
              <w:widowControl/>
              <w:suppressLineNumbers w:val="0"/>
              <w:spacing w:before="0" w:beforeAutospacing="0" w:after="0" w:afterAutospacing="0" w:line="240" w:lineRule="atLeast"/>
              <w:ind w:left="0" w:right="0"/>
              <w:rPr>
                <w:rFonts w:hint="eastAsia" w:ascii="Arial Unicode MS" w:hAnsi="Arial Unicode MS" w:eastAsia="宋体" w:cs="Arial Unicode MS"/>
                <w:color w:val="auto"/>
                <w:kern w:val="0"/>
                <w:sz w:val="21"/>
                <w:szCs w:val="21"/>
                <w:lang w:val="en-US" w:eastAsia="zh-CN"/>
              </w:rPr>
            </w:pPr>
          </w:p>
          <w:p w14:paraId="4CE222E0">
            <w:pPr>
              <w:keepNext w:val="0"/>
              <w:keepLines w:val="0"/>
              <w:widowControl/>
              <w:suppressLineNumbers w:val="0"/>
              <w:spacing w:before="0" w:beforeAutospacing="0" w:after="0" w:afterAutospacing="0" w:line="240" w:lineRule="atLeast"/>
              <w:ind w:left="0" w:right="0"/>
              <w:rPr>
                <w:rFonts w:hint="eastAsia" w:ascii="Arial Unicode MS" w:hAnsi="Arial Unicode MS" w:eastAsia="宋体" w:cs="Arial Unicode MS"/>
                <w:color w:val="auto"/>
                <w:kern w:val="0"/>
                <w:sz w:val="21"/>
                <w:szCs w:val="21"/>
                <w:lang w:val="en-US" w:eastAsia="zh-CN"/>
              </w:rPr>
            </w:pPr>
          </w:p>
          <w:p w14:paraId="4BD441B2">
            <w:pPr>
              <w:keepNext w:val="0"/>
              <w:keepLines w:val="0"/>
              <w:widowControl/>
              <w:suppressLineNumbers w:val="0"/>
              <w:spacing w:before="0" w:beforeAutospacing="0" w:after="0" w:afterAutospacing="0" w:line="240" w:lineRule="atLeast"/>
              <w:ind w:left="0" w:right="0"/>
              <w:rPr>
                <w:rFonts w:hint="eastAsia" w:ascii="Arial Unicode MS" w:hAnsi="Arial Unicode MS" w:eastAsia="宋体" w:cs="Arial Unicode MS"/>
                <w:color w:val="auto"/>
                <w:kern w:val="0"/>
                <w:sz w:val="21"/>
                <w:szCs w:val="21"/>
                <w:lang w:val="en-US" w:eastAsia="zh-CN"/>
              </w:rPr>
            </w:pPr>
            <w:r>
              <w:rPr>
                <w:rFonts w:hint="default"/>
                <w:color w:val="auto"/>
                <w:sz w:val="21"/>
                <w:szCs w:val="21"/>
              </w:rPr>
              <w:drawing>
                <wp:anchor distT="0" distB="0" distL="114300" distR="114300" simplePos="0" relativeHeight="251669504" behindDoc="0" locked="0" layoutInCell="1" allowOverlap="1">
                  <wp:simplePos x="0" y="0"/>
                  <wp:positionH relativeFrom="page">
                    <wp:posOffset>2454910</wp:posOffset>
                  </wp:positionH>
                  <wp:positionV relativeFrom="page">
                    <wp:posOffset>2950210</wp:posOffset>
                  </wp:positionV>
                  <wp:extent cx="1938655" cy="1254760"/>
                  <wp:effectExtent l="0" t="0" r="4445" b="2540"/>
                  <wp:wrapNone/>
                  <wp:docPr id="1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pic:cNvPicPr>
                            <a:picLocks noChangeAspect="1"/>
                          </pic:cNvPicPr>
                        </pic:nvPicPr>
                        <pic:blipFill>
                          <a:blip r:embed="rId30"/>
                          <a:stretch>
                            <a:fillRect/>
                          </a:stretch>
                        </pic:blipFill>
                        <pic:spPr>
                          <a:xfrm>
                            <a:off x="0" y="0"/>
                            <a:ext cx="1938655" cy="1254760"/>
                          </a:xfrm>
                          <a:prstGeom prst="rect">
                            <a:avLst/>
                          </a:prstGeom>
                          <a:noFill/>
                          <a:ln>
                            <a:noFill/>
                          </a:ln>
                        </pic:spPr>
                      </pic:pic>
                    </a:graphicData>
                  </a:graphic>
                </wp:anchor>
              </w:drawing>
            </w:r>
            <w:r>
              <w:rPr>
                <w:rFonts w:hint="eastAsia" w:ascii="Arial Unicode MS" w:hAnsi="Arial Unicode MS" w:eastAsia="MingLiU" w:cs="Arial Unicode MS"/>
                <w:color w:val="auto"/>
                <w:kern w:val="0"/>
                <w:sz w:val="21"/>
                <w:szCs w:val="21"/>
              </w:rPr>
              <w:drawing>
                <wp:anchor distT="0" distB="0" distL="114300" distR="114300" simplePos="0" relativeHeight="251668480" behindDoc="0" locked="0" layoutInCell="1" allowOverlap="1">
                  <wp:simplePos x="0" y="0"/>
                  <wp:positionH relativeFrom="column">
                    <wp:posOffset>420370</wp:posOffset>
                  </wp:positionH>
                  <wp:positionV relativeFrom="paragraph">
                    <wp:posOffset>106680</wp:posOffset>
                  </wp:positionV>
                  <wp:extent cx="1793240" cy="1261745"/>
                  <wp:effectExtent l="9525" t="9525" r="26035" b="24130"/>
                  <wp:wrapNone/>
                  <wp:docPr id="8" name="图片 10" descr="b8791a6bd6323c1da1ef52bfabe4d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b8791a6bd6323c1da1ef52bfabe4d3b"/>
                          <pic:cNvPicPr>
                            <a:picLocks noChangeAspect="1"/>
                          </pic:cNvPicPr>
                        </pic:nvPicPr>
                        <pic:blipFill>
                          <a:blip r:embed="rId31"/>
                          <a:stretch>
                            <a:fillRect/>
                          </a:stretch>
                        </pic:blipFill>
                        <pic:spPr>
                          <a:xfrm>
                            <a:off x="0" y="0"/>
                            <a:ext cx="1793240" cy="1261745"/>
                          </a:xfrm>
                          <a:prstGeom prst="rect">
                            <a:avLst/>
                          </a:prstGeom>
                          <a:noFill/>
                          <a:ln w="9525" cap="flat" cmpd="sng">
                            <a:solidFill>
                              <a:srgbClr val="000000"/>
                            </a:solidFill>
                            <a:prstDash val="solid"/>
                            <a:miter/>
                            <a:headEnd type="none" w="med" len="med"/>
                            <a:tailEnd type="none" w="med" len="med"/>
                          </a:ln>
                        </pic:spPr>
                      </pic:pic>
                    </a:graphicData>
                  </a:graphic>
                </wp:anchor>
              </w:drawing>
            </w:r>
          </w:p>
          <w:p w14:paraId="4E289B3D">
            <w:pPr>
              <w:keepNext/>
              <w:keepLines/>
              <w:widowControl/>
              <w:suppressLineNumbers w:val="0"/>
              <w:spacing w:before="0" w:beforeAutospacing="0" w:after="0" w:afterAutospacing="0" w:line="240" w:lineRule="atLeast"/>
              <w:ind w:left="0" w:right="0" w:firstLine="420" w:firstLineChars="199"/>
              <w:jc w:val="center"/>
              <w:rPr>
                <w:rFonts w:hint="eastAsia"/>
                <w:b/>
                <w:color w:val="auto"/>
                <w:sz w:val="21"/>
                <w:szCs w:val="21"/>
              </w:rPr>
            </w:pPr>
          </w:p>
          <w:p w14:paraId="1FE475E6">
            <w:pPr>
              <w:keepNext/>
              <w:keepLines/>
              <w:widowControl/>
              <w:suppressLineNumbers w:val="0"/>
              <w:spacing w:before="0" w:beforeAutospacing="0" w:after="0" w:afterAutospacing="0" w:line="240" w:lineRule="atLeast"/>
              <w:ind w:left="0" w:right="0"/>
              <w:rPr>
                <w:rFonts w:hint="eastAsia"/>
                <w:color w:val="auto"/>
                <w:sz w:val="21"/>
                <w:szCs w:val="21"/>
                <w:lang w:val="en-US" w:eastAsia="zh-CN"/>
              </w:rPr>
            </w:pPr>
            <w:r>
              <w:rPr>
                <w:rFonts w:hint="eastAsia"/>
                <w:color w:val="auto"/>
                <w:sz w:val="21"/>
                <w:szCs w:val="21"/>
              </w:rPr>
              <w:t xml:space="preserve"> </w:t>
            </w:r>
            <w:r>
              <w:rPr>
                <w:rFonts w:hint="eastAsia"/>
                <w:color w:val="auto"/>
                <w:sz w:val="21"/>
                <w:szCs w:val="21"/>
                <w:lang w:val="en-US" w:eastAsia="zh-CN"/>
              </w:rPr>
              <w:t xml:space="preserve">   </w:t>
            </w:r>
          </w:p>
          <w:p w14:paraId="4DB02F68">
            <w:pPr>
              <w:keepNext/>
              <w:keepLines/>
              <w:widowControl/>
              <w:suppressLineNumbers w:val="0"/>
              <w:spacing w:before="0" w:beforeAutospacing="0" w:after="0" w:afterAutospacing="0" w:line="240" w:lineRule="atLeast"/>
              <w:ind w:left="0" w:right="0"/>
              <w:rPr>
                <w:rFonts w:hint="default"/>
                <w:b/>
                <w:color w:val="auto"/>
                <w:sz w:val="21"/>
                <w:szCs w:val="21"/>
              </w:rPr>
            </w:pPr>
            <w:r>
              <w:rPr>
                <w:rFonts w:hint="eastAsia"/>
                <w:color w:val="auto"/>
                <w:sz w:val="21"/>
                <w:szCs w:val="21"/>
                <w:lang w:val="en-US" w:eastAsia="zh-CN"/>
              </w:rPr>
              <w:t xml:space="preserve">       </w:t>
            </w:r>
            <w:r>
              <w:rPr>
                <w:rFonts w:hint="eastAsia"/>
                <w:color w:val="auto"/>
                <w:sz w:val="21"/>
                <w:szCs w:val="21"/>
              </w:rPr>
              <w:t xml:space="preserve"> </w:t>
            </w:r>
            <w:r>
              <w:rPr>
                <w:rFonts w:hint="eastAsia" w:ascii="Arial Unicode MS" w:hAnsi="Arial Unicode MS" w:cs="Arial Unicode MS"/>
                <w:color w:val="auto"/>
                <w:kern w:val="0"/>
                <w:sz w:val="21"/>
                <w:szCs w:val="21"/>
              </w:rPr>
              <w:t xml:space="preserve">  </w:t>
            </w:r>
          </w:p>
          <w:p w14:paraId="721ABCC0">
            <w:pPr>
              <w:keepNext/>
              <w:keepLines/>
              <w:widowControl/>
              <w:suppressLineNumbers w:val="0"/>
              <w:spacing w:before="0" w:beforeAutospacing="0" w:after="0" w:afterAutospacing="0" w:line="240" w:lineRule="atLeast"/>
              <w:ind w:left="0" w:right="0"/>
              <w:jc w:val="center"/>
              <w:rPr>
                <w:rFonts w:hint="default"/>
                <w:b/>
                <w:color w:val="auto"/>
                <w:sz w:val="21"/>
                <w:szCs w:val="21"/>
              </w:rPr>
            </w:pPr>
          </w:p>
          <w:p w14:paraId="68E6AE6A">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r>
              <w:rPr>
                <w:rFonts w:hint="eastAsia"/>
                <w:b/>
                <w:color w:val="auto"/>
                <w:sz w:val="21"/>
                <w:szCs w:val="21"/>
              </w:rPr>
              <w:t xml:space="preserve">  </w:t>
            </w:r>
            <w:r>
              <w:rPr>
                <w:rFonts w:hint="eastAsia"/>
                <w:b/>
                <w:color w:val="auto"/>
                <w:sz w:val="21"/>
                <w:szCs w:val="21"/>
                <w:lang w:val="en-US" w:eastAsia="zh-CN"/>
              </w:rPr>
              <w:t xml:space="preserve">   </w:t>
            </w:r>
          </w:p>
          <w:p w14:paraId="58A410B3">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r>
              <w:rPr>
                <w:rFonts w:hint="eastAsia"/>
                <w:b/>
                <w:color w:val="auto"/>
                <w:sz w:val="21"/>
                <w:szCs w:val="21"/>
              </w:rPr>
              <w:drawing>
                <wp:anchor distT="0" distB="0" distL="114300" distR="114300" simplePos="0" relativeHeight="251671552" behindDoc="0" locked="0" layoutInCell="1" allowOverlap="1">
                  <wp:simplePos x="0" y="0"/>
                  <wp:positionH relativeFrom="page">
                    <wp:posOffset>2486660</wp:posOffset>
                  </wp:positionH>
                  <wp:positionV relativeFrom="page">
                    <wp:posOffset>4268470</wp:posOffset>
                  </wp:positionV>
                  <wp:extent cx="1929765" cy="1804035"/>
                  <wp:effectExtent l="0" t="0" r="13335" b="5715"/>
                  <wp:wrapNone/>
                  <wp:docPr id="3" name="图片 26" descr="1063152900d4ca916f6a52663a334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 descr="1063152900d4ca916f6a52663a3343a"/>
                          <pic:cNvPicPr>
                            <a:picLocks noChangeAspect="1"/>
                          </pic:cNvPicPr>
                        </pic:nvPicPr>
                        <pic:blipFill>
                          <a:blip r:embed="rId32"/>
                          <a:stretch>
                            <a:fillRect/>
                          </a:stretch>
                        </pic:blipFill>
                        <pic:spPr>
                          <a:xfrm>
                            <a:off x="0" y="0"/>
                            <a:ext cx="1929765" cy="1804035"/>
                          </a:xfrm>
                          <a:prstGeom prst="rect">
                            <a:avLst/>
                          </a:prstGeom>
                          <a:noFill/>
                          <a:ln>
                            <a:noFill/>
                          </a:ln>
                        </pic:spPr>
                      </pic:pic>
                    </a:graphicData>
                  </a:graphic>
                </wp:anchor>
              </w:drawing>
            </w:r>
            <w:r>
              <w:rPr>
                <w:rFonts w:hint="eastAsia"/>
                <w:b/>
                <w:color w:val="auto"/>
                <w:sz w:val="21"/>
                <w:szCs w:val="21"/>
              </w:rPr>
              <w:drawing>
                <wp:anchor distT="0" distB="0" distL="114300" distR="114300" simplePos="0" relativeHeight="251670528" behindDoc="0" locked="0" layoutInCell="1" allowOverlap="1">
                  <wp:simplePos x="0" y="0"/>
                  <wp:positionH relativeFrom="page">
                    <wp:posOffset>507365</wp:posOffset>
                  </wp:positionH>
                  <wp:positionV relativeFrom="page">
                    <wp:posOffset>4277995</wp:posOffset>
                  </wp:positionV>
                  <wp:extent cx="1813560" cy="1813560"/>
                  <wp:effectExtent l="0" t="0" r="15240" b="15240"/>
                  <wp:wrapNone/>
                  <wp:docPr id="4" name="图片 24" descr="04739b7648906f389d72ffc2e80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descr="04739b7648906f389d72ffc2e800402"/>
                          <pic:cNvPicPr>
                            <a:picLocks noChangeAspect="1"/>
                          </pic:cNvPicPr>
                        </pic:nvPicPr>
                        <pic:blipFill>
                          <a:blip r:embed="rId33"/>
                          <a:stretch>
                            <a:fillRect/>
                          </a:stretch>
                        </pic:blipFill>
                        <pic:spPr>
                          <a:xfrm>
                            <a:off x="0" y="0"/>
                            <a:ext cx="1813560" cy="1813560"/>
                          </a:xfrm>
                          <a:prstGeom prst="rect">
                            <a:avLst/>
                          </a:prstGeom>
                          <a:noFill/>
                          <a:ln>
                            <a:noFill/>
                          </a:ln>
                        </pic:spPr>
                      </pic:pic>
                    </a:graphicData>
                  </a:graphic>
                </wp:anchor>
              </w:drawing>
            </w:r>
          </w:p>
          <w:p w14:paraId="2FB41510">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p>
          <w:p w14:paraId="568E7D17">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p>
          <w:p w14:paraId="3670587F">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p>
          <w:p w14:paraId="6A32D8A7">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p>
          <w:p w14:paraId="5A304356">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p>
          <w:p w14:paraId="792EC5AB">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p>
          <w:p w14:paraId="5BE0A9F3">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p>
          <w:p w14:paraId="5C5868DD">
            <w:pPr>
              <w:pStyle w:val="5"/>
              <w:keepNext w:val="0"/>
              <w:keepLines w:val="0"/>
              <w:suppressLineNumbers w:val="0"/>
              <w:spacing w:before="0" w:beforeAutospacing="0" w:after="0" w:afterAutospacing="0"/>
              <w:ind w:left="0" w:right="0" w:firstLine="0"/>
              <w:rPr>
                <w:rFonts w:hint="eastAsia"/>
                <w:b/>
                <w:color w:val="auto"/>
                <w:sz w:val="21"/>
                <w:szCs w:val="21"/>
                <w:lang w:val="en-US" w:eastAsia="zh-CN"/>
              </w:rPr>
            </w:pPr>
          </w:p>
          <w:p w14:paraId="7A21E993">
            <w:pPr>
              <w:pStyle w:val="5"/>
              <w:keepNext w:val="0"/>
              <w:keepLines w:val="0"/>
              <w:suppressLineNumbers w:val="0"/>
              <w:spacing w:before="0" w:beforeAutospacing="0" w:after="0" w:afterAutospacing="0"/>
              <w:ind w:left="0" w:right="0" w:firstLine="0"/>
              <w:jc w:val="center"/>
              <w:rPr>
                <w:rFonts w:hint="default"/>
                <w:b/>
                <w:color w:val="auto"/>
                <w:sz w:val="21"/>
                <w:szCs w:val="21"/>
              </w:rPr>
            </w:pPr>
          </w:p>
          <w:p w14:paraId="2C3B362B">
            <w:pPr>
              <w:pStyle w:val="5"/>
              <w:keepNext w:val="0"/>
              <w:keepLines w:val="0"/>
              <w:suppressLineNumbers w:val="0"/>
              <w:spacing w:before="0" w:beforeAutospacing="0" w:after="0" w:afterAutospacing="0"/>
              <w:ind w:left="0" w:right="0" w:firstLine="0"/>
              <w:jc w:val="center"/>
              <w:rPr>
                <w:rFonts w:hint="default"/>
                <w:b/>
                <w:color w:val="auto"/>
                <w:sz w:val="21"/>
                <w:szCs w:val="21"/>
              </w:rPr>
            </w:pPr>
            <w:r>
              <w:rPr>
                <w:rFonts w:hint="default"/>
                <w:b/>
                <w:color w:val="auto"/>
                <w:sz w:val="21"/>
                <w:szCs w:val="21"/>
              </w:rPr>
              <w:t>图</w:t>
            </w:r>
            <w:r>
              <w:rPr>
                <w:rFonts w:hint="eastAsia"/>
                <w:b/>
                <w:color w:val="auto"/>
                <w:sz w:val="21"/>
                <w:szCs w:val="21"/>
                <w:lang w:val="en-US" w:eastAsia="zh-CN"/>
              </w:rPr>
              <w:t>5-1</w:t>
            </w:r>
            <w:r>
              <w:rPr>
                <w:rFonts w:hint="default"/>
                <w:b/>
                <w:color w:val="auto"/>
                <w:sz w:val="21"/>
                <w:szCs w:val="21"/>
              </w:rPr>
              <w:t xml:space="preserve">   环境保护图形标志牌</w:t>
            </w:r>
          </w:p>
          <w:p w14:paraId="2DF7F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textAlignment w:val="auto"/>
              <w:rPr>
                <w:rFonts w:hint="default"/>
                <w:bCs/>
                <w:color w:val="auto"/>
                <w:sz w:val="21"/>
                <w:szCs w:val="21"/>
              </w:rPr>
            </w:pPr>
            <w:r>
              <w:rPr>
                <w:rFonts w:hint="default"/>
                <w:color w:val="auto"/>
                <w:sz w:val="21"/>
                <w:szCs w:val="21"/>
              </w:rPr>
              <w:fldChar w:fldCharType="begin"/>
            </w:r>
            <w:r>
              <w:rPr>
                <w:rFonts w:hint="default"/>
                <w:color w:val="auto"/>
                <w:sz w:val="21"/>
                <w:szCs w:val="21"/>
              </w:rPr>
              <w:instrText xml:space="preserve"> = 3 \* GB3 \* MERGEFORMAT </w:instrText>
            </w:r>
            <w:r>
              <w:rPr>
                <w:rFonts w:hint="default"/>
                <w:color w:val="auto"/>
                <w:sz w:val="21"/>
                <w:szCs w:val="21"/>
              </w:rPr>
              <w:fldChar w:fldCharType="separate"/>
            </w:r>
            <w:r>
              <w:rPr>
                <w:rFonts w:hint="default"/>
              </w:rPr>
              <w:t>③</w:t>
            </w:r>
            <w:r>
              <w:rPr>
                <w:rFonts w:hint="default"/>
                <w:color w:val="auto"/>
                <w:sz w:val="21"/>
                <w:szCs w:val="21"/>
              </w:rPr>
              <w:fldChar w:fldCharType="end"/>
            </w:r>
            <w:r>
              <w:rPr>
                <w:rFonts w:hint="eastAsia"/>
                <w:color w:val="auto"/>
                <w:sz w:val="21"/>
                <w:szCs w:val="21"/>
              </w:rPr>
              <w:t>建立规范化排污口档案</w:t>
            </w:r>
          </w:p>
          <w:p w14:paraId="064F19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auto"/>
              <w:rPr>
                <w:rFonts w:hint="eastAsia"/>
                <w:color w:val="auto"/>
                <w:sz w:val="21"/>
                <w:szCs w:val="21"/>
                <w:lang w:eastAsia="zh-CN"/>
              </w:rPr>
            </w:pPr>
            <w:r>
              <w:rPr>
                <w:rFonts w:hint="eastAsia"/>
                <w:color w:val="auto"/>
                <w:sz w:val="21"/>
                <w:szCs w:val="21"/>
              </w:rPr>
              <w:t>建立各排污口相应的监督管理档案，内容包括排污单位名称，排污口性质及编号，排污口的地理位置（</w:t>
            </w:r>
            <w:r>
              <w:rPr>
                <w:rFonts w:hint="default"/>
                <w:color w:val="auto"/>
                <w:sz w:val="21"/>
                <w:szCs w:val="21"/>
              </w:rPr>
              <w:t>GPS</w:t>
            </w:r>
            <w:r>
              <w:rPr>
                <w:rFonts w:hint="eastAsia"/>
                <w:color w:val="auto"/>
                <w:sz w:val="21"/>
                <w:szCs w:val="21"/>
              </w:rPr>
              <w:t>定位经纬度），排污口所排放的主要污染物种类、数量、浓度及排放去向、</w:t>
            </w:r>
            <w:r>
              <w:rPr>
                <w:rFonts w:hint="eastAsia"/>
                <w:color w:val="auto"/>
                <w:sz w:val="21"/>
                <w:szCs w:val="21"/>
                <w:lang w:eastAsia="zh-CN"/>
              </w:rPr>
              <w:t>达</w:t>
            </w:r>
            <w:r>
              <w:rPr>
                <w:rFonts w:hint="eastAsia"/>
                <w:color w:val="auto"/>
                <w:sz w:val="21"/>
                <w:szCs w:val="21"/>
              </w:rPr>
              <w:t>标情况，设施运行及日常现场监督检查记录等有关资料和记录</w:t>
            </w:r>
            <w:r>
              <w:rPr>
                <w:rFonts w:hint="eastAsia"/>
                <w:color w:val="auto"/>
                <w:sz w:val="21"/>
                <w:szCs w:val="21"/>
                <w:lang w:eastAsia="zh-CN"/>
              </w:rPr>
              <w:t>。</w:t>
            </w:r>
          </w:p>
          <w:p w14:paraId="1BB47F1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auto"/>
              <w:rPr>
                <w:rFonts w:hint="eastAsia"/>
                <w:color w:val="auto"/>
                <w:sz w:val="21"/>
                <w:szCs w:val="21"/>
                <w:lang w:eastAsia="zh-CN"/>
              </w:rPr>
            </w:pPr>
          </w:p>
          <w:p w14:paraId="146ACF3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auto"/>
              <w:rPr>
                <w:rFonts w:hint="eastAsia"/>
                <w:color w:val="auto"/>
                <w:sz w:val="21"/>
                <w:szCs w:val="21"/>
                <w:lang w:eastAsia="zh-CN"/>
              </w:rPr>
            </w:pPr>
          </w:p>
          <w:p w14:paraId="2134C4F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auto"/>
              <w:rPr>
                <w:rFonts w:hint="eastAsia"/>
                <w:color w:val="auto"/>
                <w:sz w:val="21"/>
                <w:szCs w:val="21"/>
                <w:lang w:eastAsia="zh-CN"/>
              </w:rPr>
            </w:pPr>
          </w:p>
          <w:p w14:paraId="0D543B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auto"/>
              <w:rPr>
                <w:rFonts w:hint="eastAsia"/>
                <w:color w:val="auto"/>
                <w:sz w:val="21"/>
                <w:szCs w:val="21"/>
                <w:lang w:eastAsia="zh-CN"/>
              </w:rPr>
            </w:pPr>
          </w:p>
          <w:p w14:paraId="679B1A2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auto"/>
              <w:rPr>
                <w:rFonts w:hint="eastAsia"/>
                <w:color w:val="auto"/>
                <w:sz w:val="21"/>
                <w:szCs w:val="21"/>
                <w:lang w:eastAsia="zh-CN"/>
              </w:rPr>
            </w:pPr>
          </w:p>
          <w:p w14:paraId="5E79C4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auto"/>
                <w:spacing w:val="0"/>
                <w:sz w:val="21"/>
                <w:szCs w:val="21"/>
                <w:lang w:eastAsia="zh-CN"/>
              </w:rPr>
            </w:pPr>
          </w:p>
        </w:tc>
      </w:tr>
    </w:tbl>
    <w:p w14:paraId="5193BB71">
      <w:pPr>
        <w:pStyle w:val="2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rPr>
      </w:pPr>
    </w:p>
    <w:p w14:paraId="02C64164">
      <w:pPr>
        <w:pStyle w:val="2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rPr>
      </w:pPr>
      <w:r>
        <w:rPr>
          <w:rFonts w:ascii="Times New Roman" w:hAnsi="Times New Roman" w:eastAsia="黑体"/>
          <w:b/>
          <w:bCs/>
          <w:snapToGrid w:val="0"/>
          <w:color w:val="auto"/>
          <w:sz w:val="30"/>
          <w:szCs w:val="30"/>
        </w:rPr>
        <w:t>六、结论</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7E22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721E838D">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本项目选址合理，符合国家及地方相关的产业政策要求；项目建设符合</w:t>
            </w:r>
            <w:r>
              <w:rPr>
                <w:rFonts w:hint="eastAsia"/>
                <w:color w:val="auto"/>
                <w:sz w:val="24"/>
                <w:lang w:eastAsia="zh-CN"/>
              </w:rPr>
              <w:t>“</w:t>
            </w:r>
            <w:r>
              <w:rPr>
                <w:rFonts w:hint="default"/>
                <w:color w:val="auto"/>
                <w:sz w:val="24"/>
              </w:rPr>
              <w:t>三线一单</w:t>
            </w:r>
            <w:r>
              <w:rPr>
                <w:rFonts w:hint="eastAsia"/>
                <w:color w:val="auto"/>
                <w:sz w:val="24"/>
                <w:lang w:eastAsia="zh-CN"/>
              </w:rPr>
              <w:t>”</w:t>
            </w:r>
            <w:r>
              <w:rPr>
                <w:rFonts w:hint="default"/>
                <w:color w:val="auto"/>
                <w:sz w:val="24"/>
              </w:rPr>
              <w:t>管理及相关环保规划要求；本项目依照环境保护措施监督检查清单，逐一落实本报告提出的污染项目，并在施工过程中加强环保设施管理，保证各项污染物达标排放，不会对周围环境产生明显影响。</w:t>
            </w:r>
          </w:p>
          <w:p w14:paraId="108E4A8A">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r>
              <w:rPr>
                <w:rFonts w:hint="default"/>
                <w:color w:val="auto"/>
                <w:sz w:val="24"/>
              </w:rPr>
              <w:t>因此，从环保角度分析，该工程建设是可行的</w:t>
            </w:r>
            <w:r>
              <w:rPr>
                <w:rFonts w:hint="eastAsia"/>
                <w:color w:val="auto"/>
                <w:sz w:val="24"/>
                <w:lang w:eastAsia="zh-CN"/>
              </w:rPr>
              <w:t>。</w:t>
            </w:r>
          </w:p>
          <w:p w14:paraId="11EDBD6C">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57469CE6">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2FC3F523">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38355AD0">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631BBDDF">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518E44DB">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7E589D94">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5EAA4CA9">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1D7C4214">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73C40DBC">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1503B965">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0A2EE5E1">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02C5CE1B">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55B73EC0">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49BADC6D">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10CDCD91">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6ED90D24">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199CFCF4">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20C3479D">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6332F9BB">
            <w:pPr>
              <w:keepNext w:val="0"/>
              <w:keepLines w:val="0"/>
              <w:suppressLineNumbers w:val="0"/>
              <w:spacing w:before="0" w:beforeAutospacing="0" w:after="0" w:afterAutospacing="0" w:line="360" w:lineRule="auto"/>
              <w:ind w:left="0" w:right="0" w:firstLine="480" w:firstLineChars="200"/>
              <w:rPr>
                <w:rFonts w:hint="eastAsia"/>
                <w:color w:val="auto"/>
                <w:sz w:val="24"/>
                <w:lang w:eastAsia="zh-CN"/>
              </w:rPr>
            </w:pPr>
          </w:p>
          <w:p w14:paraId="00F3A34A">
            <w:pPr>
              <w:keepNext w:val="0"/>
              <w:keepLines w:val="0"/>
              <w:suppressLineNumbers w:val="0"/>
              <w:spacing w:before="0" w:beforeAutospacing="0" w:after="0" w:afterAutospacing="0" w:line="360" w:lineRule="auto"/>
              <w:ind w:left="0" w:right="0" w:firstLine="480" w:firstLineChars="200"/>
              <w:rPr>
                <w:rFonts w:hint="default"/>
                <w:color w:val="auto"/>
                <w:sz w:val="24"/>
              </w:rPr>
            </w:pPr>
          </w:p>
        </w:tc>
      </w:tr>
    </w:tbl>
    <w:p w14:paraId="7C5EEFE5">
      <w:pPr>
        <w:keepNext w:val="0"/>
        <w:keepLines w:val="0"/>
        <w:suppressLineNumbers w:val="0"/>
        <w:spacing w:before="0" w:beforeAutospacing="0" w:after="0" w:afterAutospacing="0" w:line="360" w:lineRule="auto"/>
        <w:ind w:left="0" w:right="0" w:firstLine="480" w:firstLineChars="200"/>
        <w:rPr>
          <w:rFonts w:hint="default"/>
          <w:color w:val="auto"/>
          <w:sz w:val="24"/>
        </w:rPr>
        <w:sectPr>
          <w:footerReference r:id="rId6" w:type="default"/>
          <w:pgSz w:w="11906" w:h="16838"/>
          <w:pgMar w:top="1080" w:right="1440" w:bottom="108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F1BEFE6">
      <w:pPr>
        <w:pStyle w:val="28"/>
        <w:adjustRightInd w:val="0"/>
        <w:snapToGrid w:val="0"/>
        <w:spacing w:before="0" w:beforeAutospacing="0" w:after="0" w:afterAutospacing="0" w:line="400" w:lineRule="exact"/>
        <w:jc w:val="both"/>
        <w:outlineLvl w:val="0"/>
        <w:rPr>
          <w:rFonts w:hint="eastAsia" w:ascii="Times New Roman" w:hAnsi="Times New Roman" w:eastAsia="黑体"/>
          <w:snapToGrid w:val="0"/>
          <w:color w:val="auto"/>
          <w:sz w:val="32"/>
          <w:szCs w:val="32"/>
        </w:rPr>
      </w:pPr>
      <w:r>
        <w:rPr>
          <w:rFonts w:hint="eastAsia" w:ascii="Times New Roman" w:hAnsi="Times New Roman" w:eastAsia="黑体"/>
          <w:snapToGrid w:val="0"/>
          <w:color w:val="auto"/>
          <w:sz w:val="32"/>
          <w:szCs w:val="32"/>
        </w:rPr>
        <w:t>附表</w:t>
      </w:r>
    </w:p>
    <w:p w14:paraId="5E4F6485">
      <w:pPr>
        <w:pStyle w:val="28"/>
        <w:adjustRightInd w:val="0"/>
        <w:snapToGrid w:val="0"/>
        <w:spacing w:before="0" w:beforeAutospacing="0" w:after="0" w:afterAutospacing="0" w:line="400" w:lineRule="exact"/>
        <w:jc w:val="center"/>
        <w:outlineLvl w:val="0"/>
        <w:rPr>
          <w:rFonts w:ascii="Times New Roman" w:hAnsi="Times New Roman" w:eastAsia="黑体"/>
          <w:b/>
          <w:bCs/>
          <w:snapToGrid w:val="0"/>
          <w:color w:val="auto"/>
          <w:sz w:val="32"/>
          <w:szCs w:val="32"/>
        </w:rPr>
      </w:pPr>
      <w:r>
        <w:rPr>
          <w:rFonts w:hint="default" w:ascii="Times New Roman" w:hAnsi="Times New Roman" w:eastAsia="宋体" w:cs="Times New Roman"/>
          <w:b/>
          <w:bCs/>
          <w:snapToGrid w:val="0"/>
          <w:color w:val="auto"/>
          <w:sz w:val="32"/>
          <w:szCs w:val="32"/>
          <w:highlight w:val="none"/>
        </w:rPr>
        <w:t>建设项目污染物排放量汇总表</w:t>
      </w:r>
    </w:p>
    <w:tbl>
      <w:tblPr>
        <w:tblStyle w:val="33"/>
        <w:tblW w:w="499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940"/>
        <w:gridCol w:w="1602"/>
        <w:gridCol w:w="1172"/>
        <w:gridCol w:w="1546"/>
        <w:gridCol w:w="1702"/>
        <w:gridCol w:w="2031"/>
        <w:gridCol w:w="2131"/>
        <w:gridCol w:w="1416"/>
      </w:tblGrid>
      <w:tr w14:paraId="7D95EF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tcBorders>
              <w:tl2br w:val="nil"/>
              <w:tr2bl w:val="nil"/>
            </w:tcBorders>
            <w:noWrap w:val="0"/>
            <w:tcMar>
              <w:left w:w="28" w:type="dxa"/>
              <w:right w:w="28" w:type="dxa"/>
            </w:tcMar>
            <w:vAlign w:val="center"/>
          </w:tcPr>
          <w:p w14:paraId="3DC6B4DF">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 xml:space="preserve">      项目</w:t>
            </w:r>
          </w:p>
          <w:p w14:paraId="6A3571FB">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jc w:val="left"/>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分类</w:t>
            </w:r>
          </w:p>
        </w:tc>
        <w:tc>
          <w:tcPr>
            <w:tcW w:w="659" w:type="pct"/>
            <w:tcBorders>
              <w:tl2br w:val="nil"/>
              <w:tr2bl w:val="nil"/>
            </w:tcBorders>
            <w:noWrap w:val="0"/>
            <w:tcMar>
              <w:left w:w="28" w:type="dxa"/>
              <w:right w:w="28" w:type="dxa"/>
            </w:tcMar>
            <w:vAlign w:val="center"/>
          </w:tcPr>
          <w:p w14:paraId="7A1DA687">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污染物名称</w:t>
            </w:r>
          </w:p>
        </w:tc>
        <w:tc>
          <w:tcPr>
            <w:tcW w:w="544" w:type="pct"/>
            <w:tcBorders>
              <w:tl2br w:val="nil"/>
              <w:tr2bl w:val="nil"/>
            </w:tcBorders>
            <w:noWrap w:val="0"/>
            <w:tcMar>
              <w:left w:w="28" w:type="dxa"/>
              <w:right w:w="28" w:type="dxa"/>
            </w:tcMar>
            <w:vAlign w:val="center"/>
          </w:tcPr>
          <w:p w14:paraId="2FE3F971">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现有工程</w:t>
            </w:r>
          </w:p>
          <w:p w14:paraId="2F10AED2">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排放量（固体废物产生量）t/a</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1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①</w:t>
            </w:r>
            <w:r>
              <w:rPr>
                <w:rFonts w:hint="default" w:ascii="Times New Roman" w:hAnsi="Times New Roman" w:eastAsia="宋体" w:cs="Times New Roman"/>
                <w:b/>
                <w:bCs/>
                <w:snapToGrid w:val="0"/>
                <w:color w:val="auto"/>
                <w:spacing w:val="-6"/>
                <w:kern w:val="21"/>
                <w:sz w:val="21"/>
                <w:szCs w:val="21"/>
              </w:rPr>
              <w:fldChar w:fldCharType="end"/>
            </w:r>
          </w:p>
        </w:tc>
        <w:tc>
          <w:tcPr>
            <w:tcW w:w="398" w:type="pct"/>
            <w:tcBorders>
              <w:tl2br w:val="nil"/>
              <w:tr2bl w:val="nil"/>
            </w:tcBorders>
            <w:noWrap w:val="0"/>
            <w:tcMar>
              <w:left w:w="28" w:type="dxa"/>
              <w:right w:w="28" w:type="dxa"/>
            </w:tcMar>
            <w:vAlign w:val="center"/>
          </w:tcPr>
          <w:p w14:paraId="7AA5E2F0">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现有工程</w:t>
            </w:r>
          </w:p>
          <w:p w14:paraId="5FF7FA9F">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许可排放量</w:t>
            </w:r>
          </w:p>
          <w:p w14:paraId="22937C1B">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t/a</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2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snapToGrid w:val="0"/>
                <w:color w:val="auto"/>
                <w:spacing w:val="-6"/>
                <w:kern w:val="21"/>
                <w:sz w:val="21"/>
                <w:szCs w:val="21"/>
              </w:rPr>
              <w:t>②</w:t>
            </w:r>
            <w:r>
              <w:rPr>
                <w:rFonts w:hint="default" w:ascii="Times New Roman" w:hAnsi="Times New Roman" w:eastAsia="宋体" w:cs="Times New Roman"/>
                <w:b/>
                <w:bCs/>
                <w:snapToGrid w:val="0"/>
                <w:color w:val="auto"/>
                <w:spacing w:val="-6"/>
                <w:kern w:val="21"/>
                <w:sz w:val="21"/>
                <w:szCs w:val="21"/>
              </w:rPr>
              <w:fldChar w:fldCharType="end"/>
            </w:r>
          </w:p>
        </w:tc>
        <w:tc>
          <w:tcPr>
            <w:tcW w:w="525" w:type="pct"/>
            <w:tcBorders>
              <w:tl2br w:val="nil"/>
              <w:tr2bl w:val="nil"/>
            </w:tcBorders>
            <w:noWrap w:val="0"/>
            <w:tcMar>
              <w:left w:w="28" w:type="dxa"/>
              <w:right w:w="28" w:type="dxa"/>
            </w:tcMar>
            <w:vAlign w:val="center"/>
          </w:tcPr>
          <w:p w14:paraId="3B450ECA">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在建工程</w:t>
            </w:r>
          </w:p>
          <w:p w14:paraId="74677532">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排放量（固体废物产生量）t/a</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3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③</w:t>
            </w:r>
            <w:r>
              <w:rPr>
                <w:rFonts w:hint="default" w:ascii="Times New Roman" w:hAnsi="Times New Roman" w:eastAsia="宋体" w:cs="Times New Roman"/>
                <w:b/>
                <w:bCs/>
                <w:snapToGrid w:val="0"/>
                <w:color w:val="auto"/>
                <w:spacing w:val="-6"/>
                <w:kern w:val="21"/>
                <w:sz w:val="21"/>
                <w:szCs w:val="21"/>
              </w:rPr>
              <w:fldChar w:fldCharType="end"/>
            </w:r>
          </w:p>
        </w:tc>
        <w:tc>
          <w:tcPr>
            <w:tcW w:w="578" w:type="pct"/>
            <w:tcBorders>
              <w:tl2br w:val="nil"/>
              <w:tr2bl w:val="nil"/>
            </w:tcBorders>
            <w:noWrap w:val="0"/>
            <w:tcMar>
              <w:left w:w="28" w:type="dxa"/>
              <w:right w:w="28" w:type="dxa"/>
            </w:tcMar>
            <w:vAlign w:val="center"/>
          </w:tcPr>
          <w:p w14:paraId="5D6155B4">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本项目</w:t>
            </w:r>
          </w:p>
          <w:p w14:paraId="2B3696C5">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排放量（固体废物产生量）t/a</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4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④</w:t>
            </w:r>
            <w:r>
              <w:rPr>
                <w:rFonts w:hint="default" w:ascii="Times New Roman" w:hAnsi="Times New Roman" w:eastAsia="宋体" w:cs="Times New Roman"/>
                <w:b/>
                <w:bCs/>
                <w:snapToGrid w:val="0"/>
                <w:color w:val="auto"/>
                <w:spacing w:val="-6"/>
                <w:kern w:val="21"/>
                <w:sz w:val="21"/>
                <w:szCs w:val="21"/>
              </w:rPr>
              <w:fldChar w:fldCharType="end"/>
            </w:r>
          </w:p>
        </w:tc>
        <w:tc>
          <w:tcPr>
            <w:tcW w:w="690" w:type="pct"/>
            <w:tcBorders>
              <w:tl2br w:val="nil"/>
              <w:tr2bl w:val="nil"/>
            </w:tcBorders>
            <w:noWrap w:val="0"/>
            <w:tcMar>
              <w:left w:w="28" w:type="dxa"/>
              <w:right w:w="28" w:type="dxa"/>
            </w:tcMar>
            <w:vAlign w:val="center"/>
          </w:tcPr>
          <w:p w14:paraId="66632924">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以新带老削减量</w:t>
            </w:r>
          </w:p>
          <w:p w14:paraId="5CA58426">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（新建项目不填</w:t>
            </w:r>
            <w:r>
              <w:rPr>
                <w:rFonts w:hint="default" w:ascii="Times New Roman" w:hAnsi="Times New Roman" w:eastAsia="宋体" w:cs="Times New Roman"/>
                <w:b/>
                <w:bCs/>
                <w:snapToGrid w:val="0"/>
                <w:color w:val="auto"/>
                <w:spacing w:val="-6"/>
                <w:kern w:val="21"/>
                <w:sz w:val="21"/>
                <w:szCs w:val="21"/>
              </w:rPr>
              <w:t>t/a</w:t>
            </w:r>
            <w:r>
              <w:rPr>
                <w:rFonts w:hint="default" w:ascii="Times New Roman" w:hAnsi="Times New Roman" w:eastAsia="宋体" w:cs="Times New Roman"/>
                <w:b/>
                <w:bCs/>
                <w:snapToGrid w:val="0"/>
                <w:color w:val="auto"/>
                <w:spacing w:val="-16"/>
                <w:kern w:val="21"/>
                <w:sz w:val="21"/>
                <w:szCs w:val="21"/>
              </w:rPr>
              <w:t>）</w:t>
            </w:r>
            <w:r>
              <w:rPr>
                <w:rFonts w:hint="default" w:ascii="Times New Roman" w:hAnsi="Times New Roman" w:eastAsia="宋体" w:cs="Times New Roman"/>
                <w:b/>
                <w:bCs/>
                <w:snapToGrid w:val="0"/>
                <w:color w:val="auto"/>
                <w:spacing w:val="-16"/>
                <w:kern w:val="21"/>
                <w:sz w:val="21"/>
                <w:szCs w:val="21"/>
              </w:rPr>
              <w:fldChar w:fldCharType="begin"/>
            </w:r>
            <w:r>
              <w:rPr>
                <w:rFonts w:hint="default" w:ascii="Times New Roman" w:hAnsi="Times New Roman" w:eastAsia="宋体" w:cs="Times New Roman"/>
                <w:b/>
                <w:bCs/>
                <w:snapToGrid w:val="0"/>
                <w:color w:val="auto"/>
                <w:spacing w:val="-16"/>
                <w:kern w:val="21"/>
                <w:sz w:val="21"/>
                <w:szCs w:val="21"/>
              </w:rPr>
              <w:instrText xml:space="preserve"> = 5 \* GB3 \* MERGEFORMAT </w:instrText>
            </w:r>
            <w:r>
              <w:rPr>
                <w:rFonts w:hint="default" w:ascii="Times New Roman" w:hAnsi="Times New Roman" w:eastAsia="宋体" w:cs="Times New Roman"/>
                <w:b/>
                <w:bCs/>
                <w:snapToGrid w:val="0"/>
                <w:color w:val="auto"/>
                <w:spacing w:val="-16"/>
                <w:kern w:val="21"/>
                <w:sz w:val="21"/>
                <w:szCs w:val="21"/>
              </w:rPr>
              <w:fldChar w:fldCharType="separate"/>
            </w:r>
            <w:r>
              <w:rPr>
                <w:rFonts w:hint="default" w:ascii="Times New Roman" w:hAnsi="Times New Roman" w:eastAsia="宋体" w:cs="Times New Roman"/>
                <w:b/>
                <w:bCs/>
                <w:color w:val="auto"/>
                <w:kern w:val="2"/>
                <w:sz w:val="21"/>
                <w:szCs w:val="21"/>
              </w:rPr>
              <w:t>⑤</w:t>
            </w:r>
            <w:r>
              <w:rPr>
                <w:rFonts w:hint="default" w:ascii="Times New Roman" w:hAnsi="Times New Roman" w:eastAsia="宋体" w:cs="Times New Roman"/>
                <w:b/>
                <w:bCs/>
                <w:snapToGrid w:val="0"/>
                <w:color w:val="auto"/>
                <w:spacing w:val="-16"/>
                <w:kern w:val="21"/>
                <w:sz w:val="21"/>
                <w:szCs w:val="21"/>
              </w:rPr>
              <w:fldChar w:fldCharType="end"/>
            </w:r>
          </w:p>
        </w:tc>
        <w:tc>
          <w:tcPr>
            <w:tcW w:w="724" w:type="pct"/>
            <w:tcBorders>
              <w:tl2br w:val="nil"/>
              <w:tr2bl w:val="nil"/>
            </w:tcBorders>
            <w:noWrap w:val="0"/>
            <w:tcMar>
              <w:left w:w="28" w:type="dxa"/>
              <w:right w:w="28" w:type="dxa"/>
            </w:tcMar>
            <w:vAlign w:val="center"/>
          </w:tcPr>
          <w:p w14:paraId="6720D1E5">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本项目建成后</w:t>
            </w:r>
          </w:p>
          <w:p w14:paraId="75FEE544">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全厂排放量（固体废物产生量）</w:t>
            </w:r>
            <w:r>
              <w:rPr>
                <w:rFonts w:hint="default" w:ascii="Times New Roman" w:hAnsi="Times New Roman" w:eastAsia="宋体" w:cs="Times New Roman"/>
                <w:b/>
                <w:bCs/>
                <w:snapToGrid w:val="0"/>
                <w:color w:val="auto"/>
                <w:spacing w:val="-6"/>
                <w:kern w:val="21"/>
                <w:sz w:val="21"/>
                <w:szCs w:val="21"/>
              </w:rPr>
              <w:t>t/a</w:t>
            </w:r>
            <w:r>
              <w:rPr>
                <w:rFonts w:hint="default" w:ascii="Times New Roman" w:hAnsi="Times New Roman" w:eastAsia="宋体" w:cs="Times New Roman"/>
                <w:b/>
                <w:bCs/>
                <w:snapToGrid w:val="0"/>
                <w:color w:val="auto"/>
                <w:spacing w:val="-16"/>
                <w:kern w:val="21"/>
                <w:sz w:val="21"/>
                <w:szCs w:val="21"/>
              </w:rPr>
              <w:fldChar w:fldCharType="begin"/>
            </w:r>
            <w:r>
              <w:rPr>
                <w:rFonts w:hint="default" w:ascii="Times New Roman" w:hAnsi="Times New Roman" w:eastAsia="宋体" w:cs="Times New Roman"/>
                <w:b/>
                <w:bCs/>
                <w:snapToGrid w:val="0"/>
                <w:color w:val="auto"/>
                <w:spacing w:val="-16"/>
                <w:kern w:val="21"/>
                <w:sz w:val="21"/>
                <w:szCs w:val="21"/>
              </w:rPr>
              <w:instrText xml:space="preserve"> = 6 \* GB3 \* MERGEFORMAT </w:instrText>
            </w:r>
            <w:r>
              <w:rPr>
                <w:rFonts w:hint="default" w:ascii="Times New Roman" w:hAnsi="Times New Roman" w:eastAsia="宋体" w:cs="Times New Roman"/>
                <w:b/>
                <w:bCs/>
                <w:snapToGrid w:val="0"/>
                <w:color w:val="auto"/>
                <w:spacing w:val="-16"/>
                <w:kern w:val="21"/>
                <w:sz w:val="21"/>
                <w:szCs w:val="21"/>
              </w:rPr>
              <w:fldChar w:fldCharType="separate"/>
            </w:r>
            <w:r>
              <w:rPr>
                <w:rFonts w:hint="default" w:ascii="Times New Roman" w:hAnsi="Times New Roman" w:eastAsia="宋体" w:cs="Times New Roman"/>
                <w:b/>
                <w:bCs/>
                <w:color w:val="auto"/>
                <w:kern w:val="2"/>
                <w:sz w:val="21"/>
                <w:szCs w:val="21"/>
              </w:rPr>
              <w:t>⑥</w:t>
            </w:r>
            <w:r>
              <w:rPr>
                <w:rFonts w:hint="default" w:ascii="Times New Roman" w:hAnsi="Times New Roman" w:eastAsia="宋体" w:cs="Times New Roman"/>
                <w:b/>
                <w:bCs/>
                <w:snapToGrid w:val="0"/>
                <w:color w:val="auto"/>
                <w:spacing w:val="-16"/>
                <w:kern w:val="21"/>
                <w:sz w:val="21"/>
                <w:szCs w:val="21"/>
              </w:rPr>
              <w:fldChar w:fldCharType="end"/>
            </w:r>
          </w:p>
        </w:tc>
        <w:tc>
          <w:tcPr>
            <w:tcW w:w="481" w:type="pct"/>
            <w:tcBorders>
              <w:tl2br w:val="nil"/>
              <w:tr2bl w:val="nil"/>
            </w:tcBorders>
            <w:noWrap w:val="0"/>
            <w:tcMar>
              <w:left w:w="28" w:type="dxa"/>
              <w:right w:w="28" w:type="dxa"/>
            </w:tcMar>
            <w:vAlign w:val="center"/>
          </w:tcPr>
          <w:p w14:paraId="3284CB00">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变化量</w:t>
            </w:r>
          </w:p>
          <w:p w14:paraId="3C1D2529">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t/a</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7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⑦</w:t>
            </w:r>
            <w:r>
              <w:rPr>
                <w:rFonts w:hint="default" w:ascii="Times New Roman" w:hAnsi="Times New Roman" w:eastAsia="宋体" w:cs="Times New Roman"/>
                <w:b/>
                <w:bCs/>
                <w:snapToGrid w:val="0"/>
                <w:color w:val="auto"/>
                <w:spacing w:val="-6"/>
                <w:kern w:val="21"/>
                <w:sz w:val="21"/>
                <w:szCs w:val="21"/>
              </w:rPr>
              <w:fldChar w:fldCharType="end"/>
            </w:r>
          </w:p>
        </w:tc>
      </w:tr>
      <w:tr w14:paraId="7746B1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restart"/>
            <w:tcBorders>
              <w:tl2br w:val="nil"/>
              <w:tr2bl w:val="nil"/>
            </w:tcBorders>
            <w:noWrap w:val="0"/>
            <w:vAlign w:val="center"/>
          </w:tcPr>
          <w:p w14:paraId="1B8C6D2D">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废气</w:t>
            </w:r>
          </w:p>
        </w:tc>
        <w:tc>
          <w:tcPr>
            <w:tcW w:w="659" w:type="pct"/>
            <w:tcBorders>
              <w:tl2br w:val="nil"/>
              <w:tr2bl w:val="nil"/>
            </w:tcBorders>
            <w:noWrap w:val="0"/>
            <w:vAlign w:val="center"/>
          </w:tcPr>
          <w:p w14:paraId="2642043A">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颗粒物</w:t>
            </w:r>
          </w:p>
        </w:tc>
        <w:tc>
          <w:tcPr>
            <w:tcW w:w="544" w:type="pct"/>
            <w:tcBorders>
              <w:tl2br w:val="nil"/>
              <w:tr2bl w:val="nil"/>
            </w:tcBorders>
            <w:noWrap w:val="0"/>
            <w:vAlign w:val="center"/>
          </w:tcPr>
          <w:p w14:paraId="4EEEDEF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3CAD28D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39C8B07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0A750E3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rPr>
            </w:pPr>
            <w:r>
              <w:rPr>
                <w:rFonts w:hint="eastAsia" w:cs="Times New Roman"/>
                <w:snapToGrid w:val="0"/>
                <w:color w:val="000000"/>
                <w:kern w:val="21"/>
                <w:sz w:val="21"/>
                <w:szCs w:val="21"/>
                <w:lang w:val="en-US" w:eastAsia="zh-CN"/>
              </w:rPr>
              <w:t>0.976</w:t>
            </w:r>
          </w:p>
        </w:tc>
        <w:tc>
          <w:tcPr>
            <w:tcW w:w="690" w:type="pct"/>
            <w:tcBorders>
              <w:tl2br w:val="nil"/>
              <w:tr2bl w:val="nil"/>
            </w:tcBorders>
            <w:noWrap w:val="0"/>
            <w:vAlign w:val="center"/>
          </w:tcPr>
          <w:p w14:paraId="1C91283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5865B59F">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cs="Times New Roman"/>
                <w:snapToGrid w:val="0"/>
                <w:color w:val="000000"/>
                <w:kern w:val="21"/>
                <w:sz w:val="21"/>
                <w:szCs w:val="21"/>
                <w:lang w:val="en-US" w:eastAsia="zh-CN"/>
              </w:rPr>
              <w:t>0.976</w:t>
            </w:r>
          </w:p>
        </w:tc>
        <w:tc>
          <w:tcPr>
            <w:tcW w:w="481" w:type="pct"/>
            <w:tcBorders>
              <w:tl2br w:val="nil"/>
              <w:tr2bl w:val="nil"/>
            </w:tcBorders>
            <w:noWrap w:val="0"/>
            <w:vAlign w:val="center"/>
          </w:tcPr>
          <w:p w14:paraId="1A27AADB">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cs="Times New Roman"/>
                <w:snapToGrid w:val="0"/>
                <w:color w:val="000000"/>
                <w:kern w:val="21"/>
                <w:sz w:val="21"/>
                <w:szCs w:val="21"/>
                <w:lang w:val="en-US" w:eastAsia="zh-CN"/>
              </w:rPr>
              <w:t>+0.976</w:t>
            </w:r>
          </w:p>
        </w:tc>
      </w:tr>
      <w:tr w14:paraId="69AF29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continue"/>
            <w:tcBorders>
              <w:tl2br w:val="nil"/>
              <w:tr2bl w:val="nil"/>
            </w:tcBorders>
            <w:noWrap w:val="0"/>
            <w:vAlign w:val="center"/>
          </w:tcPr>
          <w:p w14:paraId="2E19CFF5">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p>
        </w:tc>
        <w:tc>
          <w:tcPr>
            <w:tcW w:w="659" w:type="pct"/>
            <w:tcBorders>
              <w:tl2br w:val="nil"/>
              <w:tr2bl w:val="nil"/>
            </w:tcBorders>
            <w:noWrap w:val="0"/>
            <w:vAlign w:val="center"/>
          </w:tcPr>
          <w:p w14:paraId="19C90AE1">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vertAlign w:val="subscript"/>
              </w:rPr>
            </w:pPr>
            <w:r>
              <w:rPr>
                <w:rFonts w:hint="default" w:ascii="Times New Roman" w:hAnsi="Times New Roman" w:eastAsia="宋体" w:cs="Times New Roman"/>
                <w:snapToGrid w:val="0"/>
                <w:color w:val="000000"/>
                <w:kern w:val="21"/>
                <w:sz w:val="21"/>
                <w:szCs w:val="21"/>
              </w:rPr>
              <w:t>SO</w:t>
            </w:r>
            <w:r>
              <w:rPr>
                <w:rFonts w:hint="default" w:ascii="Times New Roman" w:hAnsi="Times New Roman" w:eastAsia="宋体" w:cs="Times New Roman"/>
                <w:snapToGrid w:val="0"/>
                <w:color w:val="000000"/>
                <w:kern w:val="21"/>
                <w:sz w:val="21"/>
                <w:szCs w:val="21"/>
                <w:vertAlign w:val="subscript"/>
              </w:rPr>
              <w:t>2</w:t>
            </w:r>
          </w:p>
        </w:tc>
        <w:tc>
          <w:tcPr>
            <w:tcW w:w="544" w:type="pct"/>
            <w:tcBorders>
              <w:tl2br w:val="nil"/>
              <w:tr2bl w:val="nil"/>
            </w:tcBorders>
            <w:noWrap w:val="0"/>
            <w:vAlign w:val="center"/>
          </w:tcPr>
          <w:p w14:paraId="38FB443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6FC74592">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498416F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28A7E65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rPr>
            </w:pPr>
            <w:r>
              <w:rPr>
                <w:rFonts w:hint="eastAsia" w:cs="Times New Roman"/>
                <w:snapToGrid w:val="0"/>
                <w:color w:val="000000"/>
                <w:kern w:val="21"/>
                <w:sz w:val="21"/>
                <w:szCs w:val="21"/>
                <w:lang w:val="en-US" w:eastAsia="zh-CN"/>
              </w:rPr>
              <w:t>0.01</w:t>
            </w:r>
          </w:p>
        </w:tc>
        <w:tc>
          <w:tcPr>
            <w:tcW w:w="690" w:type="pct"/>
            <w:tcBorders>
              <w:tl2br w:val="nil"/>
              <w:tr2bl w:val="nil"/>
            </w:tcBorders>
            <w:noWrap w:val="0"/>
            <w:vAlign w:val="center"/>
          </w:tcPr>
          <w:p w14:paraId="37B611C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2211B4C9">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cs="Times New Roman"/>
                <w:snapToGrid w:val="0"/>
                <w:color w:val="000000"/>
                <w:kern w:val="21"/>
                <w:sz w:val="21"/>
                <w:szCs w:val="21"/>
                <w:lang w:val="en-US" w:eastAsia="zh-CN"/>
              </w:rPr>
              <w:t>0.01</w:t>
            </w:r>
          </w:p>
        </w:tc>
        <w:tc>
          <w:tcPr>
            <w:tcW w:w="481" w:type="pct"/>
            <w:tcBorders>
              <w:tl2br w:val="nil"/>
              <w:tr2bl w:val="nil"/>
            </w:tcBorders>
            <w:noWrap w:val="0"/>
            <w:vAlign w:val="center"/>
          </w:tcPr>
          <w:p w14:paraId="43873158">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000000"/>
                <w:kern w:val="21"/>
                <w:sz w:val="21"/>
                <w:szCs w:val="21"/>
              </w:rPr>
            </w:pPr>
            <w:r>
              <w:rPr>
                <w:rFonts w:hint="eastAsia" w:cs="Times New Roman"/>
                <w:snapToGrid w:val="0"/>
                <w:color w:val="000000"/>
                <w:kern w:val="21"/>
                <w:sz w:val="21"/>
                <w:szCs w:val="21"/>
                <w:lang w:val="en-US" w:eastAsia="zh-CN"/>
              </w:rPr>
              <w:t>+0.01</w:t>
            </w:r>
          </w:p>
        </w:tc>
      </w:tr>
      <w:tr w14:paraId="0E81F0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continue"/>
            <w:tcBorders>
              <w:tl2br w:val="nil"/>
              <w:tr2bl w:val="nil"/>
            </w:tcBorders>
            <w:noWrap w:val="0"/>
            <w:vAlign w:val="center"/>
          </w:tcPr>
          <w:p w14:paraId="3F7AA976">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p>
        </w:tc>
        <w:tc>
          <w:tcPr>
            <w:tcW w:w="659" w:type="pct"/>
            <w:tcBorders>
              <w:tl2br w:val="nil"/>
              <w:tr2bl w:val="nil"/>
            </w:tcBorders>
            <w:noWrap w:val="0"/>
            <w:vAlign w:val="center"/>
          </w:tcPr>
          <w:p w14:paraId="60BDCAE4">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NOx</w:t>
            </w:r>
          </w:p>
        </w:tc>
        <w:tc>
          <w:tcPr>
            <w:tcW w:w="544" w:type="pct"/>
            <w:tcBorders>
              <w:tl2br w:val="nil"/>
              <w:tr2bl w:val="nil"/>
            </w:tcBorders>
            <w:noWrap w:val="0"/>
            <w:vAlign w:val="center"/>
          </w:tcPr>
          <w:p w14:paraId="0AEB800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7B5A91E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1CCE06B2">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3BC4223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rPr>
            </w:pPr>
            <w:r>
              <w:rPr>
                <w:rFonts w:hint="eastAsia" w:cs="Times New Roman"/>
                <w:snapToGrid w:val="0"/>
                <w:color w:val="000000"/>
                <w:kern w:val="21"/>
                <w:sz w:val="21"/>
                <w:szCs w:val="21"/>
                <w:lang w:val="en-US" w:eastAsia="zh-CN"/>
              </w:rPr>
              <w:t>0.232</w:t>
            </w:r>
          </w:p>
        </w:tc>
        <w:tc>
          <w:tcPr>
            <w:tcW w:w="690" w:type="pct"/>
            <w:tcBorders>
              <w:tl2br w:val="nil"/>
              <w:tr2bl w:val="nil"/>
            </w:tcBorders>
            <w:noWrap w:val="0"/>
            <w:vAlign w:val="center"/>
          </w:tcPr>
          <w:p w14:paraId="1B587B1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187FCE9B">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cs="Times New Roman"/>
                <w:snapToGrid w:val="0"/>
                <w:color w:val="000000"/>
                <w:kern w:val="21"/>
                <w:sz w:val="21"/>
                <w:szCs w:val="21"/>
                <w:lang w:val="en-US" w:eastAsia="zh-CN"/>
              </w:rPr>
              <w:t>0.232</w:t>
            </w:r>
          </w:p>
        </w:tc>
        <w:tc>
          <w:tcPr>
            <w:tcW w:w="481" w:type="pct"/>
            <w:tcBorders>
              <w:tl2br w:val="nil"/>
              <w:tr2bl w:val="nil"/>
            </w:tcBorders>
            <w:noWrap w:val="0"/>
            <w:vAlign w:val="center"/>
          </w:tcPr>
          <w:p w14:paraId="1BEE16F3">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000000"/>
                <w:kern w:val="21"/>
                <w:sz w:val="21"/>
                <w:szCs w:val="21"/>
              </w:rPr>
            </w:pPr>
            <w:r>
              <w:rPr>
                <w:rFonts w:hint="eastAsia" w:cs="Times New Roman"/>
                <w:snapToGrid w:val="0"/>
                <w:color w:val="000000"/>
                <w:kern w:val="21"/>
                <w:sz w:val="21"/>
                <w:szCs w:val="21"/>
                <w:lang w:val="en-US" w:eastAsia="zh-CN"/>
              </w:rPr>
              <w:t>+0.232</w:t>
            </w:r>
          </w:p>
        </w:tc>
      </w:tr>
      <w:tr w14:paraId="726681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restart"/>
            <w:tcBorders>
              <w:tl2br w:val="nil"/>
              <w:tr2bl w:val="nil"/>
            </w:tcBorders>
            <w:noWrap w:val="0"/>
            <w:vAlign w:val="center"/>
          </w:tcPr>
          <w:p w14:paraId="0D332ECF">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废水</w:t>
            </w:r>
          </w:p>
        </w:tc>
        <w:tc>
          <w:tcPr>
            <w:tcW w:w="659" w:type="pct"/>
            <w:tcBorders>
              <w:tl2br w:val="nil"/>
              <w:tr2bl w:val="nil"/>
            </w:tcBorders>
            <w:noWrap w:val="0"/>
            <w:vAlign w:val="center"/>
          </w:tcPr>
          <w:p w14:paraId="31EBB33F">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COD</w:t>
            </w:r>
          </w:p>
        </w:tc>
        <w:tc>
          <w:tcPr>
            <w:tcW w:w="544" w:type="pct"/>
            <w:tcBorders>
              <w:tl2br w:val="nil"/>
              <w:tr2bl w:val="nil"/>
            </w:tcBorders>
            <w:noWrap w:val="0"/>
            <w:vAlign w:val="center"/>
          </w:tcPr>
          <w:p w14:paraId="6135F55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07F47DA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18493AD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247C762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3.208</w:t>
            </w:r>
          </w:p>
        </w:tc>
        <w:tc>
          <w:tcPr>
            <w:tcW w:w="690" w:type="pct"/>
            <w:tcBorders>
              <w:tl2br w:val="nil"/>
              <w:tr2bl w:val="nil"/>
            </w:tcBorders>
            <w:noWrap w:val="0"/>
            <w:vAlign w:val="center"/>
          </w:tcPr>
          <w:p w14:paraId="7B4B930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49233F0D">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color w:val="000000"/>
                <w:sz w:val="21"/>
                <w:szCs w:val="21"/>
                <w:lang w:val="en-US"/>
              </w:rPr>
            </w:pPr>
            <w:r>
              <w:rPr>
                <w:rFonts w:hint="eastAsia" w:cs="Times New Roman"/>
                <w:color w:val="000000"/>
                <w:sz w:val="21"/>
                <w:szCs w:val="21"/>
                <w:lang w:val="en-US" w:eastAsia="zh-CN"/>
              </w:rPr>
              <w:t>3.208</w:t>
            </w:r>
          </w:p>
        </w:tc>
        <w:tc>
          <w:tcPr>
            <w:tcW w:w="481" w:type="pct"/>
            <w:tcBorders>
              <w:tl2br w:val="nil"/>
              <w:tr2bl w:val="nil"/>
            </w:tcBorders>
            <w:noWrap w:val="0"/>
            <w:vAlign w:val="center"/>
          </w:tcPr>
          <w:p w14:paraId="6C706783">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cs="Times New Roman"/>
                <w:color w:val="000000"/>
                <w:sz w:val="21"/>
                <w:szCs w:val="21"/>
                <w:lang w:val="en-US" w:eastAsia="zh-CN"/>
              </w:rPr>
              <w:t>+3.208</w:t>
            </w:r>
          </w:p>
        </w:tc>
      </w:tr>
      <w:tr w14:paraId="0D6E4F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continue"/>
            <w:tcBorders>
              <w:tl2br w:val="nil"/>
              <w:tr2bl w:val="nil"/>
            </w:tcBorders>
            <w:noWrap w:val="0"/>
            <w:vAlign w:val="center"/>
          </w:tcPr>
          <w:p w14:paraId="7DDD4936">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p>
        </w:tc>
        <w:tc>
          <w:tcPr>
            <w:tcW w:w="659" w:type="pct"/>
            <w:tcBorders>
              <w:tl2br w:val="nil"/>
              <w:tr2bl w:val="nil"/>
            </w:tcBorders>
            <w:noWrap w:val="0"/>
            <w:vAlign w:val="center"/>
          </w:tcPr>
          <w:p w14:paraId="094852B1">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氨氮</w:t>
            </w:r>
          </w:p>
        </w:tc>
        <w:tc>
          <w:tcPr>
            <w:tcW w:w="544" w:type="pct"/>
            <w:tcBorders>
              <w:tl2br w:val="nil"/>
              <w:tr2bl w:val="nil"/>
            </w:tcBorders>
            <w:noWrap w:val="0"/>
            <w:vAlign w:val="center"/>
          </w:tcPr>
          <w:p w14:paraId="1AE1231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0F3E24D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3F2D569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394D029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0.099</w:t>
            </w:r>
          </w:p>
        </w:tc>
        <w:tc>
          <w:tcPr>
            <w:tcW w:w="690" w:type="pct"/>
            <w:tcBorders>
              <w:tl2br w:val="nil"/>
              <w:tr2bl w:val="nil"/>
            </w:tcBorders>
            <w:noWrap w:val="0"/>
            <w:vAlign w:val="center"/>
          </w:tcPr>
          <w:p w14:paraId="14831892">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44D57A7A">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color w:val="000000"/>
                <w:sz w:val="21"/>
                <w:szCs w:val="21"/>
                <w:lang w:val="en-US"/>
              </w:rPr>
            </w:pPr>
            <w:r>
              <w:rPr>
                <w:rFonts w:hint="eastAsia" w:cs="Times New Roman"/>
                <w:color w:val="000000"/>
                <w:sz w:val="21"/>
                <w:szCs w:val="21"/>
                <w:lang w:val="en-US" w:eastAsia="zh-CN"/>
              </w:rPr>
              <w:t>0.099</w:t>
            </w:r>
          </w:p>
        </w:tc>
        <w:tc>
          <w:tcPr>
            <w:tcW w:w="481" w:type="pct"/>
            <w:tcBorders>
              <w:tl2br w:val="nil"/>
              <w:tr2bl w:val="nil"/>
            </w:tcBorders>
            <w:noWrap w:val="0"/>
            <w:vAlign w:val="center"/>
          </w:tcPr>
          <w:p w14:paraId="07C66C8C">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cs="Times New Roman"/>
                <w:color w:val="000000"/>
                <w:sz w:val="21"/>
                <w:szCs w:val="21"/>
                <w:lang w:val="en-US" w:eastAsia="zh-CN"/>
              </w:rPr>
              <w:t>+0.099</w:t>
            </w:r>
          </w:p>
        </w:tc>
      </w:tr>
      <w:tr w14:paraId="3CA7B8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restart"/>
            <w:tcBorders>
              <w:tl2br w:val="nil"/>
              <w:tr2bl w:val="nil"/>
            </w:tcBorders>
            <w:noWrap w:val="0"/>
            <w:vAlign w:val="center"/>
          </w:tcPr>
          <w:p w14:paraId="5289AA19">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一般工业固体废物</w:t>
            </w:r>
          </w:p>
        </w:tc>
        <w:tc>
          <w:tcPr>
            <w:tcW w:w="659" w:type="pct"/>
            <w:tcBorders>
              <w:tl2br w:val="nil"/>
              <w:tr2bl w:val="nil"/>
            </w:tcBorders>
            <w:noWrap w:val="0"/>
            <w:vAlign w:val="center"/>
          </w:tcPr>
          <w:p w14:paraId="11B140E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废包装材料</w:t>
            </w:r>
          </w:p>
        </w:tc>
        <w:tc>
          <w:tcPr>
            <w:tcW w:w="544" w:type="pct"/>
            <w:tcBorders>
              <w:tl2br w:val="nil"/>
              <w:tr2bl w:val="nil"/>
            </w:tcBorders>
            <w:noWrap w:val="0"/>
            <w:vAlign w:val="center"/>
          </w:tcPr>
          <w:p w14:paraId="0C3D632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04E22FC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49A6CD3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7BDE256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0.5</w:t>
            </w:r>
          </w:p>
        </w:tc>
        <w:tc>
          <w:tcPr>
            <w:tcW w:w="690" w:type="pct"/>
            <w:tcBorders>
              <w:tl2br w:val="nil"/>
              <w:tr2bl w:val="nil"/>
            </w:tcBorders>
            <w:noWrap w:val="0"/>
            <w:vAlign w:val="center"/>
          </w:tcPr>
          <w:p w14:paraId="7C7305C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43A32C1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0.5</w:t>
            </w:r>
          </w:p>
        </w:tc>
        <w:tc>
          <w:tcPr>
            <w:tcW w:w="481" w:type="pct"/>
            <w:tcBorders>
              <w:tl2br w:val="nil"/>
              <w:tr2bl w:val="nil"/>
            </w:tcBorders>
            <w:noWrap w:val="0"/>
            <w:vAlign w:val="center"/>
          </w:tcPr>
          <w:p w14:paraId="4CDBD22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+0.5</w:t>
            </w:r>
          </w:p>
        </w:tc>
      </w:tr>
      <w:tr w14:paraId="425F38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continue"/>
            <w:tcBorders>
              <w:tl2br w:val="nil"/>
              <w:tr2bl w:val="nil"/>
            </w:tcBorders>
            <w:noWrap w:val="0"/>
            <w:vAlign w:val="center"/>
          </w:tcPr>
          <w:p w14:paraId="7795D27C">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p>
        </w:tc>
        <w:tc>
          <w:tcPr>
            <w:tcW w:w="659" w:type="pct"/>
            <w:tcBorders>
              <w:tl2br w:val="nil"/>
              <w:tr2bl w:val="nil"/>
            </w:tcBorders>
            <w:noWrap w:val="0"/>
            <w:vAlign w:val="center"/>
          </w:tcPr>
          <w:p w14:paraId="201B9CB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不合格品</w:t>
            </w:r>
          </w:p>
        </w:tc>
        <w:tc>
          <w:tcPr>
            <w:tcW w:w="544" w:type="pct"/>
            <w:tcBorders>
              <w:tl2br w:val="nil"/>
              <w:tr2bl w:val="nil"/>
            </w:tcBorders>
            <w:noWrap w:val="0"/>
            <w:vAlign w:val="center"/>
          </w:tcPr>
          <w:p w14:paraId="0EC7243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0A541372">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7EA65BE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055A6AD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0.1</w:t>
            </w:r>
          </w:p>
        </w:tc>
        <w:tc>
          <w:tcPr>
            <w:tcW w:w="690" w:type="pct"/>
            <w:tcBorders>
              <w:tl2br w:val="nil"/>
              <w:tr2bl w:val="nil"/>
            </w:tcBorders>
            <w:noWrap w:val="0"/>
            <w:vAlign w:val="center"/>
          </w:tcPr>
          <w:p w14:paraId="6CFB07A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3E0C456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0.1</w:t>
            </w:r>
          </w:p>
        </w:tc>
        <w:tc>
          <w:tcPr>
            <w:tcW w:w="481" w:type="pct"/>
            <w:tcBorders>
              <w:tl2br w:val="nil"/>
              <w:tr2bl w:val="nil"/>
            </w:tcBorders>
            <w:noWrap w:val="0"/>
            <w:vAlign w:val="center"/>
          </w:tcPr>
          <w:p w14:paraId="43EE02E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+0.1</w:t>
            </w:r>
          </w:p>
        </w:tc>
      </w:tr>
      <w:tr w14:paraId="5C8DB0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continue"/>
            <w:tcBorders>
              <w:tl2br w:val="nil"/>
              <w:tr2bl w:val="nil"/>
            </w:tcBorders>
            <w:noWrap w:val="0"/>
            <w:vAlign w:val="center"/>
          </w:tcPr>
          <w:p w14:paraId="6746BA5A">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p>
        </w:tc>
        <w:tc>
          <w:tcPr>
            <w:tcW w:w="659" w:type="pct"/>
            <w:tcBorders>
              <w:tl2br w:val="nil"/>
              <w:tr2bl w:val="nil"/>
            </w:tcBorders>
            <w:noWrap w:val="0"/>
            <w:vAlign w:val="center"/>
          </w:tcPr>
          <w:p w14:paraId="12172B2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袋式除尘器</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除尘灰</w:t>
            </w:r>
          </w:p>
        </w:tc>
        <w:tc>
          <w:tcPr>
            <w:tcW w:w="544" w:type="pct"/>
            <w:tcBorders>
              <w:tl2br w:val="nil"/>
              <w:tr2bl w:val="nil"/>
            </w:tcBorders>
            <w:noWrap w:val="0"/>
            <w:vAlign w:val="center"/>
          </w:tcPr>
          <w:p w14:paraId="58BD2DC8">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76661CE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66213EB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11A322F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14.87</w:t>
            </w:r>
          </w:p>
        </w:tc>
        <w:tc>
          <w:tcPr>
            <w:tcW w:w="690" w:type="pct"/>
            <w:tcBorders>
              <w:tl2br w:val="nil"/>
              <w:tr2bl w:val="nil"/>
            </w:tcBorders>
            <w:noWrap w:val="0"/>
            <w:vAlign w:val="center"/>
          </w:tcPr>
          <w:p w14:paraId="50DC7BF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5D072CF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14.87</w:t>
            </w:r>
          </w:p>
        </w:tc>
        <w:tc>
          <w:tcPr>
            <w:tcW w:w="481" w:type="pct"/>
            <w:tcBorders>
              <w:tl2br w:val="nil"/>
              <w:tr2bl w:val="nil"/>
            </w:tcBorders>
            <w:noWrap w:val="0"/>
            <w:vAlign w:val="center"/>
          </w:tcPr>
          <w:p w14:paraId="2056E2E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+14.87</w:t>
            </w:r>
          </w:p>
        </w:tc>
      </w:tr>
      <w:tr w14:paraId="76D749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continue"/>
            <w:tcBorders>
              <w:tl2br w:val="nil"/>
              <w:tr2bl w:val="nil"/>
            </w:tcBorders>
            <w:noWrap w:val="0"/>
            <w:vAlign w:val="center"/>
          </w:tcPr>
          <w:p w14:paraId="2DBBF600">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p>
        </w:tc>
        <w:tc>
          <w:tcPr>
            <w:tcW w:w="659" w:type="pct"/>
            <w:tcBorders>
              <w:tl2br w:val="nil"/>
              <w:tr2bl w:val="nil"/>
            </w:tcBorders>
            <w:noWrap w:val="0"/>
            <w:vAlign w:val="center"/>
          </w:tcPr>
          <w:p w14:paraId="5F8DC24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废离子交换树脂</w:t>
            </w:r>
          </w:p>
        </w:tc>
        <w:tc>
          <w:tcPr>
            <w:tcW w:w="544" w:type="pct"/>
            <w:tcBorders>
              <w:tl2br w:val="nil"/>
              <w:tr2bl w:val="nil"/>
            </w:tcBorders>
            <w:noWrap w:val="0"/>
            <w:vAlign w:val="center"/>
          </w:tcPr>
          <w:p w14:paraId="523A738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58F0A34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2DD7D48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3123324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0.8</w:t>
            </w:r>
          </w:p>
        </w:tc>
        <w:tc>
          <w:tcPr>
            <w:tcW w:w="690" w:type="pct"/>
            <w:tcBorders>
              <w:tl2br w:val="nil"/>
              <w:tr2bl w:val="nil"/>
            </w:tcBorders>
            <w:noWrap w:val="0"/>
            <w:vAlign w:val="center"/>
          </w:tcPr>
          <w:p w14:paraId="10821B78">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268C6C4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0.8</w:t>
            </w:r>
          </w:p>
        </w:tc>
        <w:tc>
          <w:tcPr>
            <w:tcW w:w="481" w:type="pct"/>
            <w:tcBorders>
              <w:tl2br w:val="nil"/>
              <w:tr2bl w:val="nil"/>
            </w:tcBorders>
            <w:noWrap w:val="0"/>
            <w:vAlign w:val="center"/>
          </w:tcPr>
          <w:p w14:paraId="79E8DFA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+0.8</w:t>
            </w:r>
          </w:p>
        </w:tc>
      </w:tr>
      <w:tr w14:paraId="373677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continue"/>
            <w:tcBorders>
              <w:tl2br w:val="nil"/>
              <w:tr2bl w:val="nil"/>
            </w:tcBorders>
            <w:noWrap w:val="0"/>
            <w:vAlign w:val="center"/>
          </w:tcPr>
          <w:p w14:paraId="2F10E9D6">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p>
        </w:tc>
        <w:tc>
          <w:tcPr>
            <w:tcW w:w="659" w:type="pct"/>
            <w:tcBorders>
              <w:tl2br w:val="nil"/>
              <w:tr2bl w:val="nil"/>
            </w:tcBorders>
            <w:noWrap w:val="0"/>
            <w:vAlign w:val="center"/>
          </w:tcPr>
          <w:p w14:paraId="1B52B55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污泥</w:t>
            </w:r>
          </w:p>
        </w:tc>
        <w:tc>
          <w:tcPr>
            <w:tcW w:w="544" w:type="pct"/>
            <w:tcBorders>
              <w:tl2br w:val="nil"/>
              <w:tr2bl w:val="nil"/>
            </w:tcBorders>
            <w:noWrap w:val="0"/>
            <w:vAlign w:val="center"/>
          </w:tcPr>
          <w:p w14:paraId="45F5D5F2">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794B7CF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44804A4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419FD16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5.9</w:t>
            </w:r>
          </w:p>
        </w:tc>
        <w:tc>
          <w:tcPr>
            <w:tcW w:w="690" w:type="pct"/>
            <w:tcBorders>
              <w:tl2br w:val="nil"/>
              <w:tr2bl w:val="nil"/>
            </w:tcBorders>
            <w:noWrap w:val="0"/>
            <w:vAlign w:val="center"/>
          </w:tcPr>
          <w:p w14:paraId="7A6D847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2A07512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5.9</w:t>
            </w:r>
          </w:p>
        </w:tc>
        <w:tc>
          <w:tcPr>
            <w:tcW w:w="481" w:type="pct"/>
            <w:tcBorders>
              <w:tl2br w:val="nil"/>
              <w:tr2bl w:val="nil"/>
            </w:tcBorders>
            <w:noWrap w:val="0"/>
            <w:vAlign w:val="center"/>
          </w:tcPr>
          <w:p w14:paraId="4F9BA3D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+5.9</w:t>
            </w:r>
          </w:p>
        </w:tc>
      </w:tr>
      <w:tr w14:paraId="25CE6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continue"/>
            <w:tcBorders>
              <w:tl2br w:val="nil"/>
              <w:tr2bl w:val="nil"/>
            </w:tcBorders>
            <w:noWrap w:val="0"/>
            <w:vAlign w:val="center"/>
          </w:tcPr>
          <w:p w14:paraId="77825B90">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p>
        </w:tc>
        <w:tc>
          <w:tcPr>
            <w:tcW w:w="659" w:type="pct"/>
            <w:tcBorders>
              <w:tl2br w:val="nil"/>
              <w:tr2bl w:val="nil"/>
            </w:tcBorders>
            <w:noWrap w:val="0"/>
            <w:vAlign w:val="center"/>
          </w:tcPr>
          <w:p w14:paraId="35B5562F">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浸泡清洗</w:t>
            </w:r>
            <w:r>
              <w:rPr>
                <w:rFonts w:hint="eastAsia" w:ascii="Times New Roman" w:hAnsi="Times New Roman" w:eastAsia="宋体" w:cs="Times New Roman"/>
                <w:color w:val="000000" w:themeColor="text1"/>
                <w:spacing w:val="-6"/>
                <w:kern w:val="2"/>
                <w:sz w:val="21"/>
                <w:szCs w:val="21"/>
                <w:highlight w:val="none"/>
                <w:lang w:val="en-US" w:eastAsia="zh-CN" w:bidi="ar-SA"/>
                <w14:textFill>
                  <w14:solidFill>
                    <w14:schemeClr w14:val="tx1"/>
                  </w14:solidFill>
                </w14:textFill>
              </w:rPr>
              <w:t>废渣</w:t>
            </w:r>
          </w:p>
        </w:tc>
        <w:tc>
          <w:tcPr>
            <w:tcW w:w="544" w:type="pct"/>
            <w:tcBorders>
              <w:tl2br w:val="nil"/>
              <w:tr2bl w:val="nil"/>
            </w:tcBorders>
            <w:noWrap w:val="0"/>
            <w:vAlign w:val="center"/>
          </w:tcPr>
          <w:p w14:paraId="1D2D1E1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1F0C05F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33913FAD">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3BE9B09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0.5</w:t>
            </w:r>
          </w:p>
        </w:tc>
        <w:tc>
          <w:tcPr>
            <w:tcW w:w="690" w:type="pct"/>
            <w:tcBorders>
              <w:tl2br w:val="nil"/>
              <w:tr2bl w:val="nil"/>
            </w:tcBorders>
            <w:noWrap w:val="0"/>
            <w:vAlign w:val="center"/>
          </w:tcPr>
          <w:p w14:paraId="2A66941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3A214ED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0.5</w:t>
            </w:r>
          </w:p>
        </w:tc>
        <w:tc>
          <w:tcPr>
            <w:tcW w:w="481" w:type="pct"/>
            <w:tcBorders>
              <w:tl2br w:val="nil"/>
              <w:tr2bl w:val="nil"/>
            </w:tcBorders>
            <w:noWrap w:val="0"/>
            <w:vAlign w:val="center"/>
          </w:tcPr>
          <w:p w14:paraId="44A0043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+0.5</w:t>
            </w:r>
          </w:p>
        </w:tc>
      </w:tr>
      <w:tr w14:paraId="513996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vMerge w:val="continue"/>
            <w:tcBorders>
              <w:tl2br w:val="nil"/>
              <w:tr2bl w:val="nil"/>
            </w:tcBorders>
            <w:noWrap w:val="0"/>
            <w:vAlign w:val="center"/>
          </w:tcPr>
          <w:p w14:paraId="2A1BB80E">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000000"/>
                <w:kern w:val="21"/>
                <w:sz w:val="21"/>
                <w:szCs w:val="21"/>
              </w:rPr>
            </w:pPr>
          </w:p>
        </w:tc>
        <w:tc>
          <w:tcPr>
            <w:tcW w:w="659" w:type="pct"/>
            <w:tcBorders>
              <w:tl2br w:val="nil"/>
              <w:tr2bl w:val="nil"/>
            </w:tcBorders>
            <w:noWrap w:val="0"/>
            <w:vAlign w:val="center"/>
          </w:tcPr>
          <w:p w14:paraId="49C51C8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val="en-US" w:eastAsia="zh-CN"/>
              </w:rPr>
            </w:pPr>
            <w:r>
              <w:rPr>
                <w:rFonts w:hint="eastAsia" w:cs="Times New Roman"/>
                <w:color w:val="000000" w:themeColor="text1"/>
                <w:spacing w:val="-6"/>
                <w:kern w:val="2"/>
                <w:sz w:val="21"/>
                <w:szCs w:val="21"/>
                <w:lang w:val="en-US" w:eastAsia="zh-CN" w:bidi="ar-SA"/>
                <w14:textFill>
                  <w14:solidFill>
                    <w14:schemeClr w14:val="tx1"/>
                  </w14:solidFill>
                </w14:textFill>
              </w:rPr>
              <w:t>蒸煮/</w:t>
            </w:r>
            <w:r>
              <w:rPr>
                <w:rFonts w:hint="eastAsia" w:ascii="Times New Roman" w:hAnsi="Times New Roman" w:eastAsia="宋体" w:cs="Times New Roman"/>
                <w:color w:val="000000" w:themeColor="text1"/>
                <w:spacing w:val="-6"/>
                <w:kern w:val="2"/>
                <w:sz w:val="21"/>
                <w:szCs w:val="21"/>
                <w:lang w:val="en-US" w:eastAsia="zh-CN" w:bidi="ar-SA"/>
                <w14:textFill>
                  <w14:solidFill>
                    <w14:schemeClr w14:val="tx1"/>
                  </w14:solidFill>
                </w14:textFill>
              </w:rPr>
              <w:t>卤制工序废渣</w:t>
            </w:r>
          </w:p>
        </w:tc>
        <w:tc>
          <w:tcPr>
            <w:tcW w:w="544" w:type="pct"/>
            <w:tcBorders>
              <w:tl2br w:val="nil"/>
              <w:tr2bl w:val="nil"/>
            </w:tcBorders>
            <w:noWrap w:val="0"/>
            <w:vAlign w:val="center"/>
          </w:tcPr>
          <w:p w14:paraId="5D9A150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0D509318">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25" w:type="pct"/>
            <w:tcBorders>
              <w:tl2br w:val="nil"/>
              <w:tr2bl w:val="nil"/>
            </w:tcBorders>
            <w:noWrap w:val="0"/>
            <w:vAlign w:val="center"/>
          </w:tcPr>
          <w:p w14:paraId="2031E1E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578" w:type="pct"/>
            <w:tcBorders>
              <w:tl2br w:val="nil"/>
              <w:tr2bl w:val="nil"/>
            </w:tcBorders>
            <w:noWrap w:val="0"/>
            <w:vAlign w:val="center"/>
          </w:tcPr>
          <w:p w14:paraId="5F17C6A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26.4</w:t>
            </w:r>
          </w:p>
        </w:tc>
        <w:tc>
          <w:tcPr>
            <w:tcW w:w="690" w:type="pct"/>
            <w:tcBorders>
              <w:tl2br w:val="nil"/>
              <w:tr2bl w:val="nil"/>
            </w:tcBorders>
            <w:noWrap w:val="0"/>
            <w:vAlign w:val="center"/>
          </w:tcPr>
          <w:p w14:paraId="1ECF3A3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w:t>
            </w:r>
          </w:p>
        </w:tc>
        <w:tc>
          <w:tcPr>
            <w:tcW w:w="724" w:type="pct"/>
            <w:tcBorders>
              <w:tl2br w:val="nil"/>
              <w:tr2bl w:val="nil"/>
            </w:tcBorders>
            <w:noWrap w:val="0"/>
            <w:vAlign w:val="center"/>
          </w:tcPr>
          <w:p w14:paraId="50D6914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26.4</w:t>
            </w:r>
          </w:p>
        </w:tc>
        <w:tc>
          <w:tcPr>
            <w:tcW w:w="481" w:type="pct"/>
            <w:tcBorders>
              <w:tl2br w:val="nil"/>
              <w:tr2bl w:val="nil"/>
            </w:tcBorders>
            <w:noWrap w:val="0"/>
            <w:vAlign w:val="center"/>
          </w:tcPr>
          <w:p w14:paraId="374E91A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+26.4</w:t>
            </w:r>
          </w:p>
        </w:tc>
      </w:tr>
      <w:tr w14:paraId="1387DD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6" w:type="pct"/>
            <w:tcBorders>
              <w:tl2br w:val="nil"/>
              <w:tr2bl w:val="nil"/>
            </w:tcBorders>
            <w:noWrap w:val="0"/>
            <w:vAlign w:val="center"/>
          </w:tcPr>
          <w:p w14:paraId="72CC0AE6">
            <w:pPr>
              <w:pStyle w:val="55"/>
              <w:keepNext w:val="0"/>
              <w:keepLines w:val="0"/>
              <w:pageBreakBefore w:val="0"/>
              <w:suppressLineNumbers w:val="0"/>
              <w:kinsoku/>
              <w:wordWrap/>
              <w:overflowPunct/>
              <w:topLinePunct w:val="0"/>
              <w:bidi w:val="0"/>
              <w:spacing w:beforeLines="0" w:beforeAutospacing="0" w:afterLines="0" w:afterAutospacing="0" w:line="240" w:lineRule="auto"/>
              <w:ind w:left="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危险废物</w:t>
            </w:r>
          </w:p>
        </w:tc>
        <w:tc>
          <w:tcPr>
            <w:tcW w:w="659" w:type="pct"/>
            <w:tcBorders>
              <w:tl2br w:val="nil"/>
              <w:tr2bl w:val="nil"/>
            </w:tcBorders>
            <w:noWrap w:val="0"/>
            <w:vAlign w:val="center"/>
          </w:tcPr>
          <w:p w14:paraId="595ED8B3">
            <w:pPr>
              <w:keepNext w:val="0"/>
              <w:keepLines w:val="0"/>
              <w:pageBreakBefore w:val="0"/>
              <w:widowControl/>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废活性炭</w:t>
            </w:r>
          </w:p>
        </w:tc>
        <w:tc>
          <w:tcPr>
            <w:tcW w:w="544" w:type="pct"/>
            <w:tcBorders>
              <w:tl2br w:val="nil"/>
              <w:tr2bl w:val="nil"/>
            </w:tcBorders>
            <w:noWrap w:val="0"/>
            <w:vAlign w:val="center"/>
          </w:tcPr>
          <w:p w14:paraId="44234F0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000000"/>
                <w:kern w:val="21"/>
                <w:sz w:val="21"/>
                <w:szCs w:val="21"/>
              </w:rPr>
              <w:t>—</w:t>
            </w:r>
          </w:p>
        </w:tc>
        <w:tc>
          <w:tcPr>
            <w:tcW w:w="398" w:type="pct"/>
            <w:tcBorders>
              <w:tl2br w:val="nil"/>
              <w:tr2bl w:val="nil"/>
            </w:tcBorders>
            <w:noWrap w:val="0"/>
            <w:vAlign w:val="center"/>
          </w:tcPr>
          <w:p w14:paraId="54ED10D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525" w:type="pct"/>
            <w:tcBorders>
              <w:tl2br w:val="nil"/>
              <w:tr2bl w:val="nil"/>
            </w:tcBorders>
            <w:noWrap w:val="0"/>
            <w:vAlign w:val="center"/>
          </w:tcPr>
          <w:p w14:paraId="6EB383B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578" w:type="pct"/>
            <w:tcBorders>
              <w:tl2br w:val="nil"/>
              <w:tr2bl w:val="nil"/>
            </w:tcBorders>
            <w:noWrap w:val="0"/>
            <w:vAlign w:val="center"/>
          </w:tcPr>
          <w:p w14:paraId="10DE4736">
            <w:pPr>
              <w:keepNext w:val="0"/>
              <w:keepLines w:val="0"/>
              <w:pageBreakBefore w:val="0"/>
              <w:widowControl/>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auto"/>
                <w:kern w:val="21"/>
                <w:sz w:val="21"/>
                <w:szCs w:val="21"/>
                <w:lang w:val="en-US"/>
              </w:rPr>
            </w:pPr>
            <w:r>
              <w:rPr>
                <w:rFonts w:hint="eastAsia" w:cs="Times New Roman"/>
                <w:color w:val="auto"/>
                <w:sz w:val="21"/>
                <w:szCs w:val="21"/>
                <w:lang w:val="en-US" w:eastAsia="zh-CN"/>
              </w:rPr>
              <w:t>0.8</w:t>
            </w:r>
          </w:p>
        </w:tc>
        <w:tc>
          <w:tcPr>
            <w:tcW w:w="690" w:type="pct"/>
            <w:tcBorders>
              <w:tl2br w:val="nil"/>
              <w:tr2bl w:val="nil"/>
            </w:tcBorders>
            <w:noWrap w:val="0"/>
            <w:vAlign w:val="center"/>
          </w:tcPr>
          <w:p w14:paraId="12DB151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724" w:type="pct"/>
            <w:tcBorders>
              <w:tl2br w:val="nil"/>
              <w:tr2bl w:val="nil"/>
            </w:tcBorders>
            <w:noWrap w:val="0"/>
            <w:vAlign w:val="center"/>
          </w:tcPr>
          <w:p w14:paraId="2C1D9328">
            <w:pPr>
              <w:keepNext w:val="0"/>
              <w:keepLines w:val="0"/>
              <w:pageBreakBefore w:val="0"/>
              <w:widowControl/>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color w:val="auto"/>
                <w:sz w:val="21"/>
                <w:szCs w:val="21"/>
                <w:lang w:val="en-US" w:eastAsia="zh-CN"/>
              </w:rPr>
              <w:t>0.8</w:t>
            </w:r>
          </w:p>
        </w:tc>
        <w:tc>
          <w:tcPr>
            <w:tcW w:w="481" w:type="pct"/>
            <w:tcBorders>
              <w:tl2br w:val="nil"/>
              <w:tr2bl w:val="nil"/>
            </w:tcBorders>
            <w:noWrap w:val="0"/>
            <w:vAlign w:val="center"/>
          </w:tcPr>
          <w:p w14:paraId="676E3F6F">
            <w:pPr>
              <w:keepNext w:val="0"/>
              <w:keepLines w:val="0"/>
              <w:pageBreakBefore w:val="0"/>
              <w:widowControl/>
              <w:suppressLineNumbers w:val="0"/>
              <w:kinsoku/>
              <w:wordWrap/>
              <w:overflowPunct/>
              <w:topLinePunct w:val="0"/>
              <w:bidi w:val="0"/>
              <w:spacing w:before="0" w:beforeAutospacing="0" w:after="0" w:afterAutospacing="0" w:line="240" w:lineRule="auto"/>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color w:val="auto"/>
                <w:sz w:val="21"/>
                <w:szCs w:val="21"/>
                <w:lang w:val="en-US" w:eastAsia="zh-CN"/>
              </w:rPr>
              <w:t>+0.8</w:t>
            </w:r>
          </w:p>
        </w:tc>
      </w:tr>
    </w:tbl>
    <w:p w14:paraId="695FCEC5">
      <w:pPr>
        <w:pStyle w:val="55"/>
        <w:spacing w:beforeLines="0" w:after="24" w:line="26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snapToGrid w:val="0"/>
          <w:color w:val="auto"/>
          <w:kern w:val="21"/>
          <w:sz w:val="21"/>
          <w:szCs w:val="21"/>
        </w:rPr>
        <w:t>注：</w:t>
      </w:r>
      <w:r>
        <w:rPr>
          <w:rFonts w:hint="default" w:ascii="Times New Roman" w:hAnsi="Times New Roman" w:eastAsia="宋体" w:cs="Times New Roman"/>
          <w:snapToGrid w:val="0"/>
          <w:color w:val="auto"/>
          <w:spacing w:val="-16"/>
          <w:kern w:val="21"/>
          <w:sz w:val="21"/>
          <w:szCs w:val="21"/>
        </w:rPr>
        <w:fldChar w:fldCharType="begin"/>
      </w:r>
      <w:r>
        <w:rPr>
          <w:rFonts w:hint="default" w:ascii="Times New Roman" w:hAnsi="Times New Roman" w:eastAsia="宋体" w:cs="Times New Roman"/>
          <w:snapToGrid w:val="0"/>
          <w:color w:val="auto"/>
          <w:spacing w:val="-16"/>
          <w:kern w:val="21"/>
          <w:sz w:val="21"/>
          <w:szCs w:val="21"/>
        </w:rPr>
        <w:instrText xml:space="preserve"> = 6 \* GB3 \* MERGEFORMAT </w:instrText>
      </w:r>
      <w:r>
        <w:rPr>
          <w:rFonts w:hint="default" w:ascii="Times New Roman" w:hAnsi="Times New Roman" w:eastAsia="宋体" w:cs="Times New Roman"/>
          <w:snapToGrid w:val="0"/>
          <w:color w:val="auto"/>
          <w:spacing w:val="-16"/>
          <w:kern w:val="21"/>
          <w:sz w:val="21"/>
          <w:szCs w:val="21"/>
        </w:rPr>
        <w:fldChar w:fldCharType="separate"/>
      </w:r>
      <w:r>
        <w:rPr>
          <w:rFonts w:hint="default" w:ascii="Times New Roman" w:hAnsi="Times New Roman" w:eastAsia="宋体" w:cs="Times New Roman"/>
          <w:color w:val="auto"/>
          <w:sz w:val="21"/>
          <w:szCs w:val="21"/>
        </w:rPr>
        <w:t>⑥</w:t>
      </w:r>
      <w:r>
        <w:rPr>
          <w:rFonts w:hint="default" w:ascii="Times New Roman" w:hAnsi="Times New Roman" w:eastAsia="宋体" w:cs="Times New Roman"/>
          <w:snapToGrid w:val="0"/>
          <w:color w:val="auto"/>
          <w:spacing w:val="-16"/>
          <w:kern w:val="21"/>
          <w:sz w:val="21"/>
          <w:szCs w:val="21"/>
        </w:rPr>
        <w:fldChar w:fldCharType="end"/>
      </w:r>
      <w:r>
        <w:rPr>
          <w:rFonts w:hint="default" w:ascii="Times New Roman" w:hAnsi="Times New Roman" w:eastAsia="宋体" w:cs="Times New Roman"/>
          <w:snapToGrid w:val="0"/>
          <w:color w:val="auto"/>
          <w:spacing w:val="-1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1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①</w:t>
      </w:r>
      <w:r>
        <w:rPr>
          <w:rFonts w:hint="default" w:ascii="Times New Roman" w:hAnsi="Times New Roman" w:eastAsia="宋体" w:cs="Times New Roman"/>
          <w:snapToGrid w:val="0"/>
          <w:color w:val="auto"/>
          <w:spacing w:val="-6"/>
          <w:kern w:val="21"/>
          <w:sz w:val="21"/>
          <w:szCs w:val="21"/>
        </w:rPr>
        <w:fldChar w:fldCharType="end"/>
      </w:r>
      <w:r>
        <w:rPr>
          <w:rFonts w:hint="default" w:ascii="Times New Roman" w:hAnsi="Times New Roman" w:eastAsia="宋体" w:cs="Times New Roman"/>
          <w:snapToGrid w:val="0"/>
          <w:color w:val="auto"/>
          <w:spacing w:val="-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3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③</w:t>
      </w:r>
      <w:r>
        <w:rPr>
          <w:rFonts w:hint="default" w:ascii="Times New Roman" w:hAnsi="Times New Roman" w:eastAsia="宋体" w:cs="Times New Roman"/>
          <w:snapToGrid w:val="0"/>
          <w:color w:val="auto"/>
          <w:spacing w:val="-6"/>
          <w:kern w:val="21"/>
          <w:sz w:val="21"/>
          <w:szCs w:val="21"/>
        </w:rPr>
        <w:fldChar w:fldCharType="end"/>
      </w:r>
      <w:r>
        <w:rPr>
          <w:rFonts w:hint="default" w:ascii="Times New Roman" w:hAnsi="Times New Roman" w:eastAsia="宋体" w:cs="Times New Roman"/>
          <w:snapToGrid w:val="0"/>
          <w:color w:val="auto"/>
          <w:spacing w:val="-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4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④</w:t>
      </w:r>
      <w:r>
        <w:rPr>
          <w:rFonts w:hint="default" w:ascii="Times New Roman" w:hAnsi="Times New Roman" w:eastAsia="宋体" w:cs="Times New Roman"/>
          <w:snapToGrid w:val="0"/>
          <w:color w:val="auto"/>
          <w:spacing w:val="-6"/>
          <w:kern w:val="21"/>
          <w:sz w:val="21"/>
          <w:szCs w:val="21"/>
        </w:rPr>
        <w:fldChar w:fldCharType="end"/>
      </w:r>
      <w:r>
        <w:rPr>
          <w:rFonts w:hint="default" w:ascii="Times New Roman" w:hAnsi="Times New Roman" w:eastAsia="宋体" w:cs="Times New Roman"/>
          <w:snapToGrid w:val="0"/>
          <w:color w:val="auto"/>
          <w:spacing w:val="-6"/>
          <w:kern w:val="21"/>
          <w:sz w:val="21"/>
          <w:szCs w:val="21"/>
        </w:rPr>
        <w:t>-</w:t>
      </w:r>
      <w:r>
        <w:rPr>
          <w:rFonts w:hint="default" w:ascii="Times New Roman" w:hAnsi="Times New Roman" w:eastAsia="宋体" w:cs="Times New Roman"/>
          <w:snapToGrid w:val="0"/>
          <w:color w:val="auto"/>
          <w:spacing w:val="-16"/>
          <w:kern w:val="21"/>
          <w:sz w:val="21"/>
          <w:szCs w:val="21"/>
        </w:rPr>
        <w:fldChar w:fldCharType="begin"/>
      </w:r>
      <w:r>
        <w:rPr>
          <w:rFonts w:hint="default" w:ascii="Times New Roman" w:hAnsi="Times New Roman" w:eastAsia="宋体" w:cs="Times New Roman"/>
          <w:snapToGrid w:val="0"/>
          <w:color w:val="auto"/>
          <w:spacing w:val="-16"/>
          <w:kern w:val="21"/>
          <w:sz w:val="21"/>
          <w:szCs w:val="21"/>
        </w:rPr>
        <w:instrText xml:space="preserve"> = 5 \* GB3 \* MERGEFORMAT </w:instrText>
      </w:r>
      <w:r>
        <w:rPr>
          <w:rFonts w:hint="default" w:ascii="Times New Roman" w:hAnsi="Times New Roman" w:eastAsia="宋体" w:cs="Times New Roman"/>
          <w:snapToGrid w:val="0"/>
          <w:color w:val="auto"/>
          <w:spacing w:val="-16"/>
          <w:kern w:val="21"/>
          <w:sz w:val="21"/>
          <w:szCs w:val="21"/>
        </w:rPr>
        <w:fldChar w:fldCharType="separate"/>
      </w:r>
      <w:r>
        <w:rPr>
          <w:rFonts w:hint="default" w:ascii="Times New Roman" w:hAnsi="Times New Roman" w:eastAsia="宋体" w:cs="Times New Roman"/>
          <w:color w:val="auto"/>
          <w:sz w:val="21"/>
          <w:szCs w:val="21"/>
        </w:rPr>
        <w:t>⑤</w:t>
      </w:r>
      <w:r>
        <w:rPr>
          <w:rFonts w:hint="default" w:ascii="Times New Roman" w:hAnsi="Times New Roman" w:eastAsia="宋体" w:cs="Times New Roman"/>
          <w:snapToGrid w:val="0"/>
          <w:color w:val="auto"/>
          <w:spacing w:val="-16"/>
          <w:kern w:val="21"/>
          <w:sz w:val="21"/>
          <w:szCs w:val="21"/>
        </w:rPr>
        <w:fldChar w:fldCharType="end"/>
      </w:r>
      <w:r>
        <w:rPr>
          <w:rFonts w:hint="default" w:ascii="Times New Roman" w:hAnsi="Times New Roman" w:eastAsia="宋体" w:cs="Times New Roman"/>
          <w:snapToGrid w:val="0"/>
          <w:color w:val="auto"/>
          <w:spacing w:val="-1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7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⑦</w:t>
      </w:r>
      <w:r>
        <w:rPr>
          <w:rFonts w:hint="default" w:ascii="Times New Roman" w:hAnsi="Times New Roman" w:eastAsia="宋体" w:cs="Times New Roman"/>
          <w:snapToGrid w:val="0"/>
          <w:color w:val="auto"/>
          <w:spacing w:val="-6"/>
          <w:kern w:val="21"/>
          <w:sz w:val="21"/>
          <w:szCs w:val="21"/>
        </w:rPr>
        <w:fldChar w:fldCharType="end"/>
      </w:r>
      <w:r>
        <w:rPr>
          <w:rFonts w:hint="default" w:ascii="Times New Roman" w:hAnsi="Times New Roman" w:eastAsia="宋体" w:cs="Times New Roman"/>
          <w:snapToGrid w:val="0"/>
          <w:color w:val="auto"/>
          <w:spacing w:val="-6"/>
          <w:kern w:val="21"/>
          <w:sz w:val="21"/>
          <w:szCs w:val="21"/>
        </w:rPr>
        <w:t>=</w:t>
      </w:r>
      <w:r>
        <w:rPr>
          <w:rFonts w:hint="default" w:ascii="Times New Roman" w:hAnsi="Times New Roman" w:eastAsia="宋体" w:cs="Times New Roman"/>
          <w:snapToGrid w:val="0"/>
          <w:color w:val="auto"/>
          <w:spacing w:val="-16"/>
          <w:kern w:val="21"/>
          <w:sz w:val="21"/>
          <w:szCs w:val="21"/>
        </w:rPr>
        <w:fldChar w:fldCharType="begin"/>
      </w:r>
      <w:r>
        <w:rPr>
          <w:rFonts w:hint="default" w:ascii="Times New Roman" w:hAnsi="Times New Roman" w:eastAsia="宋体" w:cs="Times New Roman"/>
          <w:snapToGrid w:val="0"/>
          <w:color w:val="auto"/>
          <w:spacing w:val="-16"/>
          <w:kern w:val="21"/>
          <w:sz w:val="21"/>
          <w:szCs w:val="21"/>
        </w:rPr>
        <w:instrText xml:space="preserve"> = 6 \* GB3 \* MERGEFORMAT </w:instrText>
      </w:r>
      <w:r>
        <w:rPr>
          <w:rFonts w:hint="default" w:ascii="Times New Roman" w:hAnsi="Times New Roman" w:eastAsia="宋体" w:cs="Times New Roman"/>
          <w:snapToGrid w:val="0"/>
          <w:color w:val="auto"/>
          <w:spacing w:val="-16"/>
          <w:kern w:val="21"/>
          <w:sz w:val="21"/>
          <w:szCs w:val="21"/>
        </w:rPr>
        <w:fldChar w:fldCharType="separate"/>
      </w:r>
      <w:r>
        <w:rPr>
          <w:rFonts w:hint="default" w:ascii="Times New Roman" w:hAnsi="Times New Roman" w:eastAsia="宋体" w:cs="Times New Roman"/>
          <w:color w:val="auto"/>
          <w:sz w:val="21"/>
          <w:szCs w:val="21"/>
        </w:rPr>
        <w:t>⑥</w:t>
      </w:r>
      <w:r>
        <w:rPr>
          <w:rFonts w:hint="default" w:ascii="Times New Roman" w:hAnsi="Times New Roman" w:eastAsia="宋体" w:cs="Times New Roman"/>
          <w:snapToGrid w:val="0"/>
          <w:color w:val="auto"/>
          <w:spacing w:val="-16"/>
          <w:kern w:val="21"/>
          <w:sz w:val="21"/>
          <w:szCs w:val="21"/>
        </w:rPr>
        <w:fldChar w:fldCharType="end"/>
      </w:r>
      <w:r>
        <w:rPr>
          <w:rFonts w:hint="default" w:ascii="Times New Roman" w:hAnsi="Times New Roman" w:eastAsia="宋体" w:cs="Times New Roman"/>
          <w:snapToGrid w:val="0"/>
          <w:color w:val="auto"/>
          <w:spacing w:val="-1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1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①</w:t>
      </w:r>
      <w:r>
        <w:rPr>
          <w:rFonts w:hint="default" w:ascii="Times New Roman" w:hAnsi="Times New Roman" w:eastAsia="宋体" w:cs="Times New Roman"/>
          <w:snapToGrid w:val="0"/>
          <w:color w:val="auto"/>
          <w:spacing w:val="-6"/>
          <w:kern w:val="21"/>
          <w:sz w:val="21"/>
          <w:szCs w:val="21"/>
        </w:rPr>
        <w:fldChar w:fldCharType="end"/>
      </w:r>
    </w:p>
    <w:sectPr>
      <w:pgSz w:w="16838" w:h="11906" w:orient="landscape"/>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roma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6B663">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493EB">
    <w:pPr>
      <w:pStyle w:val="23"/>
      <w:framePr w:wrap="around" w:vAnchor="text" w:hAnchor="margin" w:xAlign="center" w:y="1"/>
      <w:rPr>
        <w:rStyle w:val="36"/>
      </w:rPr>
    </w:pPr>
    <w:r>
      <w:fldChar w:fldCharType="begin"/>
    </w:r>
    <w:r>
      <w:rPr>
        <w:rStyle w:val="36"/>
      </w:rPr>
      <w:instrText xml:space="preserve">PAGE  </w:instrText>
    </w:r>
    <w:r>
      <w:fldChar w:fldCharType="separate"/>
    </w:r>
    <w:r>
      <w:rPr>
        <w:rStyle w:val="36"/>
      </w:rPr>
      <w:t>16</w:t>
    </w:r>
    <w:r>
      <w:fldChar w:fldCharType="end"/>
    </w:r>
  </w:p>
  <w:p w14:paraId="47DE2A5A">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97DB">
    <w:pPr>
      <w:pStyle w:val="23"/>
      <w:ind w:right="360" w:firstLine="36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E5FAD">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2EE5FAD">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51AB">
    <w:pPr>
      <w:pStyle w:val="23"/>
      <w:ind w:right="360" w:firstLine="360"/>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46FEE">
                          <w:pPr>
                            <w:pStyle w:val="23"/>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1046FEE">
                    <w:pPr>
                      <w:pStyle w:val="23"/>
                    </w:pPr>
                    <w:r>
                      <w:fldChar w:fldCharType="begin"/>
                    </w:r>
                    <w:r>
                      <w:instrText xml:space="preserve"> PAGE  \* MERGEFORMAT </w:instrText>
                    </w:r>
                    <w:r>
                      <w:fldChar w:fldCharType="separate"/>
                    </w:r>
                    <w:r>
                      <w:t>91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3A3E5"/>
    <w:multiLevelType w:val="singleLevel"/>
    <w:tmpl w:val="C2A3A3E5"/>
    <w:lvl w:ilvl="0" w:tentative="0">
      <w:start w:val="14"/>
      <w:numFmt w:val="upperLetter"/>
      <w:suff w:val="nothing"/>
      <w:lvlText w:val="%1-"/>
      <w:lvlJc w:val="left"/>
    </w:lvl>
  </w:abstractNum>
  <w:abstractNum w:abstractNumId="1">
    <w:nsid w:val="D21EABA7"/>
    <w:multiLevelType w:val="singleLevel"/>
    <w:tmpl w:val="D21EABA7"/>
    <w:lvl w:ilvl="0" w:tentative="0">
      <w:start w:val="7"/>
      <w:numFmt w:val="decimal"/>
      <w:suff w:val="nothing"/>
      <w:lvlText w:val="%1、"/>
      <w:lvlJc w:val="left"/>
    </w:lvl>
  </w:abstractNum>
  <w:abstractNum w:abstractNumId="2">
    <w:nsid w:val="DB2ECCE7"/>
    <w:multiLevelType w:val="singleLevel"/>
    <w:tmpl w:val="DB2ECCE7"/>
    <w:lvl w:ilvl="0" w:tentative="0">
      <w:start w:val="2"/>
      <w:numFmt w:val="decimal"/>
      <w:suff w:val="nothing"/>
      <w:lvlText w:val="%1、"/>
      <w:lvlJc w:val="left"/>
    </w:lvl>
  </w:abstractNum>
  <w:abstractNum w:abstractNumId="3">
    <w:nsid w:val="E3FE8EFC"/>
    <w:multiLevelType w:val="singleLevel"/>
    <w:tmpl w:val="E3FE8EFC"/>
    <w:lvl w:ilvl="0" w:tentative="0">
      <w:start w:val="2"/>
      <w:numFmt w:val="decimal"/>
      <w:lvlText w:val="(%1)"/>
      <w:lvlJc w:val="left"/>
      <w:pPr>
        <w:tabs>
          <w:tab w:val="left" w:pos="312"/>
        </w:tabs>
      </w:pPr>
    </w:lvl>
  </w:abstractNum>
  <w:abstractNum w:abstractNumId="4">
    <w:nsid w:val="1264DF4F"/>
    <w:multiLevelType w:val="singleLevel"/>
    <w:tmpl w:val="1264DF4F"/>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5">
    <w:nsid w:val="556E47D3"/>
    <w:multiLevelType w:val="singleLevel"/>
    <w:tmpl w:val="556E47D3"/>
    <w:lvl w:ilvl="0" w:tentative="0">
      <w:start w:val="5"/>
      <w:numFmt w:val="decimal"/>
      <w:suff w:val="nothing"/>
      <w:lvlText w:val="（%1）"/>
      <w:lvlJc w:val="left"/>
    </w:lvl>
  </w:abstractNum>
  <w:abstractNum w:abstractNumId="6">
    <w:nsid w:val="70246824"/>
    <w:multiLevelType w:val="multilevel"/>
    <w:tmpl w:val="70246824"/>
    <w:lvl w:ilvl="0" w:tentative="0">
      <w:start w:val="1"/>
      <w:numFmt w:val="decimal"/>
      <w:lvlText w:val="%1"/>
      <w:lvlJc w:val="left"/>
      <w:pPr>
        <w:tabs>
          <w:tab w:val="left" w:pos="432"/>
        </w:tabs>
        <w:ind w:left="0" w:firstLine="0"/>
      </w:pPr>
      <w:rPr>
        <w:rFonts w:hint="eastAsia"/>
      </w:rPr>
    </w:lvl>
    <w:lvl w:ilvl="1" w:tentative="0">
      <w:start w:val="1"/>
      <w:numFmt w:val="decimal"/>
      <w:lvlText w:val="%1.%2"/>
      <w:lvlJc w:val="left"/>
      <w:pPr>
        <w:tabs>
          <w:tab w:val="left" w:pos="432"/>
        </w:tabs>
        <w:ind w:left="0" w:firstLine="0"/>
      </w:pPr>
      <w:rPr>
        <w:rFonts w:hint="default" w:ascii="Times New Roman" w:hAnsi="Times New Roman" w:cs="Times New Roman"/>
      </w:rPr>
    </w:lvl>
    <w:lvl w:ilvl="2" w:tentative="0">
      <w:start w:val="1"/>
      <w:numFmt w:val="decimal"/>
      <w:suff w:val="nothing"/>
      <w:lvlText w:val="%1.%2.%3"/>
      <w:lvlJc w:val="left"/>
      <w:pPr>
        <w:ind w:left="0" w:firstLine="0"/>
      </w:pPr>
      <w:rPr>
        <w:rFonts w:hint="eastAsia"/>
      </w:rPr>
    </w:lvl>
    <w:lvl w:ilvl="3" w:tentative="0">
      <w:start w:val="1"/>
      <w:numFmt w:val="decimal"/>
      <w:pStyle w:val="7"/>
      <w:lvlText w:val="%1.%2.%3.%4"/>
      <w:lvlJc w:val="left"/>
      <w:pPr>
        <w:tabs>
          <w:tab w:val="left" w:pos="432"/>
        </w:tabs>
        <w:ind w:left="0" w:firstLine="0"/>
      </w:pPr>
      <w:rPr>
        <w:rFonts w:hint="eastAsia" w:ascii="Times New Roman" w:hAnsi="Times New Roman" w:cs="Times New Roman"/>
        <w:bCs w:val="0"/>
        <w:i w:val="0"/>
        <w:iCs w:val="0"/>
        <w:caps w:val="0"/>
        <w:smallCaps w:val="0"/>
        <w:strike w:val="0"/>
        <w:dstrike w:val="0"/>
        <w:vanish w:val="0"/>
        <w:spacing w:val="0"/>
        <w:kern w:val="0"/>
        <w:position w:val="0"/>
        <w:u w:val="none"/>
        <w:vertAlign w:val="baseline"/>
      </w:rPr>
    </w:lvl>
    <w:lvl w:ilvl="4" w:tentative="0">
      <w:start w:val="1"/>
      <w:numFmt w:val="decimal"/>
      <w:lvlText w:val="%1.%2.%3.%4.%5"/>
      <w:lvlJc w:val="left"/>
      <w:pPr>
        <w:tabs>
          <w:tab w:val="left" w:pos="432"/>
        </w:tabs>
        <w:ind w:left="0" w:firstLine="0"/>
      </w:pPr>
      <w:rPr>
        <w:rFonts w:hint="eastAsia"/>
      </w:rPr>
    </w:lvl>
    <w:lvl w:ilvl="5" w:tentative="0">
      <w:start w:val="1"/>
      <w:numFmt w:val="decimal"/>
      <w:lvlText w:val="%1.%2.%3.%4.%5.%6"/>
      <w:lvlJc w:val="left"/>
      <w:pPr>
        <w:tabs>
          <w:tab w:val="left" w:pos="432"/>
        </w:tabs>
        <w:ind w:left="0" w:firstLine="0"/>
      </w:pPr>
      <w:rPr>
        <w:rFonts w:hint="eastAsia"/>
      </w:rPr>
    </w:lvl>
    <w:lvl w:ilvl="6" w:tentative="0">
      <w:start w:val="1"/>
      <w:numFmt w:val="decimal"/>
      <w:lvlText w:val="%1.%2.%3.%4.%5.%6.%7"/>
      <w:lvlJc w:val="left"/>
      <w:pPr>
        <w:tabs>
          <w:tab w:val="left" w:pos="432"/>
        </w:tabs>
        <w:ind w:left="0" w:firstLine="0"/>
      </w:pPr>
      <w:rPr>
        <w:rFonts w:hint="eastAsia"/>
      </w:rPr>
    </w:lvl>
    <w:lvl w:ilvl="7" w:tentative="0">
      <w:start w:val="1"/>
      <w:numFmt w:val="decimal"/>
      <w:lvlText w:val="%1.%2.%3.%4.%5.%6.%7.%8"/>
      <w:lvlJc w:val="left"/>
      <w:pPr>
        <w:tabs>
          <w:tab w:val="left" w:pos="432"/>
        </w:tabs>
        <w:ind w:left="0" w:firstLine="0"/>
      </w:pPr>
      <w:rPr>
        <w:rFonts w:hint="eastAsia"/>
      </w:rPr>
    </w:lvl>
    <w:lvl w:ilvl="8" w:tentative="0">
      <w:start w:val="1"/>
      <w:numFmt w:val="decimal"/>
      <w:lvlText w:val="%1.%2.%3.%4.%5.%6.%7.%8.%9"/>
      <w:lvlJc w:val="left"/>
      <w:pPr>
        <w:tabs>
          <w:tab w:val="left" w:pos="432"/>
        </w:tabs>
        <w:ind w:left="0" w:firstLine="0"/>
      </w:pPr>
      <w:rPr>
        <w:rFonts w:hint="eastAsia"/>
      </w:rPr>
    </w:lvl>
  </w:abstractNum>
  <w:num w:numId="1">
    <w:abstractNumId w:val="6"/>
  </w:num>
  <w:num w:numId="2">
    <w:abstractNumId w:val="4"/>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MmRhMTliMDllN2MwZDNmMzkwNDYzYWNmMWIwMDQifQ=="/>
    <w:docVar w:name="KSO_WPS_MARK_KEY" w:val="375fd221-2ea5-4805-ab83-f1e1a7a723a6"/>
  </w:docVars>
  <w:rsids>
    <w:rsidRoot w:val="00172A27"/>
    <w:rsid w:val="0005569C"/>
    <w:rsid w:val="00135D1E"/>
    <w:rsid w:val="001F46FC"/>
    <w:rsid w:val="00201B6D"/>
    <w:rsid w:val="00222F4B"/>
    <w:rsid w:val="002C4E7E"/>
    <w:rsid w:val="004873E0"/>
    <w:rsid w:val="00524CEA"/>
    <w:rsid w:val="005A3DAF"/>
    <w:rsid w:val="00602113"/>
    <w:rsid w:val="006413E5"/>
    <w:rsid w:val="00716A1E"/>
    <w:rsid w:val="0072761A"/>
    <w:rsid w:val="00822050"/>
    <w:rsid w:val="008839EB"/>
    <w:rsid w:val="00890BE8"/>
    <w:rsid w:val="008A4407"/>
    <w:rsid w:val="0096047C"/>
    <w:rsid w:val="00A34400"/>
    <w:rsid w:val="00B53545"/>
    <w:rsid w:val="00CA55D5"/>
    <w:rsid w:val="00D575F3"/>
    <w:rsid w:val="00DB0159"/>
    <w:rsid w:val="00E16FE2"/>
    <w:rsid w:val="00F53283"/>
    <w:rsid w:val="010760AC"/>
    <w:rsid w:val="01203FAE"/>
    <w:rsid w:val="01247E17"/>
    <w:rsid w:val="012C7D98"/>
    <w:rsid w:val="012F781C"/>
    <w:rsid w:val="01384D5A"/>
    <w:rsid w:val="013E65F6"/>
    <w:rsid w:val="017942D5"/>
    <w:rsid w:val="017F5C19"/>
    <w:rsid w:val="01815F85"/>
    <w:rsid w:val="01C75EFC"/>
    <w:rsid w:val="01EC475F"/>
    <w:rsid w:val="01FF18D5"/>
    <w:rsid w:val="02036538"/>
    <w:rsid w:val="0238042F"/>
    <w:rsid w:val="02A92A0A"/>
    <w:rsid w:val="02B2279A"/>
    <w:rsid w:val="02B71117"/>
    <w:rsid w:val="02BE671B"/>
    <w:rsid w:val="02C941D1"/>
    <w:rsid w:val="02E527B6"/>
    <w:rsid w:val="02EB76DB"/>
    <w:rsid w:val="02F23940"/>
    <w:rsid w:val="03181948"/>
    <w:rsid w:val="032D1FF4"/>
    <w:rsid w:val="03392327"/>
    <w:rsid w:val="033A2423"/>
    <w:rsid w:val="034164C5"/>
    <w:rsid w:val="034B4CF8"/>
    <w:rsid w:val="035A0972"/>
    <w:rsid w:val="037D6171"/>
    <w:rsid w:val="03951B7C"/>
    <w:rsid w:val="03F9436F"/>
    <w:rsid w:val="04324F3C"/>
    <w:rsid w:val="043645F5"/>
    <w:rsid w:val="0440084B"/>
    <w:rsid w:val="04480CC9"/>
    <w:rsid w:val="04545D1C"/>
    <w:rsid w:val="04673203"/>
    <w:rsid w:val="048954B5"/>
    <w:rsid w:val="048E0E18"/>
    <w:rsid w:val="0492765B"/>
    <w:rsid w:val="04A01887"/>
    <w:rsid w:val="04C639CA"/>
    <w:rsid w:val="04F27605"/>
    <w:rsid w:val="050E2510"/>
    <w:rsid w:val="051950B1"/>
    <w:rsid w:val="05235E1B"/>
    <w:rsid w:val="05276676"/>
    <w:rsid w:val="05283431"/>
    <w:rsid w:val="052B6704"/>
    <w:rsid w:val="05323FFF"/>
    <w:rsid w:val="0550110E"/>
    <w:rsid w:val="055F39C0"/>
    <w:rsid w:val="057B7A05"/>
    <w:rsid w:val="0594759F"/>
    <w:rsid w:val="05B82308"/>
    <w:rsid w:val="05BB6EB2"/>
    <w:rsid w:val="05DE02E0"/>
    <w:rsid w:val="05E92FD7"/>
    <w:rsid w:val="061001CC"/>
    <w:rsid w:val="062D6001"/>
    <w:rsid w:val="062E37E3"/>
    <w:rsid w:val="069A76FE"/>
    <w:rsid w:val="069F4357"/>
    <w:rsid w:val="06C406D6"/>
    <w:rsid w:val="06DC272E"/>
    <w:rsid w:val="06F402A1"/>
    <w:rsid w:val="06F501DA"/>
    <w:rsid w:val="07072324"/>
    <w:rsid w:val="071A5FC4"/>
    <w:rsid w:val="07204277"/>
    <w:rsid w:val="073360BD"/>
    <w:rsid w:val="07482F71"/>
    <w:rsid w:val="074D53D1"/>
    <w:rsid w:val="075C5D77"/>
    <w:rsid w:val="077D4366"/>
    <w:rsid w:val="07860FE4"/>
    <w:rsid w:val="079052BE"/>
    <w:rsid w:val="079E0D8E"/>
    <w:rsid w:val="07CC255A"/>
    <w:rsid w:val="07D34986"/>
    <w:rsid w:val="07D6482B"/>
    <w:rsid w:val="07D95D21"/>
    <w:rsid w:val="07F83E22"/>
    <w:rsid w:val="084950EF"/>
    <w:rsid w:val="084D5126"/>
    <w:rsid w:val="085C2446"/>
    <w:rsid w:val="08901948"/>
    <w:rsid w:val="08C070D2"/>
    <w:rsid w:val="08EC29C7"/>
    <w:rsid w:val="09644D45"/>
    <w:rsid w:val="09706D78"/>
    <w:rsid w:val="097677CC"/>
    <w:rsid w:val="099E0166"/>
    <w:rsid w:val="09A92667"/>
    <w:rsid w:val="0A0963AF"/>
    <w:rsid w:val="0A14662A"/>
    <w:rsid w:val="0A2D5046"/>
    <w:rsid w:val="0A357D9F"/>
    <w:rsid w:val="0A66433D"/>
    <w:rsid w:val="0A8455AD"/>
    <w:rsid w:val="0A8F5EC1"/>
    <w:rsid w:val="0AA9445D"/>
    <w:rsid w:val="0AC4158D"/>
    <w:rsid w:val="0AE81C3F"/>
    <w:rsid w:val="0AF228F4"/>
    <w:rsid w:val="0AF416D9"/>
    <w:rsid w:val="0B057D70"/>
    <w:rsid w:val="0B1D2390"/>
    <w:rsid w:val="0B27461F"/>
    <w:rsid w:val="0B2C17A1"/>
    <w:rsid w:val="0B326B4F"/>
    <w:rsid w:val="0B3C457B"/>
    <w:rsid w:val="0B752DE8"/>
    <w:rsid w:val="0B834E87"/>
    <w:rsid w:val="0B884428"/>
    <w:rsid w:val="0BAB0D58"/>
    <w:rsid w:val="0BF84E2F"/>
    <w:rsid w:val="0C1C2A4F"/>
    <w:rsid w:val="0C381C09"/>
    <w:rsid w:val="0C550CE4"/>
    <w:rsid w:val="0C6F1945"/>
    <w:rsid w:val="0C7E676A"/>
    <w:rsid w:val="0C8D7370"/>
    <w:rsid w:val="0C9879D0"/>
    <w:rsid w:val="0CA61B23"/>
    <w:rsid w:val="0CCA5F99"/>
    <w:rsid w:val="0CD13EF0"/>
    <w:rsid w:val="0CE54E38"/>
    <w:rsid w:val="0CF87D87"/>
    <w:rsid w:val="0D185A68"/>
    <w:rsid w:val="0D3E2393"/>
    <w:rsid w:val="0D6013FC"/>
    <w:rsid w:val="0D780369"/>
    <w:rsid w:val="0D7D2214"/>
    <w:rsid w:val="0D7D4F91"/>
    <w:rsid w:val="0DA32561"/>
    <w:rsid w:val="0DD26844"/>
    <w:rsid w:val="0DD73C46"/>
    <w:rsid w:val="0DDA4F41"/>
    <w:rsid w:val="0E0338AE"/>
    <w:rsid w:val="0E484B44"/>
    <w:rsid w:val="0E672DC6"/>
    <w:rsid w:val="0E826F47"/>
    <w:rsid w:val="0E842BE6"/>
    <w:rsid w:val="0E85180F"/>
    <w:rsid w:val="0E910299"/>
    <w:rsid w:val="0EB36E1E"/>
    <w:rsid w:val="0EC11470"/>
    <w:rsid w:val="0EFD76DC"/>
    <w:rsid w:val="0EFF7367"/>
    <w:rsid w:val="0F15442B"/>
    <w:rsid w:val="0F2B1AFF"/>
    <w:rsid w:val="0F3B5428"/>
    <w:rsid w:val="0F492859"/>
    <w:rsid w:val="0F4B3A9A"/>
    <w:rsid w:val="0F6B613B"/>
    <w:rsid w:val="0F7C167B"/>
    <w:rsid w:val="0F7C2533"/>
    <w:rsid w:val="0F950A04"/>
    <w:rsid w:val="0F9A1A42"/>
    <w:rsid w:val="0FAD68C9"/>
    <w:rsid w:val="0FB22DC0"/>
    <w:rsid w:val="0FC2451A"/>
    <w:rsid w:val="0FD612EF"/>
    <w:rsid w:val="0FE8340A"/>
    <w:rsid w:val="1016158F"/>
    <w:rsid w:val="1017675E"/>
    <w:rsid w:val="101F19FC"/>
    <w:rsid w:val="1022461B"/>
    <w:rsid w:val="102E4364"/>
    <w:rsid w:val="10442560"/>
    <w:rsid w:val="10702130"/>
    <w:rsid w:val="107057B6"/>
    <w:rsid w:val="10736119"/>
    <w:rsid w:val="10810481"/>
    <w:rsid w:val="108A2DF9"/>
    <w:rsid w:val="108D564A"/>
    <w:rsid w:val="10E548CC"/>
    <w:rsid w:val="113D2B8C"/>
    <w:rsid w:val="114356CC"/>
    <w:rsid w:val="114F5F57"/>
    <w:rsid w:val="11784E27"/>
    <w:rsid w:val="117B5DBE"/>
    <w:rsid w:val="118F44A0"/>
    <w:rsid w:val="119635B0"/>
    <w:rsid w:val="11D566EF"/>
    <w:rsid w:val="11DF30C9"/>
    <w:rsid w:val="11E45185"/>
    <w:rsid w:val="12164322"/>
    <w:rsid w:val="12411D4B"/>
    <w:rsid w:val="12812FB7"/>
    <w:rsid w:val="12993018"/>
    <w:rsid w:val="12E458D7"/>
    <w:rsid w:val="12E93448"/>
    <w:rsid w:val="13180DA7"/>
    <w:rsid w:val="131C08A2"/>
    <w:rsid w:val="13314778"/>
    <w:rsid w:val="133756FE"/>
    <w:rsid w:val="133E6296"/>
    <w:rsid w:val="13703F81"/>
    <w:rsid w:val="137639B2"/>
    <w:rsid w:val="13777B07"/>
    <w:rsid w:val="13835AB4"/>
    <w:rsid w:val="138C0849"/>
    <w:rsid w:val="139318BE"/>
    <w:rsid w:val="139B7C50"/>
    <w:rsid w:val="13D62B0F"/>
    <w:rsid w:val="14036101"/>
    <w:rsid w:val="14056CAB"/>
    <w:rsid w:val="1428639F"/>
    <w:rsid w:val="14382F65"/>
    <w:rsid w:val="144E5BFE"/>
    <w:rsid w:val="148130B3"/>
    <w:rsid w:val="14B106F3"/>
    <w:rsid w:val="14E15A3A"/>
    <w:rsid w:val="150E13BB"/>
    <w:rsid w:val="152B3DC1"/>
    <w:rsid w:val="15385135"/>
    <w:rsid w:val="15410CDB"/>
    <w:rsid w:val="15420546"/>
    <w:rsid w:val="155B4089"/>
    <w:rsid w:val="15624645"/>
    <w:rsid w:val="159B08E0"/>
    <w:rsid w:val="159B3282"/>
    <w:rsid w:val="159C5330"/>
    <w:rsid w:val="15AE2A3D"/>
    <w:rsid w:val="15B6280D"/>
    <w:rsid w:val="15CB64D8"/>
    <w:rsid w:val="15FC19FE"/>
    <w:rsid w:val="1629395A"/>
    <w:rsid w:val="164E4CC1"/>
    <w:rsid w:val="165C2036"/>
    <w:rsid w:val="166D0912"/>
    <w:rsid w:val="168A7A4E"/>
    <w:rsid w:val="16904ECD"/>
    <w:rsid w:val="16A0584B"/>
    <w:rsid w:val="16A62DC8"/>
    <w:rsid w:val="16D510B9"/>
    <w:rsid w:val="16DA5561"/>
    <w:rsid w:val="16E16DE7"/>
    <w:rsid w:val="16E521A4"/>
    <w:rsid w:val="16FB2759"/>
    <w:rsid w:val="17155AED"/>
    <w:rsid w:val="172E6ACE"/>
    <w:rsid w:val="17430D39"/>
    <w:rsid w:val="17482550"/>
    <w:rsid w:val="175E69A5"/>
    <w:rsid w:val="179A1E1C"/>
    <w:rsid w:val="179E2B81"/>
    <w:rsid w:val="179E7A2B"/>
    <w:rsid w:val="179F64A3"/>
    <w:rsid w:val="17B65757"/>
    <w:rsid w:val="17BC6FAA"/>
    <w:rsid w:val="17D64F6F"/>
    <w:rsid w:val="17E5069C"/>
    <w:rsid w:val="181862DB"/>
    <w:rsid w:val="182C765E"/>
    <w:rsid w:val="183A6E83"/>
    <w:rsid w:val="18702CCD"/>
    <w:rsid w:val="18955BA1"/>
    <w:rsid w:val="189A0770"/>
    <w:rsid w:val="18AE4FE0"/>
    <w:rsid w:val="18CB38A6"/>
    <w:rsid w:val="18E56FDE"/>
    <w:rsid w:val="18FE15C4"/>
    <w:rsid w:val="190873AA"/>
    <w:rsid w:val="19092111"/>
    <w:rsid w:val="1909658B"/>
    <w:rsid w:val="1911307C"/>
    <w:rsid w:val="19124904"/>
    <w:rsid w:val="193927B8"/>
    <w:rsid w:val="19397AAF"/>
    <w:rsid w:val="193A3123"/>
    <w:rsid w:val="19447053"/>
    <w:rsid w:val="194C247C"/>
    <w:rsid w:val="19681673"/>
    <w:rsid w:val="1969328D"/>
    <w:rsid w:val="19861997"/>
    <w:rsid w:val="19A103FD"/>
    <w:rsid w:val="19A73366"/>
    <w:rsid w:val="19A96B9D"/>
    <w:rsid w:val="19AB0C84"/>
    <w:rsid w:val="19BC7762"/>
    <w:rsid w:val="19BE5CBA"/>
    <w:rsid w:val="1A153F45"/>
    <w:rsid w:val="1A441511"/>
    <w:rsid w:val="1A6220C1"/>
    <w:rsid w:val="1A6F1609"/>
    <w:rsid w:val="1A7B1DFD"/>
    <w:rsid w:val="1A7E5D83"/>
    <w:rsid w:val="1A905EAF"/>
    <w:rsid w:val="1ADB4375"/>
    <w:rsid w:val="1B0419DB"/>
    <w:rsid w:val="1B141E99"/>
    <w:rsid w:val="1B19320D"/>
    <w:rsid w:val="1B3538AC"/>
    <w:rsid w:val="1B4B1828"/>
    <w:rsid w:val="1B5E23A3"/>
    <w:rsid w:val="1B7156DA"/>
    <w:rsid w:val="1B735F49"/>
    <w:rsid w:val="1B7B3502"/>
    <w:rsid w:val="1B7E3F5B"/>
    <w:rsid w:val="1B8C2C7D"/>
    <w:rsid w:val="1B907CD7"/>
    <w:rsid w:val="1B9C715A"/>
    <w:rsid w:val="1BB235FD"/>
    <w:rsid w:val="1BD55660"/>
    <w:rsid w:val="1BDD1D14"/>
    <w:rsid w:val="1BE22FAA"/>
    <w:rsid w:val="1BEA6148"/>
    <w:rsid w:val="1BFA418F"/>
    <w:rsid w:val="1C020012"/>
    <w:rsid w:val="1C310701"/>
    <w:rsid w:val="1C3C1FCB"/>
    <w:rsid w:val="1C47083A"/>
    <w:rsid w:val="1C511D15"/>
    <w:rsid w:val="1C5A2674"/>
    <w:rsid w:val="1CA61F02"/>
    <w:rsid w:val="1CB3003D"/>
    <w:rsid w:val="1CC8040E"/>
    <w:rsid w:val="1CD221A8"/>
    <w:rsid w:val="1CE03A9D"/>
    <w:rsid w:val="1CE41EDC"/>
    <w:rsid w:val="1CE5013D"/>
    <w:rsid w:val="1D0A6375"/>
    <w:rsid w:val="1D173332"/>
    <w:rsid w:val="1D3224EB"/>
    <w:rsid w:val="1D3E2BC1"/>
    <w:rsid w:val="1D424635"/>
    <w:rsid w:val="1D445847"/>
    <w:rsid w:val="1D464CFC"/>
    <w:rsid w:val="1D4B1026"/>
    <w:rsid w:val="1D653D19"/>
    <w:rsid w:val="1D791DB5"/>
    <w:rsid w:val="1D7F5FC2"/>
    <w:rsid w:val="1D841464"/>
    <w:rsid w:val="1DB0259C"/>
    <w:rsid w:val="1DB444D0"/>
    <w:rsid w:val="1E1352E4"/>
    <w:rsid w:val="1E1C4CB2"/>
    <w:rsid w:val="1E28728E"/>
    <w:rsid w:val="1E786E38"/>
    <w:rsid w:val="1E933BB9"/>
    <w:rsid w:val="1E9971C1"/>
    <w:rsid w:val="1EA700D7"/>
    <w:rsid w:val="1EA86164"/>
    <w:rsid w:val="1EC75C23"/>
    <w:rsid w:val="1ED53FEE"/>
    <w:rsid w:val="1ED63AA6"/>
    <w:rsid w:val="1ED82F08"/>
    <w:rsid w:val="1EDD4465"/>
    <w:rsid w:val="1F065805"/>
    <w:rsid w:val="1F354586"/>
    <w:rsid w:val="1F362066"/>
    <w:rsid w:val="1F7942DD"/>
    <w:rsid w:val="1F7C1B84"/>
    <w:rsid w:val="1F7F7C9A"/>
    <w:rsid w:val="1F912980"/>
    <w:rsid w:val="1FA272F0"/>
    <w:rsid w:val="1FB3428D"/>
    <w:rsid w:val="1FE46E84"/>
    <w:rsid w:val="1FFA4D30"/>
    <w:rsid w:val="202B6BBB"/>
    <w:rsid w:val="202C40EB"/>
    <w:rsid w:val="203C27CE"/>
    <w:rsid w:val="20716492"/>
    <w:rsid w:val="20765D35"/>
    <w:rsid w:val="207B4707"/>
    <w:rsid w:val="20831DD5"/>
    <w:rsid w:val="20AD0CA5"/>
    <w:rsid w:val="20CA36DB"/>
    <w:rsid w:val="20D504B9"/>
    <w:rsid w:val="20D6616D"/>
    <w:rsid w:val="20D752E8"/>
    <w:rsid w:val="20E71D06"/>
    <w:rsid w:val="20F2349D"/>
    <w:rsid w:val="21046423"/>
    <w:rsid w:val="21087F3A"/>
    <w:rsid w:val="2153128C"/>
    <w:rsid w:val="21575A71"/>
    <w:rsid w:val="218D2B42"/>
    <w:rsid w:val="21986A54"/>
    <w:rsid w:val="219A6D4B"/>
    <w:rsid w:val="21BB454C"/>
    <w:rsid w:val="21C61BB0"/>
    <w:rsid w:val="21E01641"/>
    <w:rsid w:val="21E8640E"/>
    <w:rsid w:val="21EF407C"/>
    <w:rsid w:val="21F44385"/>
    <w:rsid w:val="220145EE"/>
    <w:rsid w:val="22015E6C"/>
    <w:rsid w:val="22543B20"/>
    <w:rsid w:val="226407A8"/>
    <w:rsid w:val="22745C3E"/>
    <w:rsid w:val="227E5224"/>
    <w:rsid w:val="228A1E61"/>
    <w:rsid w:val="229E48DB"/>
    <w:rsid w:val="22AF3BB9"/>
    <w:rsid w:val="22C20BF7"/>
    <w:rsid w:val="22DE672E"/>
    <w:rsid w:val="22E07A78"/>
    <w:rsid w:val="22E65735"/>
    <w:rsid w:val="22E86037"/>
    <w:rsid w:val="231501BA"/>
    <w:rsid w:val="23256907"/>
    <w:rsid w:val="2342111B"/>
    <w:rsid w:val="23496C7B"/>
    <w:rsid w:val="235B1EB5"/>
    <w:rsid w:val="23A213A2"/>
    <w:rsid w:val="23B209D4"/>
    <w:rsid w:val="23CB59A5"/>
    <w:rsid w:val="241032E9"/>
    <w:rsid w:val="243A3E70"/>
    <w:rsid w:val="244E514C"/>
    <w:rsid w:val="24621A81"/>
    <w:rsid w:val="24A47C97"/>
    <w:rsid w:val="24CE4851"/>
    <w:rsid w:val="24EA7087"/>
    <w:rsid w:val="24F9780D"/>
    <w:rsid w:val="253D4D67"/>
    <w:rsid w:val="25413432"/>
    <w:rsid w:val="25493B6B"/>
    <w:rsid w:val="254D7139"/>
    <w:rsid w:val="254F255B"/>
    <w:rsid w:val="25611D71"/>
    <w:rsid w:val="256D0FF2"/>
    <w:rsid w:val="257769E9"/>
    <w:rsid w:val="25A816F5"/>
    <w:rsid w:val="25C468EC"/>
    <w:rsid w:val="25DE4D0B"/>
    <w:rsid w:val="25DF19BF"/>
    <w:rsid w:val="25FB6B32"/>
    <w:rsid w:val="260460FF"/>
    <w:rsid w:val="26126F70"/>
    <w:rsid w:val="261C718E"/>
    <w:rsid w:val="26211AAB"/>
    <w:rsid w:val="26296BB1"/>
    <w:rsid w:val="263460D9"/>
    <w:rsid w:val="26481EE5"/>
    <w:rsid w:val="265D607C"/>
    <w:rsid w:val="26877614"/>
    <w:rsid w:val="26880324"/>
    <w:rsid w:val="269404CF"/>
    <w:rsid w:val="26B57364"/>
    <w:rsid w:val="26C039A6"/>
    <w:rsid w:val="26C40D8D"/>
    <w:rsid w:val="26D5492B"/>
    <w:rsid w:val="26DC24DA"/>
    <w:rsid w:val="26EE1FA6"/>
    <w:rsid w:val="26FA19F3"/>
    <w:rsid w:val="26FF18C3"/>
    <w:rsid w:val="271C5857"/>
    <w:rsid w:val="273047DC"/>
    <w:rsid w:val="273A72C8"/>
    <w:rsid w:val="27565784"/>
    <w:rsid w:val="27632203"/>
    <w:rsid w:val="27747016"/>
    <w:rsid w:val="279F6F20"/>
    <w:rsid w:val="27A460F5"/>
    <w:rsid w:val="27BF0C3A"/>
    <w:rsid w:val="27CF62C1"/>
    <w:rsid w:val="27D26128"/>
    <w:rsid w:val="27D326C2"/>
    <w:rsid w:val="27E12DEE"/>
    <w:rsid w:val="28144312"/>
    <w:rsid w:val="2835648E"/>
    <w:rsid w:val="283F090E"/>
    <w:rsid w:val="284A238D"/>
    <w:rsid w:val="28A82963"/>
    <w:rsid w:val="28DA6C9F"/>
    <w:rsid w:val="28FF7FE5"/>
    <w:rsid w:val="29090AE6"/>
    <w:rsid w:val="292D1901"/>
    <w:rsid w:val="293A02B5"/>
    <w:rsid w:val="294F78F4"/>
    <w:rsid w:val="29623107"/>
    <w:rsid w:val="2972391B"/>
    <w:rsid w:val="297A0097"/>
    <w:rsid w:val="299624B3"/>
    <w:rsid w:val="29AE7BE1"/>
    <w:rsid w:val="29B64203"/>
    <w:rsid w:val="29BB3FC4"/>
    <w:rsid w:val="29C67296"/>
    <w:rsid w:val="29CB1378"/>
    <w:rsid w:val="29E33546"/>
    <w:rsid w:val="29F25C6A"/>
    <w:rsid w:val="2A4440D4"/>
    <w:rsid w:val="2A666276"/>
    <w:rsid w:val="2A6C51C3"/>
    <w:rsid w:val="2A7E77AA"/>
    <w:rsid w:val="2A937B79"/>
    <w:rsid w:val="2AA158F6"/>
    <w:rsid w:val="2ABC107B"/>
    <w:rsid w:val="2ACE4F6D"/>
    <w:rsid w:val="2AD55874"/>
    <w:rsid w:val="2ADF2D7C"/>
    <w:rsid w:val="2AEC2447"/>
    <w:rsid w:val="2B0149B5"/>
    <w:rsid w:val="2B240EE0"/>
    <w:rsid w:val="2B2625B6"/>
    <w:rsid w:val="2B4C5C9C"/>
    <w:rsid w:val="2B541FDB"/>
    <w:rsid w:val="2B577499"/>
    <w:rsid w:val="2B633D17"/>
    <w:rsid w:val="2BE75544"/>
    <w:rsid w:val="2BFD0A1A"/>
    <w:rsid w:val="2C0F67D2"/>
    <w:rsid w:val="2C43404B"/>
    <w:rsid w:val="2C510660"/>
    <w:rsid w:val="2C6D7D23"/>
    <w:rsid w:val="2C982E3F"/>
    <w:rsid w:val="2CB027ED"/>
    <w:rsid w:val="2CBA5953"/>
    <w:rsid w:val="2CCA3D16"/>
    <w:rsid w:val="2CCD4933"/>
    <w:rsid w:val="2CD3362A"/>
    <w:rsid w:val="2CE14AAF"/>
    <w:rsid w:val="2D2F01DE"/>
    <w:rsid w:val="2D483A23"/>
    <w:rsid w:val="2D7723B3"/>
    <w:rsid w:val="2D8C6778"/>
    <w:rsid w:val="2D8C70BB"/>
    <w:rsid w:val="2DAF14B1"/>
    <w:rsid w:val="2DD600C0"/>
    <w:rsid w:val="2DE954EF"/>
    <w:rsid w:val="2DF955CC"/>
    <w:rsid w:val="2DFE3F1D"/>
    <w:rsid w:val="2E190DDE"/>
    <w:rsid w:val="2E232E6A"/>
    <w:rsid w:val="2E2C150C"/>
    <w:rsid w:val="2E5F6C35"/>
    <w:rsid w:val="2E701E32"/>
    <w:rsid w:val="2E766B49"/>
    <w:rsid w:val="2E870919"/>
    <w:rsid w:val="2E8C091C"/>
    <w:rsid w:val="2EA21ED8"/>
    <w:rsid w:val="2EA26330"/>
    <w:rsid w:val="2F283504"/>
    <w:rsid w:val="2F356BFD"/>
    <w:rsid w:val="2F3B1E2F"/>
    <w:rsid w:val="2F611DAD"/>
    <w:rsid w:val="2F7E594D"/>
    <w:rsid w:val="2F8A5C6A"/>
    <w:rsid w:val="2F91596A"/>
    <w:rsid w:val="2FC23C0E"/>
    <w:rsid w:val="2FCD277D"/>
    <w:rsid w:val="2FD76A13"/>
    <w:rsid w:val="2FE14ECA"/>
    <w:rsid w:val="2FEC513D"/>
    <w:rsid w:val="2FFF168E"/>
    <w:rsid w:val="300318AD"/>
    <w:rsid w:val="30093CDB"/>
    <w:rsid w:val="300A783D"/>
    <w:rsid w:val="30201025"/>
    <w:rsid w:val="304359B4"/>
    <w:rsid w:val="304B5B34"/>
    <w:rsid w:val="304E08DD"/>
    <w:rsid w:val="306F31D3"/>
    <w:rsid w:val="30797540"/>
    <w:rsid w:val="307F7677"/>
    <w:rsid w:val="30883DE2"/>
    <w:rsid w:val="30BE075D"/>
    <w:rsid w:val="30D06E1A"/>
    <w:rsid w:val="31061FC9"/>
    <w:rsid w:val="311C200C"/>
    <w:rsid w:val="3156291E"/>
    <w:rsid w:val="3157541A"/>
    <w:rsid w:val="31811F16"/>
    <w:rsid w:val="31937300"/>
    <w:rsid w:val="31BA0507"/>
    <w:rsid w:val="31C6280C"/>
    <w:rsid w:val="31EB13B9"/>
    <w:rsid w:val="32024E86"/>
    <w:rsid w:val="32134E8F"/>
    <w:rsid w:val="32167961"/>
    <w:rsid w:val="324A5804"/>
    <w:rsid w:val="32563520"/>
    <w:rsid w:val="32AE428F"/>
    <w:rsid w:val="32CB6AB6"/>
    <w:rsid w:val="32D06D32"/>
    <w:rsid w:val="32DB5821"/>
    <w:rsid w:val="32DF7CB0"/>
    <w:rsid w:val="32E41326"/>
    <w:rsid w:val="32F0218F"/>
    <w:rsid w:val="3301513E"/>
    <w:rsid w:val="330B5D6C"/>
    <w:rsid w:val="33293FE2"/>
    <w:rsid w:val="33296420"/>
    <w:rsid w:val="33376AE8"/>
    <w:rsid w:val="333C496A"/>
    <w:rsid w:val="334C3BEB"/>
    <w:rsid w:val="33533554"/>
    <w:rsid w:val="33546A95"/>
    <w:rsid w:val="33922361"/>
    <w:rsid w:val="33E5680D"/>
    <w:rsid w:val="33F11202"/>
    <w:rsid w:val="34057E8A"/>
    <w:rsid w:val="340D5F26"/>
    <w:rsid w:val="34214F04"/>
    <w:rsid w:val="34554047"/>
    <w:rsid w:val="3469723F"/>
    <w:rsid w:val="34735266"/>
    <w:rsid w:val="347E456C"/>
    <w:rsid w:val="34801690"/>
    <w:rsid w:val="348242AB"/>
    <w:rsid w:val="348640C2"/>
    <w:rsid w:val="3492792A"/>
    <w:rsid w:val="349B2BDB"/>
    <w:rsid w:val="357C4F4F"/>
    <w:rsid w:val="359F7CB0"/>
    <w:rsid w:val="35CF54AE"/>
    <w:rsid w:val="35DA288A"/>
    <w:rsid w:val="35EF6DD5"/>
    <w:rsid w:val="36050535"/>
    <w:rsid w:val="3607215E"/>
    <w:rsid w:val="360A3C9A"/>
    <w:rsid w:val="360C62D3"/>
    <w:rsid w:val="36177079"/>
    <w:rsid w:val="362655DA"/>
    <w:rsid w:val="362A03A5"/>
    <w:rsid w:val="363911FE"/>
    <w:rsid w:val="36BD13B1"/>
    <w:rsid w:val="36EE0774"/>
    <w:rsid w:val="37074261"/>
    <w:rsid w:val="370E1EB2"/>
    <w:rsid w:val="374E0226"/>
    <w:rsid w:val="37805E4F"/>
    <w:rsid w:val="379612FD"/>
    <w:rsid w:val="379A1F38"/>
    <w:rsid w:val="37A34A15"/>
    <w:rsid w:val="37AF2624"/>
    <w:rsid w:val="37B02B56"/>
    <w:rsid w:val="37B407D0"/>
    <w:rsid w:val="37BB6677"/>
    <w:rsid w:val="37C8447C"/>
    <w:rsid w:val="37CB536B"/>
    <w:rsid w:val="383D6E2D"/>
    <w:rsid w:val="384202C7"/>
    <w:rsid w:val="38743CBC"/>
    <w:rsid w:val="38787C50"/>
    <w:rsid w:val="388B4D78"/>
    <w:rsid w:val="38A071A7"/>
    <w:rsid w:val="38B93496"/>
    <w:rsid w:val="38CC1F91"/>
    <w:rsid w:val="38D94BBA"/>
    <w:rsid w:val="38FF400D"/>
    <w:rsid w:val="39301121"/>
    <w:rsid w:val="393814F2"/>
    <w:rsid w:val="393A609F"/>
    <w:rsid w:val="39540ACC"/>
    <w:rsid w:val="396145A1"/>
    <w:rsid w:val="396D6C11"/>
    <w:rsid w:val="39766ED4"/>
    <w:rsid w:val="3985109F"/>
    <w:rsid w:val="399C69DD"/>
    <w:rsid w:val="39A714AC"/>
    <w:rsid w:val="39BD5BDC"/>
    <w:rsid w:val="39C04BF3"/>
    <w:rsid w:val="39E245F9"/>
    <w:rsid w:val="39ED3D66"/>
    <w:rsid w:val="3A0B6697"/>
    <w:rsid w:val="3A0D1AA6"/>
    <w:rsid w:val="3A48165D"/>
    <w:rsid w:val="3A685C9E"/>
    <w:rsid w:val="3A80493E"/>
    <w:rsid w:val="3A891042"/>
    <w:rsid w:val="3A914986"/>
    <w:rsid w:val="3A927314"/>
    <w:rsid w:val="3A991BBE"/>
    <w:rsid w:val="3AA47E7C"/>
    <w:rsid w:val="3ABA7BC0"/>
    <w:rsid w:val="3ADF2F83"/>
    <w:rsid w:val="3AF77C7B"/>
    <w:rsid w:val="3B0F5E29"/>
    <w:rsid w:val="3B1B3246"/>
    <w:rsid w:val="3B460B11"/>
    <w:rsid w:val="3B547DD5"/>
    <w:rsid w:val="3B84690C"/>
    <w:rsid w:val="3B934782"/>
    <w:rsid w:val="3B975968"/>
    <w:rsid w:val="3BB07220"/>
    <w:rsid w:val="3C0E683B"/>
    <w:rsid w:val="3C245D0D"/>
    <w:rsid w:val="3C261F87"/>
    <w:rsid w:val="3C666012"/>
    <w:rsid w:val="3C932872"/>
    <w:rsid w:val="3C9A11D3"/>
    <w:rsid w:val="3C9A7CA9"/>
    <w:rsid w:val="3CA8662A"/>
    <w:rsid w:val="3CFB6071"/>
    <w:rsid w:val="3D153C87"/>
    <w:rsid w:val="3D2A6509"/>
    <w:rsid w:val="3D2B44D7"/>
    <w:rsid w:val="3D42598A"/>
    <w:rsid w:val="3D5F6534"/>
    <w:rsid w:val="3D7061F9"/>
    <w:rsid w:val="3D71059D"/>
    <w:rsid w:val="3D733FBB"/>
    <w:rsid w:val="3D786D85"/>
    <w:rsid w:val="3DC303CB"/>
    <w:rsid w:val="3DD10013"/>
    <w:rsid w:val="3DDB349C"/>
    <w:rsid w:val="3DF01F9A"/>
    <w:rsid w:val="3E0070F8"/>
    <w:rsid w:val="3E162422"/>
    <w:rsid w:val="3E216928"/>
    <w:rsid w:val="3E75078E"/>
    <w:rsid w:val="3E842223"/>
    <w:rsid w:val="3EB76FF8"/>
    <w:rsid w:val="3ECA4610"/>
    <w:rsid w:val="3ECC2997"/>
    <w:rsid w:val="3ECE1154"/>
    <w:rsid w:val="3ECF5B38"/>
    <w:rsid w:val="3ED011FC"/>
    <w:rsid w:val="3ED12483"/>
    <w:rsid w:val="3EF47B3D"/>
    <w:rsid w:val="3F00469D"/>
    <w:rsid w:val="3F0B52C3"/>
    <w:rsid w:val="3F0C3325"/>
    <w:rsid w:val="3F125FDD"/>
    <w:rsid w:val="3F484CFB"/>
    <w:rsid w:val="3F4E170B"/>
    <w:rsid w:val="3F80388E"/>
    <w:rsid w:val="3F9F70BF"/>
    <w:rsid w:val="3FB377C0"/>
    <w:rsid w:val="3FCF422B"/>
    <w:rsid w:val="3FF025DC"/>
    <w:rsid w:val="3FFD4DD0"/>
    <w:rsid w:val="4035067A"/>
    <w:rsid w:val="403C1189"/>
    <w:rsid w:val="406843CF"/>
    <w:rsid w:val="40AD6BED"/>
    <w:rsid w:val="40B05560"/>
    <w:rsid w:val="40C559D9"/>
    <w:rsid w:val="40D4158B"/>
    <w:rsid w:val="40E23A1F"/>
    <w:rsid w:val="40FD0499"/>
    <w:rsid w:val="40FF40C3"/>
    <w:rsid w:val="41051A85"/>
    <w:rsid w:val="411C1395"/>
    <w:rsid w:val="4136615C"/>
    <w:rsid w:val="4158645A"/>
    <w:rsid w:val="41726AB7"/>
    <w:rsid w:val="41752C17"/>
    <w:rsid w:val="41793EE7"/>
    <w:rsid w:val="41894A6E"/>
    <w:rsid w:val="418E2070"/>
    <w:rsid w:val="418E369E"/>
    <w:rsid w:val="41A03D74"/>
    <w:rsid w:val="41AC22C6"/>
    <w:rsid w:val="41B75A83"/>
    <w:rsid w:val="41BD47E5"/>
    <w:rsid w:val="41BE746C"/>
    <w:rsid w:val="41DC5AA5"/>
    <w:rsid w:val="41E57E05"/>
    <w:rsid w:val="41E7641B"/>
    <w:rsid w:val="41FC475E"/>
    <w:rsid w:val="4242307D"/>
    <w:rsid w:val="425179E4"/>
    <w:rsid w:val="425C0F83"/>
    <w:rsid w:val="427256AC"/>
    <w:rsid w:val="4291439B"/>
    <w:rsid w:val="429F1017"/>
    <w:rsid w:val="42A02B34"/>
    <w:rsid w:val="42C451FC"/>
    <w:rsid w:val="42E6622B"/>
    <w:rsid w:val="42FF08DF"/>
    <w:rsid w:val="4306533C"/>
    <w:rsid w:val="43104F29"/>
    <w:rsid w:val="431B2BDA"/>
    <w:rsid w:val="431C38CE"/>
    <w:rsid w:val="431F7F46"/>
    <w:rsid w:val="43225E4D"/>
    <w:rsid w:val="433134E9"/>
    <w:rsid w:val="43446D38"/>
    <w:rsid w:val="43550752"/>
    <w:rsid w:val="43604E0F"/>
    <w:rsid w:val="43A11537"/>
    <w:rsid w:val="43AA1BDB"/>
    <w:rsid w:val="43DA5A15"/>
    <w:rsid w:val="43E43BDA"/>
    <w:rsid w:val="440F258E"/>
    <w:rsid w:val="441249A1"/>
    <w:rsid w:val="44136A7F"/>
    <w:rsid w:val="441971B3"/>
    <w:rsid w:val="4436152D"/>
    <w:rsid w:val="444D1E13"/>
    <w:rsid w:val="44797F00"/>
    <w:rsid w:val="44836C5F"/>
    <w:rsid w:val="44891F01"/>
    <w:rsid w:val="448B3A56"/>
    <w:rsid w:val="448E4357"/>
    <w:rsid w:val="44B773D9"/>
    <w:rsid w:val="44BC12AB"/>
    <w:rsid w:val="44C06D59"/>
    <w:rsid w:val="44C17BDD"/>
    <w:rsid w:val="44C72567"/>
    <w:rsid w:val="44E84A5A"/>
    <w:rsid w:val="44F22B38"/>
    <w:rsid w:val="44F71EFD"/>
    <w:rsid w:val="451F6C2A"/>
    <w:rsid w:val="45365D18"/>
    <w:rsid w:val="455A248C"/>
    <w:rsid w:val="4584167B"/>
    <w:rsid w:val="459251DA"/>
    <w:rsid w:val="45C57059"/>
    <w:rsid w:val="45CE10FD"/>
    <w:rsid w:val="46386C71"/>
    <w:rsid w:val="46677462"/>
    <w:rsid w:val="46CB7E20"/>
    <w:rsid w:val="46D0431B"/>
    <w:rsid w:val="46D656A2"/>
    <w:rsid w:val="47172AAD"/>
    <w:rsid w:val="47335556"/>
    <w:rsid w:val="47551F77"/>
    <w:rsid w:val="475A449F"/>
    <w:rsid w:val="475C0A15"/>
    <w:rsid w:val="4760647F"/>
    <w:rsid w:val="476615BC"/>
    <w:rsid w:val="476D75DB"/>
    <w:rsid w:val="47801D13"/>
    <w:rsid w:val="479B7FAC"/>
    <w:rsid w:val="47E21831"/>
    <w:rsid w:val="47ED4CF4"/>
    <w:rsid w:val="4825570E"/>
    <w:rsid w:val="4844252A"/>
    <w:rsid w:val="485823E2"/>
    <w:rsid w:val="48695961"/>
    <w:rsid w:val="48790874"/>
    <w:rsid w:val="487C5F7F"/>
    <w:rsid w:val="48B92DDD"/>
    <w:rsid w:val="48C122CF"/>
    <w:rsid w:val="48E54633"/>
    <w:rsid w:val="48F24FC1"/>
    <w:rsid w:val="491217FA"/>
    <w:rsid w:val="491E41B7"/>
    <w:rsid w:val="492F2C69"/>
    <w:rsid w:val="49307079"/>
    <w:rsid w:val="49474F4B"/>
    <w:rsid w:val="496A66C1"/>
    <w:rsid w:val="49732914"/>
    <w:rsid w:val="49D77E5D"/>
    <w:rsid w:val="4A0B07AE"/>
    <w:rsid w:val="4A1A7EB8"/>
    <w:rsid w:val="4A1E3F64"/>
    <w:rsid w:val="4A6E3EBA"/>
    <w:rsid w:val="4A78619C"/>
    <w:rsid w:val="4AC67D2C"/>
    <w:rsid w:val="4AF05822"/>
    <w:rsid w:val="4AF2514F"/>
    <w:rsid w:val="4B092567"/>
    <w:rsid w:val="4B2F5BCD"/>
    <w:rsid w:val="4B3745AC"/>
    <w:rsid w:val="4B3C7109"/>
    <w:rsid w:val="4B4C6A59"/>
    <w:rsid w:val="4B735A03"/>
    <w:rsid w:val="4B951B65"/>
    <w:rsid w:val="4BDB6229"/>
    <w:rsid w:val="4BE378CE"/>
    <w:rsid w:val="4BED22AB"/>
    <w:rsid w:val="4C031BF4"/>
    <w:rsid w:val="4C095A4C"/>
    <w:rsid w:val="4C251FC6"/>
    <w:rsid w:val="4C2C304E"/>
    <w:rsid w:val="4C2C4C14"/>
    <w:rsid w:val="4C6C192D"/>
    <w:rsid w:val="4C6D02BD"/>
    <w:rsid w:val="4C952AAB"/>
    <w:rsid w:val="4CB16E0F"/>
    <w:rsid w:val="4CC61682"/>
    <w:rsid w:val="4CCC15A8"/>
    <w:rsid w:val="4CDD7C2A"/>
    <w:rsid w:val="4CDF7FBC"/>
    <w:rsid w:val="4D084917"/>
    <w:rsid w:val="4D106DF8"/>
    <w:rsid w:val="4D35183B"/>
    <w:rsid w:val="4D694D7D"/>
    <w:rsid w:val="4D707E78"/>
    <w:rsid w:val="4D7544FB"/>
    <w:rsid w:val="4D7C5D42"/>
    <w:rsid w:val="4D92310A"/>
    <w:rsid w:val="4DDB60F2"/>
    <w:rsid w:val="4DDF5C24"/>
    <w:rsid w:val="4DE83F12"/>
    <w:rsid w:val="4E1C20EB"/>
    <w:rsid w:val="4E470676"/>
    <w:rsid w:val="4E4E3F79"/>
    <w:rsid w:val="4E600B13"/>
    <w:rsid w:val="4EC902DB"/>
    <w:rsid w:val="4ED77988"/>
    <w:rsid w:val="4EED5A53"/>
    <w:rsid w:val="4F4A531F"/>
    <w:rsid w:val="4F4C6F48"/>
    <w:rsid w:val="4F7B5DEF"/>
    <w:rsid w:val="4F8C23B2"/>
    <w:rsid w:val="4F9A397B"/>
    <w:rsid w:val="4FA80F06"/>
    <w:rsid w:val="4FB91229"/>
    <w:rsid w:val="4FC72697"/>
    <w:rsid w:val="4FE9290C"/>
    <w:rsid w:val="4FF341A1"/>
    <w:rsid w:val="50057AD7"/>
    <w:rsid w:val="501871CB"/>
    <w:rsid w:val="502C34C1"/>
    <w:rsid w:val="50441243"/>
    <w:rsid w:val="505421FF"/>
    <w:rsid w:val="505B36CB"/>
    <w:rsid w:val="505D088F"/>
    <w:rsid w:val="50662935"/>
    <w:rsid w:val="506A3F67"/>
    <w:rsid w:val="508252C7"/>
    <w:rsid w:val="509E2508"/>
    <w:rsid w:val="50A57690"/>
    <w:rsid w:val="50C25AB5"/>
    <w:rsid w:val="50ED2826"/>
    <w:rsid w:val="51055266"/>
    <w:rsid w:val="510B5F27"/>
    <w:rsid w:val="5111058F"/>
    <w:rsid w:val="5121268A"/>
    <w:rsid w:val="51216C22"/>
    <w:rsid w:val="513D191D"/>
    <w:rsid w:val="514E1EA8"/>
    <w:rsid w:val="51711289"/>
    <w:rsid w:val="518F0BF6"/>
    <w:rsid w:val="51C413B8"/>
    <w:rsid w:val="51E007F5"/>
    <w:rsid w:val="520D7B0F"/>
    <w:rsid w:val="52144637"/>
    <w:rsid w:val="521968C2"/>
    <w:rsid w:val="523C16C8"/>
    <w:rsid w:val="524B307C"/>
    <w:rsid w:val="52524C16"/>
    <w:rsid w:val="527F4767"/>
    <w:rsid w:val="52886893"/>
    <w:rsid w:val="528E1F53"/>
    <w:rsid w:val="52A20EC3"/>
    <w:rsid w:val="52BA4E84"/>
    <w:rsid w:val="52D47D23"/>
    <w:rsid w:val="52E53DEF"/>
    <w:rsid w:val="531A5742"/>
    <w:rsid w:val="5338205E"/>
    <w:rsid w:val="536D0645"/>
    <w:rsid w:val="536E670B"/>
    <w:rsid w:val="53765FE8"/>
    <w:rsid w:val="5389461D"/>
    <w:rsid w:val="539757E8"/>
    <w:rsid w:val="539C1C18"/>
    <w:rsid w:val="539D7AD8"/>
    <w:rsid w:val="53D74CC8"/>
    <w:rsid w:val="53DE3877"/>
    <w:rsid w:val="53EA2151"/>
    <w:rsid w:val="546808C3"/>
    <w:rsid w:val="54720266"/>
    <w:rsid w:val="54781E2D"/>
    <w:rsid w:val="548704CB"/>
    <w:rsid w:val="548F7C3A"/>
    <w:rsid w:val="54967355"/>
    <w:rsid w:val="54C00817"/>
    <w:rsid w:val="54C0671B"/>
    <w:rsid w:val="54DB5D2F"/>
    <w:rsid w:val="55045428"/>
    <w:rsid w:val="551458A3"/>
    <w:rsid w:val="551C48B2"/>
    <w:rsid w:val="5522237F"/>
    <w:rsid w:val="553712FC"/>
    <w:rsid w:val="5573136E"/>
    <w:rsid w:val="558C043F"/>
    <w:rsid w:val="55A102A9"/>
    <w:rsid w:val="55FB51BD"/>
    <w:rsid w:val="56142AF3"/>
    <w:rsid w:val="561C227F"/>
    <w:rsid w:val="564B0664"/>
    <w:rsid w:val="564B683B"/>
    <w:rsid w:val="567B1BC0"/>
    <w:rsid w:val="56B52D87"/>
    <w:rsid w:val="56C3413F"/>
    <w:rsid w:val="56CB6FB3"/>
    <w:rsid w:val="56E658C6"/>
    <w:rsid w:val="56F46317"/>
    <w:rsid w:val="56F522BD"/>
    <w:rsid w:val="57257220"/>
    <w:rsid w:val="57291980"/>
    <w:rsid w:val="57561417"/>
    <w:rsid w:val="575A679F"/>
    <w:rsid w:val="57675237"/>
    <w:rsid w:val="57683788"/>
    <w:rsid w:val="579149B0"/>
    <w:rsid w:val="57957C70"/>
    <w:rsid w:val="57BF4130"/>
    <w:rsid w:val="57D7754D"/>
    <w:rsid w:val="57F8000E"/>
    <w:rsid w:val="584065E7"/>
    <w:rsid w:val="584E62A5"/>
    <w:rsid w:val="58523BC2"/>
    <w:rsid w:val="58525E77"/>
    <w:rsid w:val="586C0F0B"/>
    <w:rsid w:val="588A0578"/>
    <w:rsid w:val="588E44CE"/>
    <w:rsid w:val="58AC48C7"/>
    <w:rsid w:val="58B07B38"/>
    <w:rsid w:val="58B117E7"/>
    <w:rsid w:val="58D26971"/>
    <w:rsid w:val="58DB03AF"/>
    <w:rsid w:val="590B2212"/>
    <w:rsid w:val="59125D70"/>
    <w:rsid w:val="592A2E13"/>
    <w:rsid w:val="59460EEA"/>
    <w:rsid w:val="594764AB"/>
    <w:rsid w:val="594A131E"/>
    <w:rsid w:val="5966375D"/>
    <w:rsid w:val="596F6012"/>
    <w:rsid w:val="599C0670"/>
    <w:rsid w:val="59BF753B"/>
    <w:rsid w:val="59F9021C"/>
    <w:rsid w:val="5A117E3B"/>
    <w:rsid w:val="5A6D799D"/>
    <w:rsid w:val="5A724B9E"/>
    <w:rsid w:val="5A7E538B"/>
    <w:rsid w:val="5A897643"/>
    <w:rsid w:val="5A9729F9"/>
    <w:rsid w:val="5ABB65A0"/>
    <w:rsid w:val="5ACD52A4"/>
    <w:rsid w:val="5AD0669D"/>
    <w:rsid w:val="5AFC12F2"/>
    <w:rsid w:val="5B0550CC"/>
    <w:rsid w:val="5B144377"/>
    <w:rsid w:val="5B27003B"/>
    <w:rsid w:val="5B2D7FCE"/>
    <w:rsid w:val="5B5F15FE"/>
    <w:rsid w:val="5B660776"/>
    <w:rsid w:val="5B792E20"/>
    <w:rsid w:val="5B953DC6"/>
    <w:rsid w:val="5B9E712B"/>
    <w:rsid w:val="5BAC62CA"/>
    <w:rsid w:val="5BC26DBB"/>
    <w:rsid w:val="5BF42005"/>
    <w:rsid w:val="5BFB4584"/>
    <w:rsid w:val="5C0872F1"/>
    <w:rsid w:val="5C237623"/>
    <w:rsid w:val="5C245875"/>
    <w:rsid w:val="5C2D0DE6"/>
    <w:rsid w:val="5C2F3831"/>
    <w:rsid w:val="5C4557EC"/>
    <w:rsid w:val="5C565222"/>
    <w:rsid w:val="5C725B62"/>
    <w:rsid w:val="5C824245"/>
    <w:rsid w:val="5C9940DE"/>
    <w:rsid w:val="5CBB3729"/>
    <w:rsid w:val="5CCC2EB9"/>
    <w:rsid w:val="5CCE423B"/>
    <w:rsid w:val="5CE86703"/>
    <w:rsid w:val="5CE96177"/>
    <w:rsid w:val="5CF03C80"/>
    <w:rsid w:val="5CFB5EAA"/>
    <w:rsid w:val="5D065A5F"/>
    <w:rsid w:val="5D2673CB"/>
    <w:rsid w:val="5D692007"/>
    <w:rsid w:val="5D993E8A"/>
    <w:rsid w:val="5DA31208"/>
    <w:rsid w:val="5DA66549"/>
    <w:rsid w:val="5DC34C1A"/>
    <w:rsid w:val="5DE500FF"/>
    <w:rsid w:val="5E016734"/>
    <w:rsid w:val="5E1969C4"/>
    <w:rsid w:val="5E412E49"/>
    <w:rsid w:val="5E4678A0"/>
    <w:rsid w:val="5E473D32"/>
    <w:rsid w:val="5E67132D"/>
    <w:rsid w:val="5E777BF1"/>
    <w:rsid w:val="5E966276"/>
    <w:rsid w:val="5EB56644"/>
    <w:rsid w:val="5EBD23F1"/>
    <w:rsid w:val="5EC1231E"/>
    <w:rsid w:val="5EC92AD6"/>
    <w:rsid w:val="5ED03B01"/>
    <w:rsid w:val="5EE20ABD"/>
    <w:rsid w:val="5EF875D5"/>
    <w:rsid w:val="5F08322C"/>
    <w:rsid w:val="5F0D0D5B"/>
    <w:rsid w:val="5F236AB0"/>
    <w:rsid w:val="5F35040F"/>
    <w:rsid w:val="5F381DFE"/>
    <w:rsid w:val="5F5307C3"/>
    <w:rsid w:val="5F5E6109"/>
    <w:rsid w:val="5F665D6E"/>
    <w:rsid w:val="5F6E4126"/>
    <w:rsid w:val="5F7F7267"/>
    <w:rsid w:val="5F877EF4"/>
    <w:rsid w:val="5FB73CAF"/>
    <w:rsid w:val="5FCE2F03"/>
    <w:rsid w:val="5FE37A73"/>
    <w:rsid w:val="5FF17292"/>
    <w:rsid w:val="5FFF2035"/>
    <w:rsid w:val="603037A6"/>
    <w:rsid w:val="60310124"/>
    <w:rsid w:val="60335F84"/>
    <w:rsid w:val="605174B3"/>
    <w:rsid w:val="60602BF4"/>
    <w:rsid w:val="606A2FB8"/>
    <w:rsid w:val="606C1EBE"/>
    <w:rsid w:val="607C0D31"/>
    <w:rsid w:val="60926739"/>
    <w:rsid w:val="60980FD2"/>
    <w:rsid w:val="609D34D8"/>
    <w:rsid w:val="609F5EB5"/>
    <w:rsid w:val="60AD2E7D"/>
    <w:rsid w:val="613C15A7"/>
    <w:rsid w:val="615D2805"/>
    <w:rsid w:val="616C61C8"/>
    <w:rsid w:val="61A2304A"/>
    <w:rsid w:val="61A44245"/>
    <w:rsid w:val="61B52BB6"/>
    <w:rsid w:val="61F533BF"/>
    <w:rsid w:val="61FF3047"/>
    <w:rsid w:val="62064FA4"/>
    <w:rsid w:val="620E1E96"/>
    <w:rsid w:val="62116A2E"/>
    <w:rsid w:val="62315B16"/>
    <w:rsid w:val="625B180A"/>
    <w:rsid w:val="625B2D40"/>
    <w:rsid w:val="6265177A"/>
    <w:rsid w:val="626C2C32"/>
    <w:rsid w:val="626C4DED"/>
    <w:rsid w:val="62B95645"/>
    <w:rsid w:val="63006119"/>
    <w:rsid w:val="63301D32"/>
    <w:rsid w:val="63343F70"/>
    <w:rsid w:val="633F44DC"/>
    <w:rsid w:val="635457C4"/>
    <w:rsid w:val="636416CF"/>
    <w:rsid w:val="63712A19"/>
    <w:rsid w:val="637958EB"/>
    <w:rsid w:val="63863380"/>
    <w:rsid w:val="63901A42"/>
    <w:rsid w:val="63F22F3A"/>
    <w:rsid w:val="63F7561D"/>
    <w:rsid w:val="63F82C9D"/>
    <w:rsid w:val="64230382"/>
    <w:rsid w:val="64271B6E"/>
    <w:rsid w:val="642858A3"/>
    <w:rsid w:val="64316A6D"/>
    <w:rsid w:val="646A5DEF"/>
    <w:rsid w:val="647E64B5"/>
    <w:rsid w:val="64817935"/>
    <w:rsid w:val="649E4FB6"/>
    <w:rsid w:val="64A010A4"/>
    <w:rsid w:val="64AC465A"/>
    <w:rsid w:val="64C41333"/>
    <w:rsid w:val="64D13A61"/>
    <w:rsid w:val="64E41945"/>
    <w:rsid w:val="650A3BF1"/>
    <w:rsid w:val="650C6EA7"/>
    <w:rsid w:val="651D3FC4"/>
    <w:rsid w:val="652136BF"/>
    <w:rsid w:val="65256B3E"/>
    <w:rsid w:val="652D3B62"/>
    <w:rsid w:val="6535289F"/>
    <w:rsid w:val="65435A66"/>
    <w:rsid w:val="656D09C3"/>
    <w:rsid w:val="65765F2C"/>
    <w:rsid w:val="65947A58"/>
    <w:rsid w:val="65DC6DED"/>
    <w:rsid w:val="65EC58B4"/>
    <w:rsid w:val="661B6392"/>
    <w:rsid w:val="66221928"/>
    <w:rsid w:val="663C5F3C"/>
    <w:rsid w:val="66574B4F"/>
    <w:rsid w:val="666B11CB"/>
    <w:rsid w:val="66A805B9"/>
    <w:rsid w:val="66EA4FC5"/>
    <w:rsid w:val="66EE796F"/>
    <w:rsid w:val="66FF0E1D"/>
    <w:rsid w:val="67153E31"/>
    <w:rsid w:val="672D5161"/>
    <w:rsid w:val="676834B7"/>
    <w:rsid w:val="677B6565"/>
    <w:rsid w:val="6786221E"/>
    <w:rsid w:val="67921DF3"/>
    <w:rsid w:val="67950631"/>
    <w:rsid w:val="67AB0304"/>
    <w:rsid w:val="67BD6B66"/>
    <w:rsid w:val="67DB2DD5"/>
    <w:rsid w:val="67EF37F2"/>
    <w:rsid w:val="68101D28"/>
    <w:rsid w:val="681713E7"/>
    <w:rsid w:val="68181B29"/>
    <w:rsid w:val="6825320F"/>
    <w:rsid w:val="68277D6E"/>
    <w:rsid w:val="68651FCF"/>
    <w:rsid w:val="68715B3A"/>
    <w:rsid w:val="687E1949"/>
    <w:rsid w:val="68896A60"/>
    <w:rsid w:val="68A45648"/>
    <w:rsid w:val="68BC6E36"/>
    <w:rsid w:val="68D56ED4"/>
    <w:rsid w:val="68F378C5"/>
    <w:rsid w:val="68F81516"/>
    <w:rsid w:val="68FE3C94"/>
    <w:rsid w:val="69366867"/>
    <w:rsid w:val="693C3E9E"/>
    <w:rsid w:val="695E569F"/>
    <w:rsid w:val="69AE5F1E"/>
    <w:rsid w:val="69B52B9A"/>
    <w:rsid w:val="69CD7925"/>
    <w:rsid w:val="69E93C5A"/>
    <w:rsid w:val="69F5427C"/>
    <w:rsid w:val="6A213EA7"/>
    <w:rsid w:val="6A374CAC"/>
    <w:rsid w:val="6A554E4C"/>
    <w:rsid w:val="6A58541B"/>
    <w:rsid w:val="6A677F97"/>
    <w:rsid w:val="6A773014"/>
    <w:rsid w:val="6AA51743"/>
    <w:rsid w:val="6AC76600"/>
    <w:rsid w:val="6AEA6850"/>
    <w:rsid w:val="6AFE3735"/>
    <w:rsid w:val="6B17479E"/>
    <w:rsid w:val="6B3E2F06"/>
    <w:rsid w:val="6B5540AB"/>
    <w:rsid w:val="6B77770A"/>
    <w:rsid w:val="6B8F1A5B"/>
    <w:rsid w:val="6BAA7419"/>
    <w:rsid w:val="6BB4014D"/>
    <w:rsid w:val="6BE747E0"/>
    <w:rsid w:val="6BED5DC7"/>
    <w:rsid w:val="6BEE5826"/>
    <w:rsid w:val="6BFB7A66"/>
    <w:rsid w:val="6C073376"/>
    <w:rsid w:val="6C081857"/>
    <w:rsid w:val="6C141456"/>
    <w:rsid w:val="6C273502"/>
    <w:rsid w:val="6C2E5938"/>
    <w:rsid w:val="6C2F2EC6"/>
    <w:rsid w:val="6C3E4DB5"/>
    <w:rsid w:val="6C56138A"/>
    <w:rsid w:val="6C751E87"/>
    <w:rsid w:val="6C804154"/>
    <w:rsid w:val="6C8441D9"/>
    <w:rsid w:val="6C891FF5"/>
    <w:rsid w:val="6C9C4FB4"/>
    <w:rsid w:val="6CC724D0"/>
    <w:rsid w:val="6CDC4D63"/>
    <w:rsid w:val="6D1E6023"/>
    <w:rsid w:val="6D3951C4"/>
    <w:rsid w:val="6D4F0278"/>
    <w:rsid w:val="6D582EFD"/>
    <w:rsid w:val="6DAD3C53"/>
    <w:rsid w:val="6DB56710"/>
    <w:rsid w:val="6DC01176"/>
    <w:rsid w:val="6DC742B3"/>
    <w:rsid w:val="6DDD29FE"/>
    <w:rsid w:val="6DED64E4"/>
    <w:rsid w:val="6DFA14FF"/>
    <w:rsid w:val="6E0303C7"/>
    <w:rsid w:val="6E0E166B"/>
    <w:rsid w:val="6E2172BE"/>
    <w:rsid w:val="6E2214E9"/>
    <w:rsid w:val="6E2C0078"/>
    <w:rsid w:val="6E6A7770"/>
    <w:rsid w:val="6E797BAC"/>
    <w:rsid w:val="6EA77C40"/>
    <w:rsid w:val="6EB54AF5"/>
    <w:rsid w:val="6EC27039"/>
    <w:rsid w:val="6EC66180"/>
    <w:rsid w:val="6F0F4773"/>
    <w:rsid w:val="6F1350D8"/>
    <w:rsid w:val="6F1D62FE"/>
    <w:rsid w:val="6F272740"/>
    <w:rsid w:val="6F6C253E"/>
    <w:rsid w:val="6F7061D3"/>
    <w:rsid w:val="6F9C5852"/>
    <w:rsid w:val="6FD843B2"/>
    <w:rsid w:val="6FEB2064"/>
    <w:rsid w:val="70066957"/>
    <w:rsid w:val="7056191E"/>
    <w:rsid w:val="70591B1B"/>
    <w:rsid w:val="70850443"/>
    <w:rsid w:val="70884B13"/>
    <w:rsid w:val="709206EF"/>
    <w:rsid w:val="709E6598"/>
    <w:rsid w:val="70BD022B"/>
    <w:rsid w:val="70D45FB5"/>
    <w:rsid w:val="70EA3CBE"/>
    <w:rsid w:val="70F547BB"/>
    <w:rsid w:val="70FE202A"/>
    <w:rsid w:val="710028BF"/>
    <w:rsid w:val="710475CC"/>
    <w:rsid w:val="71132754"/>
    <w:rsid w:val="71164F84"/>
    <w:rsid w:val="71267B14"/>
    <w:rsid w:val="7148642D"/>
    <w:rsid w:val="714D5892"/>
    <w:rsid w:val="719044F4"/>
    <w:rsid w:val="71955F62"/>
    <w:rsid w:val="719A52DC"/>
    <w:rsid w:val="71A94A05"/>
    <w:rsid w:val="71C70523"/>
    <w:rsid w:val="71F41921"/>
    <w:rsid w:val="720D5704"/>
    <w:rsid w:val="721779F2"/>
    <w:rsid w:val="721C199D"/>
    <w:rsid w:val="721E46BD"/>
    <w:rsid w:val="721F275F"/>
    <w:rsid w:val="724B4646"/>
    <w:rsid w:val="725E2767"/>
    <w:rsid w:val="7275419A"/>
    <w:rsid w:val="7276283C"/>
    <w:rsid w:val="728E0027"/>
    <w:rsid w:val="729E757B"/>
    <w:rsid w:val="72A44BC2"/>
    <w:rsid w:val="72C20F56"/>
    <w:rsid w:val="72E33682"/>
    <w:rsid w:val="730336C0"/>
    <w:rsid w:val="7318110C"/>
    <w:rsid w:val="731B590B"/>
    <w:rsid w:val="73291692"/>
    <w:rsid w:val="734F218D"/>
    <w:rsid w:val="7352575D"/>
    <w:rsid w:val="7356294D"/>
    <w:rsid w:val="73670518"/>
    <w:rsid w:val="73674808"/>
    <w:rsid w:val="736811CF"/>
    <w:rsid w:val="73726A6F"/>
    <w:rsid w:val="738327DC"/>
    <w:rsid w:val="738F6D62"/>
    <w:rsid w:val="739C7F8F"/>
    <w:rsid w:val="73AC47B2"/>
    <w:rsid w:val="73B370C5"/>
    <w:rsid w:val="73C27076"/>
    <w:rsid w:val="73DE69CF"/>
    <w:rsid w:val="74277859"/>
    <w:rsid w:val="744F6BF8"/>
    <w:rsid w:val="745B192D"/>
    <w:rsid w:val="74BC58DC"/>
    <w:rsid w:val="74D7689D"/>
    <w:rsid w:val="74E46EDF"/>
    <w:rsid w:val="75004B57"/>
    <w:rsid w:val="7518395C"/>
    <w:rsid w:val="751D0B1E"/>
    <w:rsid w:val="753660E9"/>
    <w:rsid w:val="75395B19"/>
    <w:rsid w:val="756623B2"/>
    <w:rsid w:val="757A22C7"/>
    <w:rsid w:val="758A6A0D"/>
    <w:rsid w:val="75B710B1"/>
    <w:rsid w:val="75E61C88"/>
    <w:rsid w:val="75FD6934"/>
    <w:rsid w:val="76032EE2"/>
    <w:rsid w:val="760E3576"/>
    <w:rsid w:val="763E70DC"/>
    <w:rsid w:val="766A5A76"/>
    <w:rsid w:val="766E6591"/>
    <w:rsid w:val="768132DF"/>
    <w:rsid w:val="7685658D"/>
    <w:rsid w:val="76A83044"/>
    <w:rsid w:val="76BA5CDC"/>
    <w:rsid w:val="76BB741F"/>
    <w:rsid w:val="77190898"/>
    <w:rsid w:val="7729746F"/>
    <w:rsid w:val="772B11DB"/>
    <w:rsid w:val="77397F32"/>
    <w:rsid w:val="776E7550"/>
    <w:rsid w:val="777F6D49"/>
    <w:rsid w:val="779F53D0"/>
    <w:rsid w:val="77A8436C"/>
    <w:rsid w:val="77B741D6"/>
    <w:rsid w:val="77C149AC"/>
    <w:rsid w:val="781B242F"/>
    <w:rsid w:val="7831514A"/>
    <w:rsid w:val="784C6FB2"/>
    <w:rsid w:val="785E1355"/>
    <w:rsid w:val="78730C2B"/>
    <w:rsid w:val="787828C0"/>
    <w:rsid w:val="78825CEC"/>
    <w:rsid w:val="789802DB"/>
    <w:rsid w:val="789D5709"/>
    <w:rsid w:val="78B7340B"/>
    <w:rsid w:val="790838D9"/>
    <w:rsid w:val="791314CD"/>
    <w:rsid w:val="7917085C"/>
    <w:rsid w:val="791B7914"/>
    <w:rsid w:val="792735A3"/>
    <w:rsid w:val="79556C16"/>
    <w:rsid w:val="795D2E4C"/>
    <w:rsid w:val="796450AB"/>
    <w:rsid w:val="797E7F78"/>
    <w:rsid w:val="79987709"/>
    <w:rsid w:val="799B7D72"/>
    <w:rsid w:val="799D6904"/>
    <w:rsid w:val="79C03DC2"/>
    <w:rsid w:val="79CF46E8"/>
    <w:rsid w:val="79D166F6"/>
    <w:rsid w:val="79DB1314"/>
    <w:rsid w:val="79E6219B"/>
    <w:rsid w:val="79E74323"/>
    <w:rsid w:val="7A2025CB"/>
    <w:rsid w:val="7A384781"/>
    <w:rsid w:val="7A397EF8"/>
    <w:rsid w:val="7A4D3D91"/>
    <w:rsid w:val="7A6D2EA5"/>
    <w:rsid w:val="7A6F0CCB"/>
    <w:rsid w:val="7A770E0E"/>
    <w:rsid w:val="7AAF01E6"/>
    <w:rsid w:val="7AD84042"/>
    <w:rsid w:val="7ADB314B"/>
    <w:rsid w:val="7B2965AD"/>
    <w:rsid w:val="7B432FC7"/>
    <w:rsid w:val="7B4728CA"/>
    <w:rsid w:val="7B5C02F0"/>
    <w:rsid w:val="7B656EB9"/>
    <w:rsid w:val="7BC24403"/>
    <w:rsid w:val="7BDF60F8"/>
    <w:rsid w:val="7C0141DB"/>
    <w:rsid w:val="7C0A281F"/>
    <w:rsid w:val="7C225794"/>
    <w:rsid w:val="7C235FB1"/>
    <w:rsid w:val="7C2446E9"/>
    <w:rsid w:val="7C28332E"/>
    <w:rsid w:val="7C2F375C"/>
    <w:rsid w:val="7C3201A0"/>
    <w:rsid w:val="7C322138"/>
    <w:rsid w:val="7C3946F3"/>
    <w:rsid w:val="7C405432"/>
    <w:rsid w:val="7C810B67"/>
    <w:rsid w:val="7C8C0BC5"/>
    <w:rsid w:val="7C907955"/>
    <w:rsid w:val="7CAD58D7"/>
    <w:rsid w:val="7CCB25A5"/>
    <w:rsid w:val="7CD15FE2"/>
    <w:rsid w:val="7CE22E27"/>
    <w:rsid w:val="7CEF0A9C"/>
    <w:rsid w:val="7D17583D"/>
    <w:rsid w:val="7D32027A"/>
    <w:rsid w:val="7D4635A7"/>
    <w:rsid w:val="7D5A04D4"/>
    <w:rsid w:val="7D6529EC"/>
    <w:rsid w:val="7D671A08"/>
    <w:rsid w:val="7D932FF8"/>
    <w:rsid w:val="7DB87779"/>
    <w:rsid w:val="7E0C7D4E"/>
    <w:rsid w:val="7E2D30E2"/>
    <w:rsid w:val="7E337C9B"/>
    <w:rsid w:val="7E464C29"/>
    <w:rsid w:val="7E4E00D8"/>
    <w:rsid w:val="7E4F3A1F"/>
    <w:rsid w:val="7E592CFB"/>
    <w:rsid w:val="7E606620"/>
    <w:rsid w:val="7E7A30E4"/>
    <w:rsid w:val="7EAD1F66"/>
    <w:rsid w:val="7EBE6313"/>
    <w:rsid w:val="7EE74CC4"/>
    <w:rsid w:val="7EEF4605"/>
    <w:rsid w:val="7F21471D"/>
    <w:rsid w:val="7F2E4837"/>
    <w:rsid w:val="7F65089D"/>
    <w:rsid w:val="7F777DF7"/>
    <w:rsid w:val="7F876ACF"/>
    <w:rsid w:val="7FD60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line="360" w:lineRule="auto"/>
      <w:ind w:left="576" w:hanging="576"/>
      <w:outlineLvl w:val="1"/>
    </w:pPr>
    <w:rPr>
      <w:rFonts w:ascii="仿宋_GB2312" w:hAnsi="Arial"/>
      <w:sz w:val="30"/>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7">
    <w:name w:val="heading 4"/>
    <w:basedOn w:val="1"/>
    <w:next w:val="1"/>
    <w:link w:val="61"/>
    <w:qFormat/>
    <w:uiPriority w:val="9"/>
    <w:pPr>
      <w:keepNext/>
      <w:keepLines/>
      <w:numPr>
        <w:ilvl w:val="3"/>
        <w:numId w:val="1"/>
      </w:numPr>
      <w:spacing w:before="120" w:beforeLines="50" w:line="360" w:lineRule="auto"/>
      <w:outlineLvl w:val="3"/>
    </w:pPr>
    <w:rPr>
      <w:b/>
      <w:color w:val="000000"/>
      <w:kern w:val="0"/>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uiPriority w:val="0"/>
    <w:pPr>
      <w:ind w:firstLine="420"/>
    </w:pPr>
    <w:rPr>
      <w:rFonts w:ascii="Calibri" w:hAnsi="Calibri"/>
      <w:szCs w:val="22"/>
    </w:rPr>
  </w:style>
  <w:style w:type="paragraph" w:styleId="6">
    <w:name w:val="Plain Text"/>
    <w:basedOn w:val="1"/>
    <w:qFormat/>
    <w:uiPriority w:val="0"/>
    <w:rPr>
      <w:rFonts w:ascii="宋体" w:hAnsi="Courier New" w:eastAsia="仿宋_GB2312"/>
      <w:sz w:val="28"/>
    </w:rPr>
  </w:style>
  <w:style w:type="paragraph" w:styleId="8">
    <w:name w:val="caption"/>
    <w:basedOn w:val="1"/>
    <w:next w:val="1"/>
    <w:qFormat/>
    <w:uiPriority w:val="35"/>
    <w:rPr>
      <w:rFonts w:ascii="Arial" w:hAnsi="Arial" w:eastAsia="黑体"/>
      <w:sz w:val="20"/>
    </w:rPr>
  </w:style>
  <w:style w:type="paragraph" w:styleId="9">
    <w:name w:val="annotation text"/>
    <w:basedOn w:val="1"/>
    <w:link w:val="73"/>
    <w:semiHidden/>
    <w:qFormat/>
    <w:uiPriority w:val="99"/>
    <w:pPr>
      <w:jc w:val="left"/>
    </w:pPr>
    <w:rPr>
      <w:kern w:val="0"/>
      <w:sz w:val="24"/>
      <w:szCs w:val="20"/>
    </w:rPr>
  </w:style>
  <w:style w:type="paragraph" w:styleId="10">
    <w:name w:val="Body Text"/>
    <w:basedOn w:val="1"/>
    <w:next w:val="11"/>
    <w:qFormat/>
    <w:uiPriority w:val="1"/>
    <w:pPr>
      <w:widowControl/>
      <w:snapToGrid w:val="0"/>
      <w:spacing w:before="60" w:after="160" w:line="259" w:lineRule="auto"/>
      <w:ind w:right="113"/>
    </w:pPr>
    <w:rPr>
      <w:kern w:val="0"/>
      <w:sz w:val="18"/>
      <w:szCs w:val="20"/>
    </w:r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样式5"/>
    <w:basedOn w:val="13"/>
    <w:next w:val="15"/>
    <w:qFormat/>
    <w:uiPriority w:val="0"/>
    <w:pPr>
      <w:widowControl w:val="0"/>
      <w:adjustRightInd w:val="0"/>
      <w:snapToGrid w:val="0"/>
      <w:spacing w:beforeLines="20" w:afterLines="20" w:line="480" w:lineRule="exact"/>
      <w:ind w:firstLine="523" w:firstLineChars="218"/>
      <w:jc w:val="both"/>
    </w:pPr>
    <w:rPr>
      <w:rFonts w:ascii="Times New Roman" w:hAnsi="Times New Roman" w:eastAsia="宋体" w:cs="Times New Roman"/>
      <w:i/>
      <w:iCs/>
      <w:kern w:val="2"/>
      <w:sz w:val="24"/>
      <w:szCs w:val="24"/>
      <w:lang w:val="en-US" w:eastAsia="zh-CN" w:bidi="ar-SA"/>
    </w:rPr>
  </w:style>
  <w:style w:type="paragraph" w:customStyle="1" w:styleId="13">
    <w:name w:val="正文1"/>
    <w:basedOn w:val="14"/>
    <w:next w:val="1"/>
    <w:qFormat/>
    <w:uiPriority w:val="0"/>
    <w:pPr>
      <w:adjustRightInd w:val="0"/>
      <w:snapToGrid w:val="0"/>
      <w:spacing w:line="480" w:lineRule="exact"/>
      <w:ind w:firstLine="200" w:firstLineChars="200"/>
    </w:pPr>
    <w:rPr>
      <w:sz w:val="24"/>
    </w:rPr>
  </w:style>
  <w:style w:type="paragraph" w:styleId="14">
    <w:name w:val="Body Text 2"/>
    <w:basedOn w:val="1"/>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15">
    <w:name w:val="endnote text"/>
    <w:basedOn w:val="1"/>
    <w:unhideWhenUsed/>
    <w:qFormat/>
    <w:uiPriority w:val="0"/>
    <w:pPr>
      <w:snapToGrid w:val="0"/>
      <w:jc w:val="left"/>
    </w:pPr>
    <w:rPr>
      <w:rFonts w:ascii="Calibri" w:hAnsi="Calibri"/>
      <w:sz w:val="24"/>
      <w:szCs w:val="22"/>
    </w:rPr>
  </w:style>
  <w:style w:type="paragraph" w:styleId="16">
    <w:name w:val="Body Text Indent"/>
    <w:basedOn w:val="1"/>
    <w:next w:val="17"/>
    <w:qFormat/>
    <w:uiPriority w:val="0"/>
    <w:pPr>
      <w:spacing w:after="120"/>
      <w:ind w:left="420" w:leftChars="200"/>
    </w:pPr>
    <w:rPr>
      <w:kern w:val="0"/>
      <w:sz w:val="24"/>
      <w:szCs w:val="20"/>
    </w:rPr>
  </w:style>
  <w:style w:type="paragraph" w:styleId="17">
    <w:name w:val="envelope return"/>
    <w:basedOn w:val="1"/>
    <w:qFormat/>
    <w:uiPriority w:val="0"/>
    <w:pPr>
      <w:snapToGrid w:val="0"/>
    </w:pPr>
    <w:rPr>
      <w:rFonts w:ascii="Arial" w:hAnsi="Arial"/>
    </w:rPr>
  </w:style>
  <w:style w:type="paragraph" w:styleId="18">
    <w:name w:val="Block Text"/>
    <w:basedOn w:val="1"/>
    <w:next w:val="1"/>
    <w:qFormat/>
    <w:uiPriority w:val="0"/>
    <w:pPr>
      <w:ind w:left="137" w:right="116" w:firstLine="317"/>
    </w:pPr>
    <w:rPr>
      <w:rFonts w:ascii="Calibri" w:hAnsi="Calibri"/>
      <w:sz w:val="28"/>
    </w:rPr>
  </w:style>
  <w:style w:type="paragraph" w:styleId="19">
    <w:name w:val="List Bullet 5"/>
    <w:basedOn w:val="1"/>
    <w:qFormat/>
    <w:uiPriority w:val="0"/>
    <w:pPr>
      <w:numPr>
        <w:ilvl w:val="0"/>
        <w:numId w:val="2"/>
      </w:numPr>
    </w:pPr>
  </w:style>
  <w:style w:type="paragraph" w:styleId="20">
    <w:name w:val="Body Text Indent 2"/>
    <w:basedOn w:val="1"/>
    <w:next w:val="21"/>
    <w:qFormat/>
    <w:uiPriority w:val="0"/>
    <w:pPr>
      <w:ind w:firstLine="560" w:firstLineChars="200"/>
    </w:pPr>
    <w:rPr>
      <w:rFonts w:eastAsia="Times New Roman"/>
      <w:sz w:val="20"/>
      <w:szCs w:val="20"/>
    </w:rPr>
  </w:style>
  <w:style w:type="paragraph" w:customStyle="1" w:styleId="21">
    <w:name w:val="reader-word-layer reader-word-s46-2"/>
    <w:basedOn w:val="1"/>
    <w:next w:val="22"/>
    <w:qFormat/>
    <w:uiPriority w:val="0"/>
    <w:pPr>
      <w:widowControl/>
      <w:spacing w:before="280" w:after="280" w:line="240" w:lineRule="auto"/>
    </w:pPr>
    <w:rPr>
      <w:rFonts w:ascii="宋体"/>
    </w:rPr>
  </w:style>
  <w:style w:type="paragraph" w:customStyle="1" w:styleId="22">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23">
    <w:name w:val="footer"/>
    <w:basedOn w:val="1"/>
    <w:qFormat/>
    <w:uiPriority w:val="99"/>
    <w:pPr>
      <w:tabs>
        <w:tab w:val="center" w:pos="4153"/>
        <w:tab w:val="right" w:pos="8306"/>
      </w:tabs>
      <w:snapToGrid w:val="0"/>
      <w:jc w:val="left"/>
    </w:pPr>
    <w:rPr>
      <w:kern w:val="0"/>
      <w:sz w:val="18"/>
      <w:szCs w:val="20"/>
    </w:rPr>
  </w:style>
  <w:style w:type="paragraph" w:styleId="24">
    <w:name w:val="index heading"/>
    <w:basedOn w:val="1"/>
    <w:next w:val="25"/>
    <w:qFormat/>
    <w:uiPriority w:val="0"/>
    <w:rPr>
      <w:szCs w:val="20"/>
    </w:rPr>
  </w:style>
  <w:style w:type="paragraph" w:styleId="25">
    <w:name w:val="index 1"/>
    <w:basedOn w:val="1"/>
    <w:next w:val="1"/>
    <w:qFormat/>
    <w:uiPriority w:val="0"/>
  </w:style>
  <w:style w:type="paragraph" w:styleId="26">
    <w:name w:val="Subtitle"/>
    <w:basedOn w:val="1"/>
    <w:next w:val="1"/>
    <w:qFormat/>
    <w:uiPriority w:val="11"/>
    <w:pPr>
      <w:ind w:firstLine="0" w:firstLineChars="0"/>
      <w:jc w:val="center"/>
    </w:pPr>
    <w:rPr>
      <w:b/>
    </w:rPr>
  </w:style>
  <w:style w:type="paragraph" w:styleId="27">
    <w:name w:val="toc 2"/>
    <w:basedOn w:val="1"/>
    <w:next w:val="1"/>
    <w:qFormat/>
    <w:uiPriority w:val="1"/>
    <w:pPr>
      <w:ind w:left="420" w:leftChars="200"/>
    </w:pPr>
  </w:style>
  <w:style w:type="paragraph" w:styleId="28">
    <w:name w:val="Normal (Web)"/>
    <w:basedOn w:val="1"/>
    <w:next w:val="1"/>
    <w:qFormat/>
    <w:uiPriority w:val="0"/>
    <w:pPr>
      <w:widowControl/>
      <w:spacing w:before="100" w:beforeAutospacing="1" w:after="100" w:afterAutospacing="1"/>
      <w:jc w:val="left"/>
    </w:pPr>
    <w:rPr>
      <w:rFonts w:ascii="宋体" w:hAnsi="宋体"/>
      <w:kern w:val="0"/>
      <w:sz w:val="24"/>
      <w:szCs w:val="20"/>
    </w:rPr>
  </w:style>
  <w:style w:type="paragraph" w:styleId="29">
    <w:name w:val="Title"/>
    <w:basedOn w:val="1"/>
    <w:next w:val="1"/>
    <w:qFormat/>
    <w:uiPriority w:val="10"/>
    <w:pPr>
      <w:spacing w:line="360" w:lineRule="exact"/>
      <w:ind w:firstLine="0" w:firstLineChars="0"/>
      <w:jc w:val="center"/>
    </w:pPr>
    <w:rPr>
      <w:bCs/>
      <w:kern w:val="0"/>
      <w:sz w:val="20"/>
      <w:szCs w:val="32"/>
    </w:rPr>
  </w:style>
  <w:style w:type="paragraph" w:styleId="30">
    <w:name w:val="annotation subject"/>
    <w:basedOn w:val="9"/>
    <w:next w:val="9"/>
    <w:link w:val="74"/>
    <w:qFormat/>
    <w:uiPriority w:val="0"/>
    <w:rPr>
      <w:b/>
      <w:bCs/>
      <w:kern w:val="2"/>
      <w:sz w:val="21"/>
      <w:szCs w:val="24"/>
    </w:rPr>
  </w:style>
  <w:style w:type="paragraph" w:styleId="31">
    <w:name w:val="Body Text First Indent"/>
    <w:basedOn w:val="10"/>
    <w:next w:val="1"/>
    <w:qFormat/>
    <w:uiPriority w:val="0"/>
    <w:pPr>
      <w:ind w:firstLine="420" w:firstLineChars="100"/>
    </w:pPr>
    <w:rPr>
      <w:szCs w:val="24"/>
    </w:rPr>
  </w:style>
  <w:style w:type="paragraph" w:styleId="32">
    <w:name w:val="Body Text First Indent 2"/>
    <w:basedOn w:val="16"/>
    <w:next w:val="1"/>
    <w:qFormat/>
    <w:uiPriority w:val="0"/>
    <w:pPr>
      <w:ind w:firstLine="420" w:firstLineChars="20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Hyperlink"/>
    <w:basedOn w:val="35"/>
    <w:qFormat/>
    <w:uiPriority w:val="0"/>
    <w:rPr>
      <w:color w:val="0000FF"/>
      <w:u w:val="single"/>
    </w:rPr>
  </w:style>
  <w:style w:type="character" w:styleId="38">
    <w:name w:val="annotation reference"/>
    <w:qFormat/>
    <w:uiPriority w:val="0"/>
    <w:rPr>
      <w:sz w:val="21"/>
    </w:rPr>
  </w:style>
  <w:style w:type="character" w:customStyle="1" w:styleId="39">
    <w:name w:val="标题 1 Char"/>
    <w:link w:val="2"/>
    <w:qFormat/>
    <w:uiPriority w:val="0"/>
    <w:rPr>
      <w:rFonts w:hint="eastAsia" w:ascii="宋体" w:hAnsi="宋体" w:eastAsia="宋体" w:cs="宋体"/>
      <w:b/>
      <w:bCs/>
      <w:kern w:val="44"/>
      <w:sz w:val="48"/>
      <w:szCs w:val="48"/>
      <w:lang w:val="en-US" w:eastAsia="zh-CN" w:bidi="ar"/>
    </w:rPr>
  </w:style>
  <w:style w:type="paragraph" w:customStyle="1" w:styleId="40">
    <w:name w:val="样式 正文文本缩进 + 行距: 1.5 倍行距"/>
    <w:qFormat/>
    <w:uiPriority w:val="0"/>
    <w:pPr>
      <w:widowControl w:val="0"/>
      <w:spacing w:after="120" w:line="360" w:lineRule="auto"/>
      <w:ind w:left="90" w:leftChars="32" w:firstLine="560" w:firstLineChars="200"/>
      <w:jc w:val="both"/>
    </w:pPr>
    <w:rPr>
      <w:rFonts w:ascii="Calibri" w:hAnsi="Calibri" w:eastAsia="宋体" w:cs="宋体"/>
      <w:kern w:val="2"/>
      <w:sz w:val="24"/>
      <w:szCs w:val="21"/>
      <w:lang w:val="en-US" w:eastAsia="zh-CN" w:bidi="ar-SA"/>
    </w:rPr>
  </w:style>
  <w:style w:type="paragraph" w:customStyle="1" w:styleId="41">
    <w:name w:val="Char Char Char Char Char Char Char Char Char1 Char"/>
    <w:basedOn w:val="1"/>
    <w:next w:val="42"/>
    <w:qFormat/>
    <w:uiPriority w:val="0"/>
  </w:style>
  <w:style w:type="paragraph" w:customStyle="1" w:styleId="42">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customStyle="1" w:styleId="43">
    <w:name w:val="样式 样式 样式 四号 左侧:  1.53 厘米 + 首行缩进:  2 字符 + 居中 左侧:  2 字符 首行缩进:  2..."/>
    <w:basedOn w:val="44"/>
    <w:qFormat/>
    <w:uiPriority w:val="0"/>
    <w:pPr>
      <w:jc w:val="center"/>
    </w:pPr>
  </w:style>
  <w:style w:type="paragraph" w:customStyle="1" w:styleId="44">
    <w:name w:val="样式 样式 四号 左侧:  1.53 厘米 + 首行缩进:  2 字符"/>
    <w:basedOn w:val="45"/>
    <w:qFormat/>
    <w:uiPriority w:val="0"/>
    <w:pPr>
      <w:ind w:left="200" w:leftChars="200"/>
    </w:pPr>
    <w:rPr>
      <w:szCs w:val="20"/>
    </w:rPr>
  </w:style>
  <w:style w:type="paragraph" w:customStyle="1" w:styleId="45">
    <w:name w:val="样式 四号 左侧:  1.53 厘米"/>
    <w:basedOn w:val="1"/>
    <w:qFormat/>
    <w:uiPriority w:val="0"/>
    <w:pPr>
      <w:adjustRightInd w:val="0"/>
    </w:pPr>
    <w:rPr>
      <w:w w:val="90"/>
      <w:sz w:val="28"/>
      <w:szCs w:val="28"/>
    </w:rPr>
  </w:style>
  <w:style w:type="paragraph" w:customStyle="1" w:styleId="46">
    <w:name w:val="Default"/>
    <w:basedOn w:val="47"/>
    <w:qFormat/>
    <w:uiPriority w:val="0"/>
    <w:pPr>
      <w:autoSpaceDE w:val="0"/>
      <w:autoSpaceDN w:val="0"/>
      <w:adjustRightInd w:val="0"/>
    </w:pPr>
    <w:rPr>
      <w:rFonts w:ascii="宋体" w:hAnsi="宋体" w:eastAsia="宋体" w:cs="Times New Roman"/>
      <w:color w:val="000000"/>
      <w:sz w:val="24"/>
      <w:szCs w:val="22"/>
    </w:rPr>
  </w:style>
  <w:style w:type="paragraph" w:customStyle="1" w:styleId="47">
    <w:name w:val="标题 段落4级"/>
    <w:basedOn w:val="48"/>
    <w:next w:val="9"/>
    <w:qFormat/>
    <w:uiPriority w:val="0"/>
    <w:pPr>
      <w:outlineLvl w:val="3"/>
    </w:pPr>
    <w:rPr>
      <w:rFonts w:cs="Calibri"/>
      <w:b/>
    </w:rPr>
  </w:style>
  <w:style w:type="paragraph" w:customStyle="1" w:styleId="48">
    <w:name w:val="正文 文本"/>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49">
    <w:name w:val="表格文字"/>
    <w:basedOn w:val="16"/>
    <w:next w:val="1"/>
    <w:qFormat/>
    <w:uiPriority w:val="0"/>
    <w:pPr>
      <w:widowControl w:val="0"/>
      <w:spacing w:after="120" w:line="400" w:lineRule="exact"/>
      <w:ind w:left="420" w:leftChars="200"/>
      <w:jc w:val="center"/>
    </w:pPr>
    <w:rPr>
      <w:rFonts w:ascii="Times New Roman" w:hAnsi="Times New Roman" w:eastAsia="宋体" w:cs="Times New Roman"/>
      <w:color w:val="000000"/>
      <w:kern w:val="0"/>
      <w:sz w:val="24"/>
      <w:szCs w:val="24"/>
      <w:u w:val="none" w:color="000000"/>
      <w:lang w:val="en-US" w:eastAsia="zh-CN" w:bidi="ar-SA"/>
    </w:rPr>
  </w:style>
  <w:style w:type="paragraph" w:customStyle="1" w:styleId="50">
    <w:name w:val="新格式表"/>
    <w:basedOn w:val="1"/>
    <w:qFormat/>
    <w:uiPriority w:val="0"/>
    <w:pPr>
      <w:adjustRightInd w:val="0"/>
      <w:snapToGrid w:val="0"/>
      <w:spacing w:line="0" w:lineRule="atLeast"/>
      <w:jc w:val="center"/>
    </w:pPr>
    <w:rPr>
      <w:color w:val="000000"/>
      <w:kern w:val="0"/>
      <w:szCs w:val="21"/>
    </w:rPr>
  </w:style>
  <w:style w:type="paragraph" w:styleId="51">
    <w:name w:val="List Paragraph"/>
    <w:basedOn w:val="1"/>
    <w:qFormat/>
    <w:uiPriority w:val="34"/>
    <w:pPr>
      <w:ind w:firstLine="420" w:firstLineChars="200"/>
    </w:pPr>
  </w:style>
  <w:style w:type="paragraph" w:customStyle="1" w:styleId="52">
    <w:name w:val="Table Paragraph"/>
    <w:basedOn w:val="1"/>
    <w:qFormat/>
    <w:uiPriority w:val="1"/>
    <w:pPr>
      <w:jc w:val="left"/>
    </w:pPr>
    <w:rPr>
      <w:rFonts w:ascii="Calibri" w:hAnsi="Calibri"/>
      <w:kern w:val="0"/>
      <w:sz w:val="22"/>
      <w:szCs w:val="22"/>
      <w:lang w:eastAsia="en-US"/>
    </w:rPr>
  </w:style>
  <w:style w:type="table" w:customStyle="1" w:styleId="53">
    <w:name w:val="Table Normal"/>
    <w:basedOn w:val="33"/>
    <w:semiHidden/>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54">
    <w:name w:val="正文lcc1"/>
    <w:basedOn w:val="1"/>
    <w:qFormat/>
    <w:uiPriority w:val="0"/>
    <w:pPr>
      <w:spacing w:line="360" w:lineRule="auto"/>
      <w:ind w:firstLine="200" w:firstLineChars="200"/>
    </w:pPr>
    <w:rPr>
      <w:color w:val="000000"/>
      <w:sz w:val="24"/>
      <w:szCs w:val="20"/>
    </w:rPr>
  </w:style>
  <w:style w:type="paragraph" w:customStyle="1" w:styleId="55">
    <w:name w:val="表格"/>
    <w:basedOn w:val="10"/>
    <w:next w:val="13"/>
    <w:qFormat/>
    <w:uiPriority w:val="0"/>
    <w:pPr>
      <w:adjustRightInd w:val="0"/>
      <w:spacing w:beforeLines="10" w:afterLines="10"/>
      <w:jc w:val="center"/>
    </w:pPr>
    <w:rPr>
      <w:rFonts w:ascii="宋体"/>
    </w:rPr>
  </w:style>
  <w:style w:type="paragraph" w:customStyle="1" w:styleId="56">
    <w:name w:val="1_正文"/>
    <w:basedOn w:val="1"/>
    <w:qFormat/>
    <w:uiPriority w:val="0"/>
    <w:pPr>
      <w:spacing w:line="360" w:lineRule="auto"/>
      <w:ind w:firstLine="480" w:firstLineChars="200"/>
    </w:pPr>
    <w:rPr>
      <w:color w:val="000000"/>
      <w:sz w:val="24"/>
      <w:szCs w:val="21"/>
    </w:rPr>
  </w:style>
  <w:style w:type="paragraph" w:customStyle="1" w:styleId="57">
    <w:name w:val="表格内容"/>
    <w:qFormat/>
    <w:uiPriority w:val="0"/>
    <w:pPr>
      <w:adjustRightInd w:val="0"/>
      <w:snapToGrid w:val="0"/>
      <w:spacing w:line="360" w:lineRule="exact"/>
      <w:jc w:val="center"/>
    </w:pPr>
    <w:rPr>
      <w:rFonts w:ascii="Times New Roman" w:hAnsi="Times New Roman" w:eastAsia="宋体" w:cs="Times New Roman"/>
      <w:color w:val="000000"/>
      <w:sz w:val="21"/>
      <w:szCs w:val="24"/>
      <w:lang w:val="en-US" w:eastAsia="zh-CN" w:bidi="ar-SA"/>
    </w:rPr>
  </w:style>
  <w:style w:type="paragraph" w:customStyle="1" w:styleId="58">
    <w:name w:val="中文报告书样式"/>
    <w:basedOn w:val="1"/>
    <w:unhideWhenUsed/>
    <w:qFormat/>
    <w:uiPriority w:val="0"/>
    <w:pPr>
      <w:adjustRightInd w:val="0"/>
      <w:spacing w:line="420" w:lineRule="atLeast"/>
      <w:textAlignment w:val="baseline"/>
    </w:pPr>
    <w:rPr>
      <w:kern w:val="24"/>
      <w:sz w:val="24"/>
    </w:rPr>
  </w:style>
  <w:style w:type="character" w:customStyle="1" w:styleId="59">
    <w:name w:val="font51"/>
    <w:basedOn w:val="35"/>
    <w:qFormat/>
    <w:uiPriority w:val="0"/>
    <w:rPr>
      <w:rFonts w:hint="default" w:ascii="Times New Roman" w:hAnsi="Times New Roman" w:cs="Times New Roman"/>
      <w:color w:val="000000"/>
      <w:sz w:val="21"/>
      <w:szCs w:val="21"/>
      <w:u w:val="none"/>
    </w:rPr>
  </w:style>
  <w:style w:type="paragraph" w:customStyle="1" w:styleId="60">
    <w:name w:val="流程图"/>
    <w:qFormat/>
    <w:uiPriority w:val="0"/>
    <w:pPr>
      <w:jc w:val="center"/>
    </w:pPr>
    <w:rPr>
      <w:rFonts w:ascii="Times New Roman" w:hAnsi="Times New Roman" w:eastAsia="宋体" w:cs="Times New Roman"/>
      <w:kern w:val="2"/>
      <w:sz w:val="21"/>
      <w:szCs w:val="24"/>
      <w:lang w:val="en-US" w:eastAsia="zh-CN" w:bidi="ar-SA"/>
    </w:rPr>
  </w:style>
  <w:style w:type="character" w:customStyle="1" w:styleId="61">
    <w:name w:val="标题 4 字符"/>
    <w:link w:val="7"/>
    <w:qFormat/>
    <w:uiPriority w:val="9"/>
    <w:rPr>
      <w:b/>
      <w:color w:val="000000"/>
      <w:kern w:val="0"/>
      <w:szCs w:val="28"/>
    </w:rPr>
  </w:style>
  <w:style w:type="paragraph" w:customStyle="1" w:styleId="62">
    <w:name w:val="表格正文"/>
    <w:basedOn w:val="63"/>
    <w:next w:val="1"/>
    <w:qFormat/>
    <w:uiPriority w:val="0"/>
    <w:pPr>
      <w:spacing w:line="240" w:lineRule="exact"/>
    </w:pPr>
    <w:rPr>
      <w:rFonts w:hAnsi="宋体"/>
      <w:szCs w:val="24"/>
    </w:rPr>
  </w:style>
  <w:style w:type="paragraph" w:customStyle="1" w:styleId="63">
    <w:name w:val="表格01"/>
    <w:basedOn w:val="1"/>
    <w:qFormat/>
    <w:uiPriority w:val="0"/>
    <w:pPr>
      <w:widowControl/>
      <w:jc w:val="center"/>
    </w:pPr>
    <w:rPr>
      <w:color w:val="000000"/>
      <w:kern w:val="0"/>
      <w:szCs w:val="21"/>
    </w:rPr>
  </w:style>
  <w:style w:type="paragraph" w:customStyle="1" w:styleId="64">
    <w:name w:val="2正文"/>
    <w:qFormat/>
    <w:uiPriority w:val="0"/>
    <w:pPr>
      <w:spacing w:line="440" w:lineRule="exact"/>
      <w:ind w:firstLine="200" w:firstLineChars="200"/>
      <w:jc w:val="both"/>
    </w:pPr>
    <w:rPr>
      <w:rFonts w:ascii="Times New Roman" w:hAnsi="Times New Roman" w:eastAsia="宋体" w:cs="Times New Roman"/>
      <w:sz w:val="24"/>
      <w:szCs w:val="24"/>
      <w:lang w:val="en-US" w:eastAsia="zh-CN" w:bidi="ar-SA"/>
    </w:rPr>
  </w:style>
  <w:style w:type="paragraph" w:customStyle="1" w:styleId="65">
    <w:name w:val="表头"/>
    <w:basedOn w:val="66"/>
    <w:next w:val="55"/>
    <w:qFormat/>
    <w:uiPriority w:val="0"/>
    <w:pPr>
      <w:adjustRightInd w:val="0"/>
      <w:snapToGrid w:val="0"/>
      <w:spacing w:line="360" w:lineRule="auto"/>
      <w:textAlignment w:val="baseline"/>
    </w:pPr>
    <w:rPr>
      <w:rFonts w:hAnsi="宋体"/>
      <w:sz w:val="24"/>
      <w:szCs w:val="28"/>
    </w:rPr>
  </w:style>
  <w:style w:type="paragraph" w:customStyle="1" w:styleId="66">
    <w:name w:val="11111111111"/>
    <w:basedOn w:val="1"/>
    <w:qFormat/>
    <w:uiPriority w:val="0"/>
    <w:pPr>
      <w:spacing w:line="480" w:lineRule="exact"/>
      <w:jc w:val="center"/>
    </w:pPr>
    <w:rPr>
      <w:b/>
    </w:rPr>
  </w:style>
  <w:style w:type="paragraph" w:customStyle="1" w:styleId="67">
    <w:name w:val="图表"/>
    <w:basedOn w:val="1"/>
    <w:qFormat/>
    <w:uiPriority w:val="0"/>
    <w:pPr>
      <w:adjustRightInd w:val="0"/>
      <w:snapToGrid w:val="0"/>
      <w:jc w:val="center"/>
    </w:pPr>
    <w:rPr>
      <w:color w:val="000000"/>
      <w:szCs w:val="21"/>
      <w:lang w:val="zh-CN"/>
    </w:rPr>
  </w:style>
  <w:style w:type="paragraph" w:customStyle="1" w:styleId="68">
    <w:name w:val="表格 普通文字"/>
    <w:qFormat/>
    <w:uiPriority w:val="0"/>
    <w:pPr>
      <w:jc w:val="center"/>
    </w:pPr>
    <w:rPr>
      <w:rFonts w:ascii="Times New Roman" w:hAnsi="Times New Roman" w:eastAsia="仿宋_GB2312" w:cs="Calibri"/>
      <w:szCs w:val="21"/>
      <w:lang w:val="en-US" w:eastAsia="zh-CN" w:bidi="ar-SA"/>
    </w:rPr>
  </w:style>
  <w:style w:type="character" w:customStyle="1" w:styleId="69">
    <w:name w:val="font21"/>
    <w:basedOn w:val="35"/>
    <w:qFormat/>
    <w:uiPriority w:val="0"/>
    <w:rPr>
      <w:rFonts w:hint="eastAsia" w:ascii="宋体" w:hAnsi="宋体" w:eastAsia="宋体" w:cs="宋体"/>
      <w:b/>
      <w:color w:val="000000"/>
      <w:sz w:val="24"/>
      <w:szCs w:val="24"/>
      <w:u w:val="none"/>
    </w:rPr>
  </w:style>
  <w:style w:type="paragraph" w:customStyle="1" w:styleId="70">
    <w:name w:val="正文正"/>
    <w:basedOn w:val="1"/>
    <w:qFormat/>
    <w:uiPriority w:val="0"/>
    <w:pPr>
      <w:ind w:firstLine="560" w:firstLineChars="200"/>
    </w:pPr>
    <w:rPr>
      <w:sz w:val="28"/>
    </w:rPr>
  </w:style>
  <w:style w:type="paragraph" w:customStyle="1" w:styleId="71">
    <w:name w:val="D图表"/>
    <w:basedOn w:val="1"/>
    <w:qFormat/>
    <w:uiPriority w:val="0"/>
    <w:pPr>
      <w:spacing w:before="120" w:after="120"/>
      <w:jc w:val="center"/>
    </w:pPr>
    <w:rPr>
      <w:rFonts w:hAnsi="Calibri" w:eastAsia="等线"/>
      <w:b/>
      <w:szCs w:val="21"/>
    </w:rPr>
  </w:style>
  <w:style w:type="paragraph" w:customStyle="1" w:styleId="72">
    <w:name w:val="表格内文字 小5"/>
    <w:basedOn w:val="1"/>
    <w:next w:val="1"/>
    <w:semiHidden/>
    <w:qFormat/>
    <w:locked/>
    <w:uiPriority w:val="0"/>
    <w:pPr>
      <w:widowControl/>
      <w:tabs>
        <w:tab w:val="left" w:pos="3345"/>
      </w:tabs>
      <w:adjustRightInd w:val="0"/>
      <w:spacing w:before="60" w:after="60"/>
      <w:jc w:val="center"/>
    </w:pPr>
    <w:rPr>
      <w:rFonts w:ascii="Calibri" w:hAnsi="Calibri" w:eastAsia="等线"/>
      <w:snapToGrid w:val="0"/>
      <w:kern w:val="0"/>
      <w:szCs w:val="21"/>
    </w:rPr>
  </w:style>
  <w:style w:type="character" w:customStyle="1" w:styleId="73">
    <w:name w:val="批注文字 字符"/>
    <w:basedOn w:val="35"/>
    <w:link w:val="9"/>
    <w:semiHidden/>
    <w:qFormat/>
    <w:uiPriority w:val="99"/>
    <w:rPr>
      <w:sz w:val="24"/>
    </w:rPr>
  </w:style>
  <w:style w:type="character" w:customStyle="1" w:styleId="74">
    <w:name w:val="批注主题 字符"/>
    <w:basedOn w:val="73"/>
    <w:link w:val="30"/>
    <w:qFormat/>
    <w:uiPriority w:val="0"/>
    <w:rPr>
      <w:b/>
      <w:bCs/>
      <w:kern w:val="2"/>
      <w:sz w:val="21"/>
      <w:szCs w:val="24"/>
    </w:rPr>
  </w:style>
  <w:style w:type="paragraph" w:customStyle="1" w:styleId="75">
    <w:name w:val="aaa正文"/>
    <w:basedOn w:val="1"/>
    <w:qFormat/>
    <w:uiPriority w:val="0"/>
    <w:pPr>
      <w:spacing w:line="480" w:lineRule="exact"/>
      <w:ind w:firstLine="200" w:firstLineChars="200"/>
    </w:pPr>
    <w:rPr>
      <w:rFonts w:ascii="宋体"/>
      <w:spacing w:val="5"/>
      <w:kern w:val="0"/>
      <w:sz w:val="24"/>
      <w:szCs w:val="20"/>
    </w:rPr>
  </w:style>
  <w:style w:type="paragraph" w:customStyle="1" w:styleId="76">
    <w:name w:val="表格内"/>
    <w:basedOn w:val="26"/>
    <w:qFormat/>
    <w:uiPriority w:val="0"/>
    <w:pPr>
      <w:spacing w:line="240" w:lineRule="auto"/>
    </w:pPr>
    <w:rPr>
      <w:b w:val="0"/>
      <w:sz w:val="18"/>
    </w:rPr>
  </w:style>
  <w:style w:type="table" w:customStyle="1" w:styleId="77">
    <w:name w:val="表格主题1"/>
    <w:basedOn w:val="33"/>
    <w:qFormat/>
    <w:uiPriority w:val="0"/>
    <w:pPr>
      <w:widowControl w:val="0"/>
      <w:spacing w:line="300" w:lineRule="exact"/>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0正文"/>
    <w:basedOn w:val="28"/>
    <w:qFormat/>
    <w:uiPriority w:val="0"/>
    <w:pPr>
      <w:spacing w:before="0" w:beforeAutospacing="0" w:after="0" w:afterAutospacing="0"/>
      <w:ind w:firstLine="482"/>
      <w:jc w:val="both"/>
    </w:pPr>
    <w:rPr>
      <w:rFonts w:ascii="Times New Roman" w:hAnsi="Times New Roman"/>
      <w:kern w:val="2"/>
    </w:rPr>
  </w:style>
  <w:style w:type="character" w:customStyle="1" w:styleId="79">
    <w:name w:val="font31"/>
    <w:basedOn w:val="35"/>
    <w:qFormat/>
    <w:uiPriority w:val="0"/>
    <w:rPr>
      <w:rFonts w:hint="eastAsia" w:ascii="宋体" w:hAnsi="宋体" w:eastAsia="宋体" w:cs="宋体"/>
      <w:color w:val="FF0000"/>
      <w:sz w:val="21"/>
      <w:szCs w:val="21"/>
      <w:u w:val="none"/>
    </w:rPr>
  </w:style>
  <w:style w:type="paragraph" w:customStyle="1" w:styleId="80">
    <w:name w:val="正文缩进1"/>
    <w:basedOn w:val="1"/>
    <w:next w:val="1"/>
    <w:unhideWhenUsed/>
    <w:qFormat/>
    <w:uiPriority w:val="0"/>
    <w:pPr>
      <w:adjustRightInd w:val="0"/>
      <w:snapToGrid w:val="0"/>
      <w:spacing w:beforeLines="0" w:afterLines="0" w:line="460" w:lineRule="atLeast"/>
      <w:ind w:firstLine="200" w:firstLineChars="200"/>
    </w:pPr>
    <w:rPr>
      <w:rFonts w:hint="default" w:ascii="Calibri" w:hAnsi="Calibri" w:eastAsia="宋体"/>
      <w:sz w:val="28"/>
      <w:szCs w:val="22"/>
    </w:rPr>
  </w:style>
  <w:style w:type="paragraph" w:customStyle="1" w:styleId="81">
    <w:name w:val="表"/>
    <w:qFormat/>
    <w:uiPriority w:val="99"/>
    <w:pPr>
      <w:keepNext/>
      <w:keepLines/>
      <w:widowControl w:val="0"/>
      <w:autoSpaceDE w:val="0"/>
      <w:autoSpaceDN w:val="0"/>
      <w:adjustRightInd w:val="0"/>
      <w:spacing w:before="40" w:after="40" w:line="240" w:lineRule="exact"/>
      <w:jc w:val="center"/>
    </w:pPr>
    <w:rPr>
      <w:rFonts w:ascii="Times New Roman" w:hAnsi="Times New Roman" w:eastAsia="宋体" w:cs="Times New Roman"/>
      <w:kern w:val="21"/>
      <w:sz w:val="21"/>
      <w:szCs w:val="24"/>
      <w:lang w:val="en-US" w:eastAsia="zh-CN" w:bidi="ar-SA"/>
    </w:rPr>
  </w:style>
  <w:style w:type="paragraph" w:customStyle="1" w:styleId="82">
    <w:name w:val="B表格内容"/>
    <w:basedOn w:val="1"/>
    <w:unhideWhenUsed/>
    <w:qFormat/>
    <w:uiPriority w:val="0"/>
    <w:pPr>
      <w:widowControl/>
      <w:adjustRightInd w:val="0"/>
      <w:snapToGrid w:val="0"/>
      <w:spacing w:beforeLines="0" w:afterLines="0"/>
      <w:jc w:val="center"/>
    </w:pPr>
    <w:rPr>
      <w:rFonts w:hint="eastAsia"/>
      <w:kern w:val="0"/>
      <w:sz w:val="21"/>
      <w:szCs w:val="21"/>
    </w:rPr>
  </w:style>
  <w:style w:type="paragraph" w:customStyle="1" w:styleId="83">
    <w:name w:val="B正文"/>
    <w:basedOn w:val="1"/>
    <w:qFormat/>
    <w:uiPriority w:val="0"/>
    <w:pPr>
      <w:adjustRightInd w:val="0"/>
      <w:snapToGrid w:val="0"/>
      <w:spacing w:line="360" w:lineRule="auto"/>
      <w:ind w:firstLine="480" w:firstLineChars="200"/>
    </w:pPr>
    <w:rPr>
      <w:kern w:val="0"/>
      <w:sz w:val="24"/>
    </w:rPr>
  </w:style>
  <w:style w:type="paragraph" w:customStyle="1" w:styleId="84">
    <w:name w:val="Table Text"/>
    <w:basedOn w:val="1"/>
    <w:semiHidden/>
    <w:qFormat/>
    <w:uiPriority w:val="0"/>
    <w:rPr>
      <w:rFonts w:ascii="宋体" w:hAnsi="宋体" w:eastAsia="宋体" w:cs="宋体"/>
      <w:sz w:val="24"/>
      <w:szCs w:val="24"/>
      <w:lang w:val="en-US" w:eastAsia="en-US" w:bidi="ar-SA"/>
    </w:rPr>
  </w:style>
  <w:style w:type="paragraph" w:customStyle="1" w:styleId="85">
    <w:name w:val="0表头"/>
    <w:qFormat/>
    <w:uiPriority w:val="0"/>
    <w:pPr>
      <w:widowControl w:val="0"/>
      <w:autoSpaceDE w:val="0"/>
      <w:autoSpaceDN w:val="0"/>
      <w:adjustRightInd w:val="0"/>
      <w:spacing w:line="440" w:lineRule="exact"/>
      <w:ind w:firstLine="200" w:firstLineChars="200"/>
    </w:pPr>
    <w:rPr>
      <w:rFonts w:ascii="Times New Roman" w:hAnsi="Times New Roman" w:eastAsia="宋体" w:cs="宋体"/>
      <w:b/>
      <w:color w:val="000000"/>
      <w:sz w:val="24"/>
      <w:szCs w:val="24"/>
      <w:lang w:val="en-US" w:eastAsia="zh-CN" w:bidi="ar-SA"/>
    </w:rPr>
  </w:style>
  <w:style w:type="paragraph" w:customStyle="1" w:styleId="86">
    <w:name w:val="纯文本1"/>
    <w:qFormat/>
    <w:uiPriority w:val="0"/>
    <w:pPr>
      <w:widowControl w:val="0"/>
      <w:spacing w:line="240" w:lineRule="auto"/>
      <w:jc w:val="both"/>
      <w:textAlignment w:val="auto"/>
    </w:pPr>
    <w:rPr>
      <w:rFonts w:ascii="宋体" w:hAnsi="Courier New" w:eastAsia="宋体" w:cs="Times New Roman"/>
      <w:kern w:val="2"/>
      <w:sz w:val="21"/>
      <w:szCs w:val="21"/>
      <w:lang w:val="en-US" w:eastAsia="zh-CN" w:bidi="ar-SA"/>
    </w:rPr>
  </w:style>
  <w:style w:type="character" w:customStyle="1" w:styleId="87">
    <w:name w:val="font01"/>
    <w:basedOn w:val="35"/>
    <w:qFormat/>
    <w:uiPriority w:val="0"/>
    <w:rPr>
      <w:rFonts w:hint="eastAsia" w:ascii="宋体" w:hAnsi="宋体" w:eastAsia="宋体" w:cs="宋体"/>
      <w:color w:val="000000"/>
      <w:sz w:val="24"/>
      <w:szCs w:val="24"/>
      <w:u w:val="none"/>
    </w:rPr>
  </w:style>
  <w:style w:type="character" w:customStyle="1" w:styleId="88">
    <w:name w:val="font61"/>
    <w:basedOn w:val="35"/>
    <w:qFormat/>
    <w:uiPriority w:val="0"/>
    <w:rPr>
      <w:rFonts w:hint="default" w:ascii="Times New Roman" w:hAnsi="Times New Roman" w:cs="Times New Roman"/>
      <w:color w:val="000000"/>
      <w:sz w:val="21"/>
      <w:szCs w:val="21"/>
      <w:u w:val="none"/>
    </w:rPr>
  </w:style>
  <w:style w:type="paragraph" w:customStyle="1" w:styleId="89">
    <w:name w:val="_Style 632"/>
    <w:basedOn w:val="1"/>
    <w:qFormat/>
    <w:uiPriority w:val="0"/>
    <w:pPr>
      <w:adjustRightInd w:val="0"/>
      <w:snapToGrid w:val="0"/>
      <w:spacing w:line="360" w:lineRule="auto"/>
      <w:ind w:firstLine="200" w:firstLineChars="200"/>
    </w:pPr>
    <w:rPr>
      <w:sz w:val="21"/>
      <w:szCs w:val="24"/>
    </w:rPr>
  </w:style>
  <w:style w:type="character" w:customStyle="1" w:styleId="90">
    <w:name w:val="font11"/>
    <w:basedOn w:val="35"/>
    <w:qFormat/>
    <w:uiPriority w:val="0"/>
    <w:rPr>
      <w:rFonts w:ascii="Calibri" w:hAnsi="Calibri" w:cs="Calibri"/>
      <w:color w:val="000000"/>
      <w:sz w:val="22"/>
      <w:szCs w:val="22"/>
      <w:u w:val="none"/>
    </w:rPr>
  </w:style>
  <w:style w:type="paragraph" w:customStyle="1" w:styleId="91">
    <w:name w:val="SpireTableThStyle1a98f599-3fdb-43b8-85d7-2c9ecaee1b336"/>
    <w:basedOn w:val="1"/>
    <w:qFormat/>
    <w:uiPriority w:val="0"/>
    <w:pPr>
      <w:jc w:val="center"/>
    </w:pPr>
    <w:rPr>
      <w:b/>
    </w:rPr>
  </w:style>
  <w:style w:type="paragraph" w:customStyle="1" w:styleId="92">
    <w:name w:val="SpireTableThStyle6342b05d-f090-4d99-a81f-1688b911074d"/>
    <w:basedOn w:val="1"/>
    <w:qFormat/>
    <w:uiPriority w:val="0"/>
    <w:pPr>
      <w:jc w:val="center"/>
    </w:pPr>
    <w:rPr>
      <w:b/>
    </w:rPr>
  </w:style>
  <w:style w:type="paragraph" w:customStyle="1" w:styleId="93">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94">
    <w:name w:val="正文 首行缩进:  2 字符"/>
    <w:basedOn w:val="1"/>
    <w:semiHidden/>
    <w:qFormat/>
    <w:uiPriority w:val="0"/>
    <w:pPr>
      <w:spacing w:line="520" w:lineRule="exact"/>
      <w:ind w:firstLine="480" w:firstLineChars="200"/>
    </w:pPr>
    <w:rPr>
      <w:rFonts w:ascii="Times New Roman" w:hAnsi="Times New Roman"/>
      <w:kern w:val="44"/>
      <w:sz w:val="24"/>
    </w:rPr>
  </w:style>
  <w:style w:type="character" w:customStyle="1" w:styleId="95">
    <w:name w:val="font71"/>
    <w:basedOn w:val="35"/>
    <w:qFormat/>
    <w:uiPriority w:val="0"/>
    <w:rPr>
      <w:rFonts w:hint="default" w:ascii="Times New Roman" w:hAnsi="Times New Roman" w:cs="Times New Roman"/>
      <w:b/>
      <w:bCs/>
      <w:color w:val="000000"/>
      <w:sz w:val="22"/>
      <w:szCs w:val="22"/>
      <w:u w:val="none"/>
    </w:rPr>
  </w:style>
  <w:style w:type="paragraph" w:customStyle="1" w:styleId="96">
    <w:name w:val="li_正文"/>
    <w:basedOn w:val="1"/>
    <w:qFormat/>
    <w:uiPriority w:val="0"/>
    <w:pPr>
      <w:ind w:firstLine="200" w:firstLineChars="200"/>
      <w:jc w:val="left"/>
    </w:pPr>
    <w:rPr>
      <w:rFonts w:ascii="Calibri" w:hAnsi="Calibri" w:eastAsia="宋体" w:cs="Times New Roman"/>
      <w:sz w:val="28"/>
      <w:szCs w:val="28"/>
    </w:rPr>
  </w:style>
  <w:style w:type="paragraph" w:customStyle="1" w:styleId="97">
    <w:name w:val="16表格内容"/>
    <w:basedOn w:val="1"/>
    <w:qFormat/>
    <w:uiPriority w:val="0"/>
    <w:pPr>
      <w:spacing w:line="0" w:lineRule="atLeast"/>
      <w:jc w:val="center"/>
      <w:textAlignment w:val="auto"/>
    </w:pPr>
    <w:rPr>
      <w:rFonts w:ascii="Times New Roman" w:hAnsi="Times New Roman"/>
      <w:color w:val="auto"/>
      <w:szCs w:val="21"/>
      <w:u w:val="none" w:color="auto"/>
    </w:rPr>
  </w:style>
  <w:style w:type="paragraph" w:customStyle="1" w:styleId="98">
    <w:name w:val="表头名称"/>
    <w:basedOn w:val="5"/>
    <w:qFormat/>
    <w:uiPriority w:val="0"/>
    <w:pPr>
      <w:autoSpaceDE w:val="0"/>
      <w:autoSpaceDN w:val="0"/>
      <w:adjustRightInd w:val="0"/>
      <w:spacing w:before="78" w:beforeLines="25" w:line="360" w:lineRule="auto"/>
      <w:ind w:firstLine="0"/>
      <w:jc w:val="center"/>
    </w:pPr>
    <w:rPr>
      <w:rFonts w:ascii="宋体"/>
      <w:b/>
      <w:kern w:val="0"/>
      <w:sz w:val="24"/>
    </w:rPr>
  </w:style>
  <w:style w:type="paragraph" w:customStyle="1" w:styleId="99">
    <w:name w:val="Char3"/>
    <w:basedOn w:val="1"/>
    <w:qFormat/>
    <w:uiPriority w:val="0"/>
    <w:pPr>
      <w:spacing w:line="360" w:lineRule="auto"/>
      <w:ind w:firstLine="200" w:firstLineChars="200"/>
    </w:pPr>
    <w:rPr>
      <w:rFonts w:ascii="宋体" w:hAnsi="宋体" w:cs="宋体"/>
      <w:sz w:val="24"/>
    </w:rPr>
  </w:style>
  <w:style w:type="paragraph" w:customStyle="1" w:styleId="100">
    <w:name w:val="lh-正文-报告表"/>
    <w:basedOn w:val="1"/>
    <w:qFormat/>
    <w:uiPriority w:val="0"/>
    <w:pPr>
      <w:spacing w:line="360" w:lineRule="auto"/>
      <w:ind w:firstLine="480" w:firstLineChars="200"/>
    </w:pPr>
    <w:rPr>
      <w:kern w:val="0"/>
      <w:sz w:val="24"/>
      <w:szCs w:val="21"/>
    </w:rPr>
  </w:style>
  <w:style w:type="paragraph" w:customStyle="1" w:styleId="101">
    <w:name w:val="表~1.5正文"/>
    <w:next w:val="1"/>
    <w:qFormat/>
    <w:uiPriority w:val="0"/>
    <w:pPr>
      <w:adjustRightInd w:val="0"/>
      <w:snapToGrid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02">
    <w:name w:val="font12"/>
    <w:basedOn w:val="35"/>
    <w:qFormat/>
    <w:uiPriority w:val="0"/>
    <w:rPr>
      <w:rFonts w:hint="eastAsia" w:ascii="宋体" w:hAnsi="宋体" w:eastAsia="宋体" w:cs="宋体"/>
      <w:color w:val="000000"/>
      <w:sz w:val="21"/>
      <w:szCs w:val="21"/>
      <w:u w:val="none"/>
    </w:rPr>
  </w:style>
  <w:style w:type="character" w:customStyle="1" w:styleId="103">
    <w:name w:val="font41"/>
    <w:basedOn w:val="35"/>
    <w:qFormat/>
    <w:uiPriority w:val="0"/>
    <w:rPr>
      <w:rFonts w:hint="default" w:ascii="Times New Roman" w:hAnsi="Times New Roman" w:cs="Times New Roman"/>
      <w:color w:val="000000"/>
      <w:sz w:val="22"/>
      <w:szCs w:val="22"/>
      <w:u w:val="none"/>
    </w:rPr>
  </w:style>
  <w:style w:type="character" w:customStyle="1" w:styleId="104">
    <w:name w:val="font81"/>
    <w:basedOn w:val="35"/>
    <w:qFormat/>
    <w:uiPriority w:val="0"/>
    <w:rPr>
      <w:rFonts w:hint="eastAsia" w:ascii="宋体" w:hAnsi="宋体" w:eastAsia="宋体" w:cs="宋体"/>
      <w:color w:val="000000"/>
      <w:sz w:val="22"/>
      <w:szCs w:val="22"/>
      <w:u w:val="none"/>
    </w:rPr>
  </w:style>
  <w:style w:type="character" w:customStyle="1" w:styleId="105">
    <w:name w:val="font91"/>
    <w:basedOn w:val="35"/>
    <w:qFormat/>
    <w:uiPriority w:val="0"/>
    <w:rPr>
      <w:rFonts w:hint="eastAsia" w:ascii="宋体" w:hAnsi="宋体" w:eastAsia="宋体" w:cs="宋体"/>
      <w:color w:val="000000"/>
      <w:sz w:val="24"/>
      <w:szCs w:val="24"/>
      <w:u w:val="none"/>
    </w:rPr>
  </w:style>
  <w:style w:type="character" w:customStyle="1" w:styleId="106">
    <w:name w:val="font111"/>
    <w:basedOn w:val="35"/>
    <w:qFormat/>
    <w:uiPriority w:val="0"/>
    <w:rPr>
      <w:rFonts w:hint="default" w:ascii="Times New Roman" w:hAnsi="Times New Roman" w:cs="Times New Roman"/>
      <w:color w:val="000000"/>
      <w:sz w:val="24"/>
      <w:szCs w:val="24"/>
      <w:u w:val="none"/>
    </w:rPr>
  </w:style>
  <w:style w:type="paragraph" w:customStyle="1" w:styleId="107">
    <w:name w:val="p0"/>
    <w:basedOn w:val="1"/>
    <w:qFormat/>
    <w:uiPriority w:val="0"/>
    <w:pPr>
      <w:widowControl/>
    </w:pPr>
    <w:rPr>
      <w:kern w:val="0"/>
      <w:szCs w:val="21"/>
    </w:rPr>
  </w:style>
  <w:style w:type="paragraph" w:customStyle="1" w:styleId="108">
    <w:name w:val="表格 32"/>
    <w:basedOn w:val="1"/>
    <w:qFormat/>
    <w:uiPriority w:val="99"/>
    <w:pPr>
      <w:autoSpaceDE w:val="0"/>
      <w:autoSpaceDN w:val="0"/>
      <w:spacing w:line="240" w:lineRule="auto"/>
      <w:ind w:firstLine="0" w:firstLineChars="0"/>
      <w:jc w:val="center"/>
      <w:textAlignment w:val="baseline"/>
    </w:pPr>
    <w:rPr>
      <w:rFonts w:eastAsia="楷体_GB2312"/>
      <w:szCs w:val="20"/>
    </w:rPr>
  </w:style>
  <w:style w:type="paragraph" w:customStyle="1" w:styleId="109">
    <w:name w:val="表1表2"/>
    <w:basedOn w:val="1"/>
    <w:qFormat/>
    <w:uiPriority w:val="99"/>
    <w:pPr>
      <w:autoSpaceDE w:val="0"/>
      <w:autoSpaceDN w:val="0"/>
      <w:spacing w:line="240" w:lineRule="auto"/>
      <w:ind w:firstLine="0" w:firstLineChars="0"/>
      <w:jc w:val="center"/>
      <w:textAlignment w:val="center"/>
    </w:pPr>
    <w:rPr>
      <w:rFonts w:eastAsia="仿宋体"/>
      <w:kern w:val="0"/>
      <w:szCs w:val="20"/>
    </w:rPr>
  </w:style>
  <w:style w:type="paragraph" w:customStyle="1" w:styleId="110">
    <w:name w:val="表~表格内容"/>
    <w:basedOn w:val="1"/>
    <w:qFormat/>
    <w:uiPriority w:val="0"/>
    <w:pPr>
      <w:autoSpaceDE w:val="0"/>
      <w:autoSpaceDN w:val="0"/>
      <w:adjustRightInd w:val="0"/>
      <w:snapToGrid w:val="0"/>
      <w:spacing w:line="276" w:lineRule="auto"/>
      <w:jc w:val="center"/>
    </w:pPr>
    <w:rPr>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1.jpeg"/><Relationship Id="rId32" Type="http://schemas.openxmlformats.org/officeDocument/2006/relationships/image" Target="media/image20.jpeg"/><Relationship Id="rId31" Type="http://schemas.openxmlformats.org/officeDocument/2006/relationships/image" Target="media/image19.jpeg"/><Relationship Id="rId30" Type="http://schemas.openxmlformats.org/officeDocument/2006/relationships/image" Target="media/image18.png"/><Relationship Id="rId3" Type="http://schemas.openxmlformats.org/officeDocument/2006/relationships/footer" Target="footer1.xml"/><Relationship Id="rId29" Type="http://schemas.openxmlformats.org/officeDocument/2006/relationships/image" Target="media/image17.jpeg"/><Relationship Id="rId28" Type="http://schemas.openxmlformats.org/officeDocument/2006/relationships/image" Target="media/image16.jpe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oleObject" Target="embeddings/oleObject5.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5"/>
    <customShpInfo spid="_x0000_s2053"/>
  </customShpExts>
</s:customData>
</file>

<file path=customXml/item2.xml><?xml version="1.0" encoding="utf-8"?>
<contractReview xmlns="http://schemas.wps.cn/vas-ai-hub/contract-review">
  <reviewItems>
    <reviewItem>
      <errorID>0073816f-3a3e-4279-8dc1-28485d59e254</errorID>
      <errorWord>(</errorWord>
      <group>L1_Format</group>
      <groupName>格式问题</groupName>
      <ability>L2_HalfPunc</ability>
      <abilityName>全半角检查</abilityName>
      <candidateList>
        <item>（</item>
      </candidateList>
      <explain>文本全半角错误。</explain>
      <paraID>7BD1E240</paraID>
      <start>16</start>
      <end>17</end>
      <status>unmodified</status>
      <modifiedWord/>
      <trackRevisions>false</trackRevisions>
    </reviewItem>
    <reviewItem>
      <errorID>afb1cef4-25fb-4194-9009-8fe60e237f2d</errorID>
      <errorWord>)</errorWord>
      <group>L1_Format</group>
      <groupName>格式问题</groupName>
      <ability>L2_HalfPunc</ability>
      <abilityName>全半角检查</abilityName>
      <candidateList>
        <item>）</item>
      </candidateList>
      <explain>文本全半角错误。</explain>
      <paraID>7BD1E240</paraID>
      <start>19</start>
      <end>20</end>
      <status>unmodified</status>
      <modifiedWord/>
      <trackRevisions>false</trackRevisions>
    </reviewItem>
    <reviewItem>
      <errorID>cf0050a5-c168-43e3-9d63-4e53149b29f4</errorID>
      <errorWord>〔2026】002号</errorWord>
      <group>L1_Knowledge</group>
      <groupName>知识性问题</groupName>
      <ability>L2_Knowledge</ability>
      <abilityName>其他知识</abilityName>
      <candidateList>
        <item>〔2026〕2号</item>
      </candidateList>
      <explain>发文字号格式错误。</explain>
      <paraID>30BA8600</paraID>
      <start>5</start>
      <end>15</end>
      <status>unmodified</status>
      <modifiedWord/>
      <trackRevisions>false</trackRevisions>
    </reviewItem>
    <reviewItem>
      <errorID>d7f3dafd-9aa3-44fd-b82a-283bf29d002d</errorID>
      <errorWord>(</errorWord>
      <group>L1_Format</group>
      <groupName>格式问题</groupName>
      <ability>L2_HalfPunc</ability>
      <abilityName>全半角检查</abilityName>
      <candidateList>
        <item>（</item>
      </candidateList>
      <explain>文本全半角错误。</explain>
      <paraID>13C81ECA</paraID>
      <start>21</start>
      <end>22</end>
      <status>unmodified</status>
      <modifiedWord/>
      <trackRevisions>false</trackRevisions>
    </reviewItem>
    <reviewItem>
      <errorID>f877c4cb-cbbc-4d96-95c9-1aa394b27246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13C81ECA</paraID>
      <start>26</start>
      <end>27</end>
      <status>unmodified</status>
      <modifiedWord/>
      <trackRevisions>false</trackRevisions>
    </reviewItem>
    <reviewItem>
      <errorID>31350388-a4b7-490b-a528-0a529286373d</errorID>
      <errorWord>)</errorWord>
      <group>L1_Format</group>
      <groupName>格式问题</groupName>
      <ability>L2_HalfPunc</ability>
      <abilityName>全半角检查</abilityName>
      <candidateList>
        <item>）</item>
      </candidateList>
      <explain>文本全半角错误。</explain>
      <paraID>13C81ECA</paraID>
      <start>32</start>
      <end>33</end>
      <status>unmodified</status>
      <modifiedWord/>
      <trackRevisions>false</trackRevisions>
    </reviewItem>
    <reviewItem>
      <errorID>00389f42-1957-41cb-aef4-3390cfff8b32</errorID>
      <errorWord>(</errorWord>
      <group>L1_Format</group>
      <groupName>格式问题</groupName>
      <ability>L2_HalfPunc</ability>
      <abilityName>全半角检查</abilityName>
      <candidateList>
        <item>（</item>
      </candidateList>
      <explain>文本全半角错误。</explain>
      <paraID>171582A5</paraID>
      <start>29</start>
      <end>30</end>
      <status>unmodified</status>
      <modifiedWord/>
      <trackRevisions>false</trackRevisions>
    </reviewItem>
    <reviewItem>
      <errorID>81067775-500e-44e7-96db-ff19b16de550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171582A5</paraID>
      <start>34</start>
      <end>35</end>
      <status>unmodified</status>
      <modifiedWord/>
      <trackRevisions>false</trackRevisions>
    </reviewItem>
    <reviewItem>
      <errorID>630c6e80-1b3d-4467-b29b-7f84d7863b89</errorID>
      <errorWord>)</errorWord>
      <group>L1_Format</group>
      <groupName>格式问题</groupName>
      <ability>L2_HalfPunc</ability>
      <abilityName>全半角检查</abilityName>
      <candidateList>
        <item>）</item>
      </candidateList>
      <explain>文本全半角错误。</explain>
      <paraID>171582A5</paraID>
      <start>40</start>
      <end>41</end>
      <status>unmodified</status>
      <modifiedWord/>
      <trackRevisions>false</trackRevisions>
    </reviewItem>
    <reviewItem>
      <errorID>ced877c6-560d-4a7d-bcf8-a2221ceea1f0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2AB359FF</paraID>
      <start>0</start>
      <end>2</end>
      <status>unmodified</status>
      <modifiedWord/>
      <trackRevisions>false</trackRevisions>
    </reviewItem>
    <reviewItem>
      <errorID>7170c85c-ca69-409f-9ea3-fe1c7d616b88</errorID>
      <errorWord>(</errorWord>
      <group>L1_Format</group>
      <groupName>格式问题</groupName>
      <ability>L2_HalfPunc</ability>
      <abilityName>全半角检查</abilityName>
      <candidateList>
        <item>（</item>
      </candidateList>
      <explain>文本全半角错误。</explain>
      <paraID> CFF24B0</paraID>
      <start>62</start>
      <end>63</end>
      <status>unmodified</status>
      <modifiedWord/>
      <trackRevisions>false</trackRevisions>
    </reviewItem>
    <reviewItem>
      <errorID>6d2a7e7c-b17b-48e8-bde8-ecb7c8d87912</errorID>
      <errorWord>)</errorWord>
      <group>L1_Format</group>
      <groupName>格式问题</groupName>
      <ability>L2_HalfPunc</ability>
      <abilityName>全半角检查</abilityName>
      <candidateList>
        <item>）</item>
      </candidateList>
      <explain>文本全半角错误。</explain>
      <paraID> CFF24B0</paraID>
      <start>75</start>
      <end>76</end>
      <status>unmodified</status>
      <modifiedWord/>
      <trackRevisions>false</trackRevisions>
    </reviewItem>
    <reviewItem>
      <errorID>8947151a-f050-4666-8dd3-aceef7442d38</errorID>
      <errorWord>(</errorWord>
      <group>L1_Format</group>
      <groupName>格式问题</groupName>
      <ability>L2_HalfPunc</ability>
      <abilityName>全半角检查</abilityName>
      <candidateList>
        <item>（</item>
      </candidateList>
      <explain>文本全半角错误。</explain>
      <paraID> CFF24B0</paraID>
      <start>106</start>
      <end>107</end>
      <status>unmodified</status>
      <modifiedWord/>
      <trackRevisions>false</trackRevisions>
    </reviewItem>
    <reviewItem>
      <errorID>e00531b8-8926-4384-917f-9af99a541bd2</errorID>
      <errorWord>)</errorWord>
      <group>L1_Format</group>
      <groupName>格式问题</groupName>
      <ability>L2_HalfPunc</ability>
      <abilityName>全半角检查</abilityName>
      <candidateList>
        <item>）</item>
      </candidateList>
      <explain>文本全半角错误。</explain>
      <paraID> CFF24B0</paraID>
      <start>111</start>
      <end>112</end>
      <status>unmodified</status>
      <modifiedWord/>
      <trackRevisions>false</trackRevisions>
    </reviewItem>
    <reviewItem>
      <errorID>a50761f2-a85f-4d10-8439-6b4ccb505bfd</errorID>
      <errorWord>-</errorWord>
      <group>L1_Format</group>
      <groupName>格式问题</groupName>
      <ability>L2_HalfPunc</ability>
      <abilityName>全半角检查</abilityName>
      <candidateList>
        <item>－</item>
      </candidateList>
      <explain>文本全半角错误。</explain>
      <paraID>25F4FC50</paraID>
      <start>38</start>
      <end>39</end>
      <status>unmodified</status>
      <modifiedWord/>
      <trackRevisions>false</trackRevisions>
    </reviewItem>
    <reviewItem>
      <errorID>83beb6ae-77bb-4614-b00e-1eab799e08e1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15326434</paraID>
      <start>0</start>
      <end>2</end>
      <status>unmodified</status>
      <modifiedWord/>
      <trackRevisions>false</trackRevisions>
    </reviewItem>
    <reviewItem>
      <errorID>504f60d9-782c-4432-a33c-d635205e009d</errorID>
      <errorWord>-</errorWord>
      <group>L1_Format</group>
      <groupName>格式问题</groupName>
      <ability>L2_HalfPunc</ability>
      <abilityName>全半角检查</abilityName>
      <candidateList>
        <item>－</item>
      </candidateList>
      <explain>文本全半角错误。</explain>
      <paraID>61D955E7</paraID>
      <start>14</start>
      <end>15</end>
      <status>unmodified</status>
      <modifiedWord/>
      <trackRevisions>false</trackRevisions>
    </reviewItem>
    <reviewItem>
      <errorID>76c2214a-9d33-4f03-a3bd-63acc16e7aad</errorID>
      <errorWord>-</errorWord>
      <group>L1_Format</group>
      <groupName>格式问题</groupName>
      <ability>L2_HalfPunc</ability>
      <abilityName>全半角检查</abilityName>
      <candidateList>
        <item>－</item>
      </candidateList>
      <explain>文本全半角错误。</explain>
      <paraID> 3EAE212</paraID>
      <start>9</start>
      <end>10</end>
      <status>unmodified</status>
      <modifiedWord/>
      <trackRevisions>false</trackRevisions>
    </reviewItem>
    <reviewItem>
      <errorID>cb88bd9c-4a60-4bda-8d55-f95f59495819</errorID>
      <errorWord>(</errorWord>
      <group>L1_Format</group>
      <groupName>格式问题</groupName>
      <ability>L2_HalfPunc</ability>
      <abilityName>全半角检查</abilityName>
      <candidateList>
        <item>（</item>
      </candidateList>
      <explain>文本全半角错误。</explain>
      <paraID>1ACB14E8</paraID>
      <start>349</start>
      <end>350</end>
      <status>unmodified</status>
      <modifiedWord/>
      <trackRevisions>false</trackRevisions>
    </reviewItem>
    <reviewItem>
      <errorID>b109ec5f-3617-4b41-a3bc-1d65e8226355</errorID>
      <errorWord>)</errorWord>
      <group>L1_Format</group>
      <groupName>格式问题</groupName>
      <ability>L2_HalfPunc</ability>
      <abilityName>全半角检查</abilityName>
      <candidateList>
        <item>）</item>
      </candidateList>
      <explain>文本全半角错误。</explain>
      <paraID>1ACB14E8</paraID>
      <start>362</start>
      <end>363</end>
      <status>unmodified</status>
      <modifiedWord/>
      <trackRevisions>false</trackRevisions>
    </reviewItem>
    <reviewItem>
      <errorID>ce7e89b2-eef6-420a-8d1b-117dc9c05480</errorID>
      <errorWord>&lt;</errorWord>
      <group>L1_Format</group>
      <groupName>格式问题</groupName>
      <ability>L2_HalfPunc</ability>
      <abilityName>全半角检查</abilityName>
      <candidateList>
        <item>〈</item>
      </candidateList>
      <explain>文本全半角错误。</explain>
      <paraID>1ACB14E8</paraID>
      <start>404</start>
      <end>405</end>
      <status>unmodified</status>
      <modifiedWord/>
      <trackRevisions>false</trackRevisions>
    </reviewItem>
    <reviewItem>
      <errorID>56db6f3a-4ec4-4f45-bc58-a3d82f10c845</errorID>
      <errorWord>&gt;的通知》</errorWord>
      <group>L1_Punc</group>
      <groupName>标点问题</groupName>
      <ability>L2_Punc</ability>
      <abilityName>标点符号检查</abilityName>
      <candidateList>
        <item>〉的通知》</item>
      </candidateList>
      <explain/>
      <paraID>1ACB14E8</paraID>
      <start>425</start>
      <end>430</end>
      <status>unmodified</status>
      <modifiedWord/>
      <trackRevisions>false</trackRevisions>
    </reviewItem>
    <reviewItem>
      <errorID>afe800d6-4ba4-40bb-b0d9-49ca678e6f00</errorID>
      <errorWord>(</errorWord>
      <group>L1_Format</group>
      <groupName>格式问题</groupName>
      <ability>L2_HalfPunc</ability>
      <abilityName>全半角检查</abilityName>
      <candidateList>
        <item>（</item>
      </candidateList>
      <explain>文本全半角错误。</explain>
      <paraID>1ACB14E8</paraID>
      <start>463</start>
      <end>464</end>
      <status>unmodified</status>
      <modifiedWord/>
      <trackRevisions>false</trackRevisions>
    </reviewItem>
    <reviewItem>
      <errorID>8ba255d9-c482-48d8-93e7-8b75541110df</errorID>
      <errorWord>)</errorWord>
      <group>L1_Format</group>
      <groupName>格式问题</groupName>
      <ability>L2_HalfPunc</ability>
      <abilityName>全半角检查</abilityName>
      <candidateList>
        <item>）</item>
      </candidateList>
      <explain>文本全半角错误。</explain>
      <paraID>1ACB14E8</paraID>
      <start>486</start>
      <end>487</end>
      <status>unmodified</status>
      <modifiedWord/>
      <trackRevisions>false</trackRevisions>
    </reviewItem>
    <reviewItem>
      <errorID>f56bf4ba-d24a-40a7-b239-d43fec1e31ce</errorID>
      <errorWord>-</errorWord>
      <group>L1_Format</group>
      <groupName>格式问题</groupName>
      <ability>L2_HalfPunc</ability>
      <abilityName>全半角检查</abilityName>
      <candidateList>
        <item>－</item>
      </candidateList>
      <explain>文本全半角错误。</explain>
      <paraID>18FEAAD4</paraID>
      <start>13</start>
      <end>14</end>
      <status>unmodified</status>
      <modifiedWord/>
      <trackRevisions>false</trackRevisions>
    </reviewItem>
    <reviewItem>
      <errorID>be8a7b74-40be-4146-98bc-cbc3abd786c8</errorID>
      <errorWord>)</errorWord>
      <group>L1_Format</group>
      <groupName>格式问题</groupName>
      <ability>L2_HalfPunc</ability>
      <abilityName>全半角检查</abilityName>
      <candidateList>
        <item>）</item>
      </candidateList>
      <explain>文本全半角错误。</explain>
      <paraID>788932C6</paraID>
      <start>65</start>
      <end>66</end>
      <status>unmodified</status>
      <modifiedWord/>
      <trackRevisions>false</trackRevisions>
    </reviewItem>
    <reviewItem>
      <errorID>bbf547dc-574e-42a8-8f83-5bbc2bcf30bd</errorID>
      <errorWord>)</errorWord>
      <group>L1_Format</group>
      <groupName>格式问题</groupName>
      <ability>L2_HalfPunc</ability>
      <abilityName>全半角检查</abilityName>
      <candidateList>
        <item>）</item>
      </candidateList>
      <explain>文本全半角错误。</explain>
      <paraID>788932C6</paraID>
      <start>98</start>
      <end>99</end>
      <status>unmodified</status>
      <modifiedWord/>
      <trackRevisions>false</trackRevisions>
    </reviewItem>
    <reviewItem>
      <errorID>14406e45-edd9-410f-9cb3-9e93ace2e450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1C4020D9</paraID>
      <start>0</start>
      <end>2</end>
      <status>unmodified</status>
      <modifiedWord/>
      <trackRevisions>false</trackRevisions>
    </reviewItem>
    <reviewItem>
      <errorID>b129af0d-a443-4d54-8d73-47f6dff89f3b</errorID>
      <errorWord>(</errorWord>
      <group>L1_Format</group>
      <groupName>格式问题</groupName>
      <ability>L2_HalfPunc</ability>
      <abilityName>全半角检查</abilityName>
      <candidateList>
        <item>（</item>
      </candidateList>
      <explain>文本全半角错误。</explain>
      <paraID>208947DD</paraID>
      <start>18</start>
      <end>19</end>
      <status>unmodified</status>
      <modifiedWord/>
      <trackRevisions>false</trackRevisions>
    </reviewItem>
    <reviewItem>
      <errorID>4d6ae6f0-374d-4a1e-afbd-71f517da8468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208947DD</paraID>
      <start>23</start>
      <end>24</end>
      <status>unmodified</status>
      <modifiedWord/>
      <trackRevisions>false</trackRevisions>
    </reviewItem>
    <reviewItem>
      <errorID>c802e7f7-eebd-490f-a974-49afb6ce1ccd</errorID>
      <errorWord>)</errorWord>
      <group>L1_Format</group>
      <groupName>格式问题</groupName>
      <ability>L2_HalfPunc</ability>
      <abilityName>全半角检查</abilityName>
      <candidateList>
        <item>）</item>
      </candidateList>
      <explain>文本全半角错误。</explain>
      <paraID>208947DD</paraID>
      <start>29</start>
      <end>30</end>
      <status>unmodified</status>
      <modifiedWord/>
      <trackRevisions>false</trackRevisions>
    </reviewItem>
    <reviewItem>
      <errorID>0f4be17d-bda2-423c-8609-818208658c12</errorID>
      <errorWord>(</errorWord>
      <group>L1_Format</group>
      <groupName>格式问题</groupName>
      <ability>L2_HalfPunc</ability>
      <abilityName>全半角检查</abilityName>
      <candidateList>
        <item>（</item>
      </candidateList>
      <explain>文本全半角错误。</explain>
      <paraID>1B292627</paraID>
      <start>18</start>
      <end>19</end>
      <status>unmodified</status>
      <modifiedWord/>
      <trackRevisions>false</trackRevisions>
    </reviewItem>
    <reviewItem>
      <errorID>662416ef-6193-40ee-8ed0-f4891daf46ad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1B292627</paraID>
      <start>23</start>
      <end>24</end>
      <status>unmodified</status>
      <modifiedWord/>
      <trackRevisions>false</trackRevisions>
    </reviewItem>
    <reviewItem>
      <errorID>8ec52121-ccaa-46a9-8a63-2c9d98dfe153</errorID>
      <errorWord>)</errorWord>
      <group>L1_Format</group>
      <groupName>格式问题</groupName>
      <ability>L2_HalfPunc</ability>
      <abilityName>全半角检查</abilityName>
      <candidateList>
        <item>）</item>
      </candidateList>
      <explain>文本全半角错误。</explain>
      <paraID>1B292627</paraID>
      <start>29</start>
      <end>30</end>
      <status>unmodified</status>
      <modifiedWord/>
      <trackRevisions>false</trackRevisions>
    </reviewItem>
    <reviewItem>
      <errorID>552eb9e8-d331-443b-908a-97c8aff84296</errorID>
      <errorWord>-</errorWord>
      <group>L1_Format</group>
      <groupName>格式问题</groupName>
      <ability>L2_HalfPunc</ability>
      <abilityName>全半角检查</abilityName>
      <candidateList>
        <item>－</item>
      </candidateList>
      <explain>文本全半角错误。</explain>
      <paraID>64B2858A</paraID>
      <start>38</start>
      <end>39</end>
      <status>unmodified</status>
      <modifiedWord/>
      <trackRevisions>false</trackRevisions>
    </reviewItem>
    <reviewItem>
      <errorID>2ceb4d27-cf62-439d-ba56-04e687d7317d</errorID>
      <errorWord>-</errorWord>
      <group>L1_Format</group>
      <groupName>格式问题</groupName>
      <ability>L2_HalfPunc</ability>
      <abilityName>全半角检查</abilityName>
      <candidateList>
        <item>－</item>
      </candidateList>
      <explain>文本全半角错误。</explain>
      <paraID> 36896B9</paraID>
      <start>14</start>
      <end>15</end>
      <status>unmodified</status>
      <modifiedWord/>
      <trackRevisions>false</trackRevisions>
    </reviewItem>
    <reviewItem>
      <errorID>d3550e5d-545a-4443-bae3-6a558fab2e6d</errorID>
      <errorWord>-</errorWord>
      <group>L1_Format</group>
      <groupName>格式问题</groupName>
      <ability>L2_HalfPunc</ability>
      <abilityName>全半角检查</abilityName>
      <candidateList>
        <item>－</item>
      </candidateList>
      <explain>文本全半角错误。</explain>
      <paraID> 9868E8F</paraID>
      <start>14</start>
      <end>15</end>
      <status>unmodified</status>
      <modifiedWord/>
      <trackRevisions>false</trackRevisions>
    </reviewItem>
    <reviewItem>
      <errorID>ddd3eaab-929a-4457-a3d4-7f403bbb4a00</errorID>
      <errorWord>-</errorWord>
      <group>L1_Format</group>
      <groupName>格式问题</groupName>
      <ability>L2_HalfPunc</ability>
      <abilityName>全半角检查</abilityName>
      <candidateList>
        <item>－</item>
      </candidateList>
      <explain>文本全半角错误。</explain>
      <paraID> 9868E8F</paraID>
      <start>23</start>
      <end>24</end>
      <status>unmodified</status>
      <modifiedWord/>
      <trackRevisions>false</trackRevisions>
    </reviewItem>
    <reviewItem>
      <errorID>75733f10-fd2b-4e88-9946-01207dd1f979</errorID>
      <errorWord>-</errorWord>
      <group>L1_Format</group>
      <groupName>格式问题</groupName>
      <ability>L2_HalfPunc</ability>
      <abilityName>全半角检查</abilityName>
      <candidateList>
        <item>－</item>
      </candidateList>
      <explain>文本全半角错误。</explain>
      <paraID> 9868E8F</paraID>
      <start>98</start>
      <end>99</end>
      <status>unmodified</status>
      <modifiedWord/>
      <trackRevisions>false</trackRevisions>
    </reviewItem>
    <reviewItem>
      <errorID>8a013d0c-2986-4c19-8040-2c52d5741cbe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4802F57B</paraID>
      <start>0</start>
      <end>2</end>
      <status>unmodified</status>
      <modifiedWord/>
      <trackRevisions>false</trackRevisions>
    </reviewItem>
    <reviewItem>
      <errorID>bed4a0c7-c0c6-41cf-8777-66a3f1a90e4e</errorID>
      <errorWord>(</errorWord>
      <group>L1_Format</group>
      <groupName>格式问题</groupName>
      <ability>L2_HalfPunc</ability>
      <abilityName>全半角检查</abilityName>
      <candidateList>
        <item>（</item>
      </candidateList>
      <explain>文本全半角错误。</explain>
      <paraID>3155DD06</paraID>
      <start>58</start>
      <end>59</end>
      <status>unmodified</status>
      <modifiedWord/>
      <trackRevisions>false</trackRevisions>
    </reviewItem>
    <reviewItem>
      <errorID>346624ae-82e0-4e38-b289-f4ca97d95b5d</errorID>
      <errorWord>)</errorWord>
      <group>L1_Format</group>
      <groupName>格式问题</groupName>
      <ability>L2_HalfPunc</ability>
      <abilityName>全半角检查</abilityName>
      <candidateList>
        <item>）</item>
      </candidateList>
      <explain>文本全半角错误。</explain>
      <paraID>3155DD06</paraID>
      <start>61</start>
      <end>62</end>
      <status>unmodified</status>
      <modifiedWord/>
      <trackRevisions>false</trackRevisions>
    </reviewItem>
    <reviewItem>
      <errorID>c3c3e326-5353-427f-bfe7-fac8fae3f5b8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900956E</paraID>
      <start>0</start>
      <end>2</end>
      <status>unmodified</status>
      <modifiedWord/>
      <trackRevisions>false</trackRevisions>
    </reviewItem>
    <reviewItem>
      <errorID>2859a837-af54-43c7-a423-c99fe8284829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5CD97EA</paraID>
      <start>0</start>
      <end>2</end>
      <status>unmodified</status>
      <modifiedWord/>
      <trackRevisions>false</trackRevisions>
    </reviewItem>
    <reviewItem>
      <errorID>bbeb83b6-425a-4524-938a-0341a2e218cc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34509D8D</paraID>
      <start>0</start>
      <end>2</end>
      <status>unmodified</status>
      <modifiedWord/>
      <trackRevisions>false</trackRevisions>
    </reviewItem>
    <reviewItem>
      <errorID>410512d7-6635-4453-a96c-7ad9d22ec7b9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7D63662A</paraID>
      <start>0</start>
      <end>2</end>
      <status>unmodified</status>
      <modifiedWord/>
      <trackRevisions>false</trackRevisions>
    </reviewItem>
    <reviewItem>
      <errorID>1f0d18ce-4a2a-41b5-ae21-3104c91ee1d8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388E2D8</paraID>
      <start>0</start>
      <end>2</end>
      <status>unmodified</status>
      <modifiedWord/>
      <trackRevisions>false</trackRevisions>
    </reviewItem>
    <reviewItem>
      <errorID>efa996b7-baf6-48e5-8a1b-e5d15fc46083</errorID>
      <errorWord>其它</errorWord>
      <group>L1_Word</group>
      <groupName>字词问题</groupName>
      <ability>L2_Alias</ability>
      <abilityName>也作/曾用词</abilityName>
      <candidateList>
        <item>其他</item>
      </candidateList>
      <explain>词汇[其它]为不规范表述或旧称，其规范书面表述为[其他]。</explain>
      <paraID>29B69403</paraID>
      <start>3</start>
      <end>5</end>
      <status>ignored</status>
      <modifiedWord/>
      <trackRevisions>false</trackRevisions>
    </reviewItem>
    <reviewItem>
      <errorID>4a8544b1-5db8-44a7-8397-e9bfbe50f674</errorID>
      <errorWord>常驻</errorWord>
      <group>L1_Word</group>
      <groupName>字词问题</groupName>
      <ability>L2_Typo</ability>
      <abilityName>字词错误</abilityName>
      <candidateList>
        <item>常住</item>
      </candidateList>
      <explain/>
      <paraID>29B69403</paraID>
      <start>62</start>
      <end>64</end>
      <status>modified</status>
      <modifiedWord>常住</modifiedWord>
      <trackRevisions>false</trackRevisions>
    </reviewItem>
    <reviewItem>
      <errorID>c10104c8-ad50-4464-a45e-229aaf5aea81</errorID>
      <errorWord>(</errorWord>
      <group>L1_Format</group>
      <groupName>格式问题</groupName>
      <ability>L2_HalfPunc</ability>
      <abilityName>全半角检查</abilityName>
      <candidateList>
        <item>（</item>
      </candidateList>
      <explain>文本全半角错误。</explain>
      <paraID>1E8C5C7E</paraID>
      <start>78</start>
      <end>79</end>
      <status>unmodified</status>
      <modifiedWord/>
      <trackRevisions>false</trackRevisions>
    </reviewItem>
    <reviewItem>
      <errorID>5dc78787-614f-4788-8b44-5f0f12efca22</errorID>
      <errorWord>)</errorWord>
      <group>L1_Format</group>
      <groupName>格式问题</groupName>
      <ability>L2_HalfPunc</ability>
      <abilityName>全半角检查</abilityName>
      <candidateList>
        <item>）</item>
      </candidateList>
      <explain>文本全半角错误。</explain>
      <paraID>1E8C5C7E</paraID>
      <start>92</start>
      <end>93</end>
      <status>unmodified</status>
      <modifiedWord/>
      <trackRevisions>false</trackRevisions>
    </reviewItem>
    <reviewItem>
      <errorID>6b384eee-1e61-48f8-85d5-965a45497aef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41F0C8E4</paraID>
      <start>0</start>
      <end>2</end>
      <status>unmodified</status>
      <modifiedWord/>
      <trackRevisions>false</trackRevisions>
    </reviewItem>
    <reviewItem>
      <errorID>96190434-831f-4717-8f92-22b291402eb9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641EED14</paraID>
      <start>0</start>
      <end>2</end>
      <status>unmodified</status>
      <modifiedWord/>
      <trackRevisions>false</trackRevisions>
    </reviewItem>
    <reviewItem>
      <errorID>ed877aa9-5b87-4e93-875f-658e9f9f193f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56D1C0A5</paraID>
      <start>0</start>
      <end>2</end>
      <status>unmodified</status>
      <modifiedWord/>
      <trackRevisions>false</trackRevisions>
    </reviewItem>
    <reviewItem>
      <errorID>627839c8-2a86-4707-8c23-e485c3d76bcf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12B91952</paraID>
      <start>0</start>
      <end>2</end>
      <status>unmodified</status>
      <modifiedWord/>
      <trackRevisions>false</trackRevisions>
    </reviewItem>
    <reviewItem>
      <errorID>3dc0e308-1b05-4c84-b567-1a65a8dac935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F41C819</paraID>
      <start>0</start>
      <end>2</end>
      <status>unmodified</status>
      <modifiedWord/>
      <trackRevisions>false</trackRevisions>
    </reviewItem>
    <reviewItem>
      <errorID>0fb351fa-b214-4620-9ef4-7937643bb6c8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6B013E3B</paraID>
      <start>0</start>
      <end>2</end>
      <status>unmodified</status>
      <modifiedWord/>
      <trackRevisions>false</trackRevisions>
    </reviewItem>
    <reviewItem>
      <errorID>45e84503-566a-4527-bbf5-9f92c5e2ba58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3E45B012</paraID>
      <start>0</start>
      <end>2</end>
      <status>unmodified</status>
      <modifiedWord/>
      <trackRevisions>false</trackRevisions>
    </reviewItem>
    <reviewItem>
      <errorID>a574f140-d490-428b-ba89-bea583bc175b</errorID>
      <errorWord>(</errorWord>
      <group>L1_Format</group>
      <groupName>格式问题</groupName>
      <ability>L2_HalfPunc</ability>
      <abilityName>全半角检查</abilityName>
      <candidateList>
        <item>（</item>
      </candidateList>
      <explain>文本全半角错误。</explain>
      <paraID> E1F9903</paraID>
      <start>325</start>
      <end>326</end>
      <status>unmodified</status>
      <modifiedWord/>
      <trackRevisions>false</trackRevisions>
    </reviewItem>
    <reviewItem>
      <errorID>77836362-aa9c-4dab-844f-f191366b0737</errorID>
      <errorWord>)</errorWord>
      <group>L1_Format</group>
      <groupName>格式问题</groupName>
      <ability>L2_HalfPunc</ability>
      <abilityName>全半角检查</abilityName>
      <candidateList>
        <item>）</item>
      </candidateList>
      <explain>文本全半角错误。</explain>
      <paraID> E1F9903</paraID>
      <start>335</start>
      <end>336</end>
      <status>unmodified</status>
      <modifiedWord/>
      <trackRevisions>false</trackRevisions>
    </reviewItem>
    <reviewItem>
      <errorID>7c20fb41-1b0a-4581-9b01-baaaef22010f</errorID>
      <errorWord>(</errorWord>
      <group>L1_Format</group>
      <groupName>格式问题</groupName>
      <ability>L2_HalfPunc</ability>
      <abilityName>全半角检查</abilityName>
      <candidateList>
        <item>（</item>
      </candidateList>
      <explain>文本全半角错误。</explain>
      <paraID> E1F9903</paraID>
      <start>550</start>
      <end>551</end>
      <status>unmodified</status>
      <modifiedWord/>
      <trackRevisions>false</trackRevisions>
    </reviewItem>
    <reviewItem>
      <errorID>ec213f90-d991-4c47-ae56-4683538cf85f</errorID>
      <errorWord>)</errorWord>
      <group>L1_Format</group>
      <groupName>格式问题</groupName>
      <ability>L2_HalfPunc</ability>
      <abilityName>全半角检查</abilityName>
      <candidateList>
        <item>）</item>
      </candidateList>
      <explain>文本全半角错误。</explain>
      <paraID> E1F9903</paraID>
      <start>560</start>
      <end>561</end>
      <status>unmodified</status>
      <modifiedWord/>
      <trackRevisions>false</trackRevisions>
    </reviewItem>
    <reviewItem>
      <errorID>509b2d32-307d-432b-94d5-a2b94bb85546</errorID>
      <errorWord>(</errorWord>
      <group>L1_Format</group>
      <groupName>格式问题</groupName>
      <ability>L2_HalfPunc</ability>
      <abilityName>全半角检查</abilityName>
      <candidateList>
        <item>（</item>
      </candidateList>
      <explain>文本全半角错误。</explain>
      <paraID>5A9D9B24</paraID>
      <start>38</start>
      <end>39</end>
      <status>unmodified</status>
      <modifiedWord/>
      <trackRevisions>false</trackRevisions>
    </reviewItem>
    <reviewItem>
      <errorID>37cf488a-5308-4f25-99fe-575403474742</errorID>
      <errorWord>)</errorWord>
      <group>L1_Format</group>
      <groupName>格式问题</groupName>
      <ability>L2_HalfPunc</ability>
      <abilityName>全半角检查</abilityName>
      <candidateList>
        <item>）</item>
      </candidateList>
      <explain>文本全半角错误。</explain>
      <paraID>5A9D9B24</paraID>
      <start>52</start>
      <end>53</end>
      <status>unmodified</status>
      <modifiedWord/>
      <trackRevisions>false</trackRevisions>
    </reviewItem>
    <reviewItem>
      <errorID>a7ee8ded-24bd-438d-b4a9-bfcd57b3d9d7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220B232B</paraID>
      <start>5</start>
      <end>6</end>
      <status>unmodified</status>
      <modifiedWord/>
      <trackRevisions>false</trackRevisions>
    </reviewItem>
    <reviewItem>
      <errorID>8459e0cb-2327-4c7f-ae11-fe6323a7dd50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49BB0FD</paraID>
      <start>0</start>
      <end>2</end>
      <status>unmodified</status>
      <modifiedWord/>
      <trackRevisions>false</trackRevisions>
    </reviewItem>
    <reviewItem>
      <errorID>f10fe98d-9d3c-4590-9ada-8b19b25d6efc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6B4E6459</paraID>
      <start>0</start>
      <end>2</end>
      <status>unmodified</status>
      <modifiedWord/>
      <trackRevisions>false</trackRevisions>
    </reviewItem>
    <reviewItem>
      <errorID>b861ec3f-8dc4-4da4-8573-bd6812601241</errorID>
      <errorWord>程</errorWord>
      <group>L1_Word</group>
      <groupName>字词问题</groupName>
      <ability>L2_Typo</ability>
      <abilityName>字词错误</abilityName>
      <candidateList>
        <item>程中</item>
      </candidateList>
      <explain/>
      <paraID> C56F306</paraID>
      <start>64</start>
      <end>65</end>
      <status>ignored</status>
      <modifiedWord/>
      <trackRevisions>false</trackRevisions>
    </reviewItem>
    <reviewItem>
      <errorID>d5b8f892-d6e1-4090-aab0-4ce32a6de50f</errorID>
      <errorWord>上线</errorWord>
      <group>L1_Word</group>
      <groupName>字词问题</groupName>
      <ability>L2_Typo</ability>
      <abilityName>字词错误</abilityName>
      <candidateList>
        <item>上限</item>
      </candidateList>
      <explain/>
      <paraID> C56F306</paraID>
      <start>101</start>
      <end>103</end>
      <status>ignored</status>
      <modifiedWord/>
      <trackRevisions>false</trackRevisions>
    </reviewItem>
    <reviewItem>
      <errorID>581692af-72bc-49df-9af7-2503c2eba1e6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20788EA</paraID>
      <start>0</start>
      <end>2</end>
      <status>unmodified</status>
      <modifiedWord/>
      <trackRevisions>false</trackRevisions>
    </reviewItem>
    <reviewItem>
      <errorID>e6c33dc2-10bd-4f98-ba7a-e05d6644e5aa</errorID>
      <errorWord>(</errorWord>
      <group>L1_Format</group>
      <groupName>格式问题</groupName>
      <ability>L2_HalfPunc</ability>
      <abilityName>全半角检查</abilityName>
      <candidateList>
        <item>（</item>
      </candidateList>
      <explain>文本全半角错误。</explain>
      <paraID>2311DA56</paraID>
      <start>32</start>
      <end>33</end>
      <status>unmodified</status>
      <modifiedWord/>
      <trackRevisions>false</trackRevisions>
    </reviewItem>
    <reviewItem>
      <errorID>ed8de46f-a1b3-462c-9c47-026392b54ee2</errorID>
      <errorWord>)</errorWord>
      <group>L1_Format</group>
      <groupName>格式问题</groupName>
      <ability>L2_HalfPunc</ability>
      <abilityName>全半角检查</abilityName>
      <candidateList>
        <item>）</item>
      </candidateList>
      <explain>文本全半角错误。</explain>
      <paraID>2311DA56</paraID>
      <start>54</start>
      <end>55</end>
      <status>unmodified</status>
      <modifiedWord/>
      <trackRevisions>false</trackRevisions>
    </reviewItem>
    <reviewItem>
      <errorID>6529ad35-67c9-4848-a94e-0cc795f78b79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2311DA56</paraID>
      <start>128</start>
      <end>129</end>
      <status>unmodified</status>
      <modifiedWord/>
      <trackRevisions>false</trackRevisions>
    </reviewItem>
    <reviewItem>
      <errorID>a86ee3fe-12d4-4369-b546-e390fa5f4739</errorID>
      <errorWord>-</errorWord>
      <group>L1_Format</group>
      <groupName>格式问题</groupName>
      <ability>L2_HalfPunc</ability>
      <abilityName>全半角检查</abilityName>
      <candidateList>
        <item>－</item>
      </candidateList>
      <explain>文本全半角错误。</explain>
      <paraID>5F713EE5</paraID>
      <start>22</start>
      <end>23</end>
      <status>unmodified</status>
      <modifiedWord/>
      <trackRevisions>false</trackRevisions>
    </reviewItem>
    <reviewItem>
      <errorID>69b9ef46-5170-4c24-9305-dd9f17c3ff8c</errorID>
      <errorWord>-</errorWord>
      <group>L1_Format</group>
      <groupName>格式问题</groupName>
      <ability>L2_HalfPunc</ability>
      <abilityName>全半角检查</abilityName>
      <candidateList>
        <item>－</item>
      </candidateList>
      <explain>文本全半角错误。</explain>
      <paraID>5F713EE5</paraID>
      <start>31</start>
      <end>32</end>
      <status>unmodified</status>
      <modifiedWord/>
      <trackRevisions>false</trackRevisions>
    </reviewItem>
    <reviewItem>
      <errorID>b392073d-e0c7-41be-9d91-365e1b32909b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3EF6DCCE</paraID>
      <start>0</start>
      <end>2</end>
      <status>unmodified</status>
      <modifiedWord/>
      <trackRevisions>false</trackRevisions>
    </reviewItem>
    <reviewItem>
      <errorID>aac7f71b-1b7f-444f-a208-25f5d84c95a6</errorID>
      <errorWord>2026年02月10日</errorWord>
      <group>L1_Knowledge</group>
      <groupName>知识性问题</groupName>
      <ability>L2_Time</ability>
      <abilityName>日期时间</abilityName>
      <candidateList>
        <item>2026年2月10日</item>
      </candidateList>
      <explain>根据日常书写习惯，月份一般会省略前导零。</explain>
      <paraID> 5D154E5</paraID>
      <start>117</start>
      <end>128</end>
      <status>unmodified</status>
      <modifiedWord/>
      <trackRevisions>false</trackRevisions>
    </reviewItem>
    <reviewItem>
      <errorID>c062f6a2-756e-46f7-80c8-cb8c3c3b37e1</errorID>
      <errorWord>〔2026】002号</errorWord>
      <group>L1_Knowledge</group>
      <groupName>知识性问题</groupName>
      <ability>L2_Knowledge</ability>
      <abilityName>其他知识</abilityName>
      <candidateList>
        <item>〔2026〕2号</item>
      </candidateList>
      <explain>发文字号格式错误。</explain>
      <paraID> 5D154E5</paraID>
      <start>159</start>
      <end>169</end>
      <status>unmodified</status>
      <modifiedWord/>
      <trackRevisions>false</trackRevisions>
    </reviewItem>
    <reviewItem>
      <errorID>1d9f5123-3e6e-49a4-8133-4d4937a5059f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613CC31E</paraID>
      <start>0</start>
      <end>2</end>
      <status>unmodified</status>
      <modifiedWord/>
      <trackRevisions>false</trackRevisions>
    </reviewItem>
    <reviewItem>
      <errorID>eb714375-71c0-4451-b0d4-1e759cf6752b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26EC2632</paraID>
      <start>58</start>
      <end>59</end>
      <status>unmodified</status>
      <modifiedWord/>
      <trackRevisions>false</trackRevisions>
    </reviewItem>
    <reviewItem>
      <errorID>a941b695-7e7f-4628-876a-2a3b57563108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2AC7110</paraID>
      <start>0</start>
      <end>2</end>
      <status>unmodified</status>
      <modifiedWord/>
      <trackRevisions>false</trackRevisions>
    </reviewItem>
    <reviewItem>
      <errorID>c4f7471e-908e-4538-83e3-deb883077645</errorID>
      <errorWord>(</errorWord>
      <group>L1_Format</group>
      <groupName>格式问题</groupName>
      <ability>L2_HalfPunc</ability>
      <abilityName>全半角检查</abilityName>
      <candidateList>
        <item>（</item>
      </candidateList>
      <explain>文本全半角错误。</explain>
      <paraID> 2AC7110</paraID>
      <start>38</start>
      <end>39</end>
      <status>unmodified</status>
      <modifiedWord/>
      <trackRevisions>false</trackRevisions>
    </reviewItem>
    <reviewItem>
      <errorID>076edc3b-0ac3-4d94-bb6e-399be7468a90</errorID>
      <errorWord>)</errorWord>
      <group>L1_Format</group>
      <groupName>格式问题</groupName>
      <ability>L2_HalfPunc</ability>
      <abilityName>全半角检查</abilityName>
      <candidateList>
        <item>）</item>
      </candidateList>
      <explain>文本全半角错误。</explain>
      <paraID> 2AC7110</paraID>
      <start>51</start>
      <end>52</end>
      <status>unmodified</status>
      <modifiedWord/>
      <trackRevisions>false</trackRevisions>
    </reviewItem>
    <reviewItem>
      <errorID>5e446eed-587c-42fd-9efc-e377b3a4d52e</errorID>
      <errorWord>(</errorWord>
      <group>L1_Format</group>
      <groupName>格式问题</groupName>
      <ability>L2_HalfPunc</ability>
      <abilityName>全半角检查</abilityName>
      <candidateList>
        <item>（</item>
      </candidateList>
      <explain>文本全半角错误。</explain>
      <paraID>627A98F0</paraID>
      <start>36</start>
      <end>37</end>
      <status>unmodified</status>
      <modifiedWord/>
      <trackRevisions>false</trackRevisions>
    </reviewItem>
    <reviewItem>
      <errorID>2f0d2cde-1bd3-463e-a7a0-e3a799f1c352</errorID>
      <errorWord>)</errorWord>
      <group>L1_Format</group>
      <groupName>格式问题</groupName>
      <ability>L2_HalfPunc</ability>
      <abilityName>全半角检查</abilityName>
      <candidateList>
        <item>）</item>
      </candidateList>
      <explain>文本全半角错误。</explain>
      <paraID>627A98F0</paraID>
      <start>49</start>
      <end>50</end>
      <status>unmodified</status>
      <modifiedWord/>
      <trackRevisions>false</trackRevisions>
    </reviewItem>
    <reviewItem>
      <errorID>4906eef3-902b-4252-aa20-d08616cabb83</errorID>
      <errorWord>(</errorWord>
      <group>L1_Format</group>
      <groupName>格式问题</groupName>
      <ability>L2_HalfPunc</ability>
      <abilityName>全半角检查</abilityName>
      <candidateList>
        <item>（</item>
      </candidateList>
      <explain>文本全半角错误。</explain>
      <paraID>3474039C</paraID>
      <start>16</start>
      <end>17</end>
      <status>unmodified</status>
      <modifiedWord/>
      <trackRevisions>false</trackRevisions>
    </reviewItem>
    <reviewItem>
      <errorID>f00b6df8-d931-4679-929e-2b5b6aa3fcd8</errorID>
      <errorWord>)</errorWord>
      <group>L1_Format</group>
      <groupName>格式问题</groupName>
      <ability>L2_HalfPunc</ability>
      <abilityName>全半角检查</abilityName>
      <candidateList>
        <item>）</item>
      </candidateList>
      <explain>文本全半角错误。</explain>
      <paraID>3474039C</paraID>
      <start>20</start>
      <end>21</end>
      <status>unmodified</status>
      <modifiedWord/>
      <trackRevisions>false</trackRevisions>
    </reviewItem>
    <reviewItem>
      <errorID>69b9e319-9ede-4c53-838c-8fe3fb62d313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39749371</paraID>
      <start>4</start>
      <end>6</end>
      <status>unmodified</status>
      <modifiedWord/>
      <trackRevisions>false</trackRevisions>
    </reviewItem>
    <reviewItem>
      <errorID>a67a9bf4-bc94-4f05-8857-2b5e7120a19e</errorID>
      <errorWord>上线</errorWord>
      <group>L1_Word</group>
      <groupName>字词问题</groupName>
      <ability>L2_Typo</ability>
      <abilityName>字词错误</abilityName>
      <candidateList>
        <item>上限</item>
      </candidateList>
      <explain/>
      <paraID>39749371</paraID>
      <start>34</start>
      <end>36</end>
      <status>ignored</status>
      <modifiedWord/>
      <trackRevisions>false</trackRevisions>
    </reviewItem>
    <reviewItem>
      <errorID>6aba4659-9411-43ec-a1a1-e6700f5276d8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4994BCCA</paraID>
      <start>0</start>
      <end>2</end>
      <status>unmodified</status>
      <modifiedWord/>
      <trackRevisions>false</trackRevisions>
    </reviewItem>
    <reviewItem>
      <errorID>ef0219e7-965c-485d-9cc2-b97b952e387f</errorID>
      <errorWord>上线</errorWord>
      <group>L1_Word</group>
      <groupName>字词问题</groupName>
      <ability>L2_Typo</ability>
      <abilityName>字词错误</abilityName>
      <candidateList>
        <item>上限</item>
      </candidateList>
      <explain>存在发音相同字词的误用。</explain>
      <paraID>53E18E50</paraID>
      <start>65</start>
      <end>67</end>
      <status>ignored</status>
      <modifiedWord/>
      <trackRevisions>false</trackRevisions>
    </reviewItem>
    <reviewItem>
      <errorID>c4b6f59b-9d0c-4fe0-92d7-30e01e5d8b4a</errorID>
      <errorWord>-</errorWord>
      <group>L1_Format</group>
      <groupName>格式问题</groupName>
      <ability>L2_HalfPunc</ability>
      <abilityName>全半角检查</abilityName>
      <candidateList>
        <item>－</item>
      </candidateList>
      <explain>文本全半角错误。</explain>
      <paraID>625C0931</paraID>
      <start>18</start>
      <end>19</end>
      <status>unmodified</status>
      <modifiedWord/>
      <trackRevisions>false</trackRevisions>
    </reviewItem>
    <reviewItem>
      <errorID>7ca7cd03-7cab-4169-9a68-3fae7e4a8fc1</errorID>
      <errorWord>(</errorWord>
      <group>L1_Format</group>
      <groupName>格式问题</groupName>
      <ability>L2_HalfPunc</ability>
      <abilityName>全半角检查</abilityName>
      <candidateList>
        <item>（</item>
      </candidateList>
      <explain>文本全半角错误。</explain>
      <paraID>625C0931</paraID>
      <start>62</start>
      <end>63</end>
      <status>unmodified</status>
      <modifiedWord/>
      <trackRevisions>false</trackRevisions>
    </reviewItem>
    <reviewItem>
      <errorID>1a72ba7c-a305-4a53-a651-7063df8d6961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11853053</paraID>
      <start>0</start>
      <end>2</end>
      <status>unmodified</status>
      <modifiedWord/>
      <trackRevisions>false</trackRevisions>
    </reviewItem>
    <reviewItem>
      <errorID>c8034905-d22f-40e8-80b8-beba624adb0c</errorID>
      <errorWord>三线一单</errorWord>
      <group>L1_Political</group>
      <groupName>政治性问题</groupName>
      <ability>L2_Keyword</ability>
      <abilityName>固定表述</abilityName>
      <candidateList>
        <item>‘三线一单’</item>
      </candidateList>
      <explain>注意检查当前固定表述标点是否使用规范。</explain>
      <paraID>1E37EAFC</paraID>
      <start>34</start>
      <end>38</end>
      <status>unmodified</status>
      <modifiedWord/>
      <trackRevisions>false</trackRevisions>
    </reviewItem>
    <reviewItem>
      <errorID>31503cbc-66e4-4957-9a41-e5d9d9912131</errorID>
      <errorWord>-</errorWord>
      <group>L1_Format</group>
      <groupName>格式问题</groupName>
      <ability>L2_HalfPunc</ability>
      <abilityName>全半角检查</abilityName>
      <candidateList>
        <item>－</item>
      </candidateList>
      <explain>文本全半角错误。</explain>
      <paraID>1E37EAFC</paraID>
      <start>42</start>
      <end>43</end>
      <status>unmodified</status>
      <modifiedWord/>
      <trackRevisions>false</trackRevisions>
    </reviewItem>
    <reviewItem>
      <errorID>d9c448a4-41c1-4b9f-93f5-fc96a166a5f5</errorID>
      <errorWord>布</errorWord>
      <group>L1_Word</group>
      <groupName>字词问题</groupName>
      <ability>L2_Typo</ability>
      <abilityName>字词错误</abilityName>
      <candidateList>
        <item>不</item>
      </candidateList>
      <explain/>
      <paraID>78B506ED</paraID>
      <start>0</start>
      <end>1</end>
      <status>ignored</status>
      <modifiedWord/>
      <trackRevisions>false</trackRevisions>
    </reviewItem>
    <reviewItem>
      <errorID>b31a68eb-a779-4db8-bd3f-cd6451a786f4</errorID>
      <errorWord>控目</errorWord>
      <group>L1_Word</group>
      <groupName>字词问题</groupName>
      <ability>L2_Typo</ability>
      <abilityName>字词错误</abilityName>
      <candidateList>
        <item>项目</item>
      </candidateList>
      <explain>〈名〉事物分成的门类：服务～｜体育～｜建设～。</explain>
      <paraID>5805013E</paraID>
      <start>0</start>
      <end>2</end>
      <status>ignored</status>
      <modifiedWord/>
      <trackRevisions>false</trackRevisions>
    </reviewItem>
    <reviewItem>
      <errorID>bbca0422-e21b-42e4-8c07-97eda66cd400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375ACDAB</paraID>
      <start>0</start>
      <end>2</end>
      <status>unmodified</status>
      <modifiedWord/>
      <trackRevisions>false</trackRevisions>
    </reviewItem>
    <reviewItem>
      <errorID>2644d42a-f82c-42d7-833d-0a9104a8232a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5258980B</paraID>
      <start>0</start>
      <end>2</end>
      <status>unmodified</status>
      <modifiedWord/>
      <trackRevisions>false</trackRevisions>
    </reviewItem>
    <reviewItem>
      <errorID>d2186c1c-fc18-43f5-af5b-c5a0fb4c6947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35918C7C</paraID>
      <start>0</start>
      <end>2</end>
      <status>unmodified</status>
      <modifiedWord/>
      <trackRevisions>false</trackRevisions>
    </reviewItem>
    <reviewItem>
      <errorID>6d46574f-59c2-4c78-b3c8-7455a378f838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2CC7FC28</paraID>
      <start>0</start>
      <end>2</end>
      <status>unmodified</status>
      <modifiedWord/>
      <trackRevisions>false</trackRevisions>
    </reviewItem>
    <reviewItem>
      <errorID>bc62dff1-2840-43dd-a774-b6068e275e6b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340DB0A2</paraID>
      <start>0</start>
      <end>2</end>
      <status>unmodified</status>
      <modifiedWord/>
      <trackRevisions>false</trackRevisions>
    </reviewItem>
    <reviewItem>
      <errorID>f2f001e6-0dc7-4377-95bb-8cdfb14cb6fe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1C083B3F</paraID>
      <start>0</start>
      <end>2</end>
      <status>unmodified</status>
      <modifiedWord/>
      <trackRevisions>false</trackRevisions>
    </reviewItem>
    <reviewItem>
      <errorID>0aed46ab-7889-4c40-8750-8f3db1ef485a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4E8F4645</paraID>
      <start>0</start>
      <end>2</end>
      <status>unmodified</status>
      <modifiedWord/>
      <trackRevisions>false</trackRevisions>
    </reviewItem>
    <reviewItem>
      <errorID>6638cf19-6ba2-47ab-8638-786b8430dfb0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4EAC1AE0</paraID>
      <start>0</start>
      <end>2</end>
      <status>unmodified</status>
      <modifiedWord/>
      <trackRevisions>false</trackRevisions>
    </reviewItem>
    <reviewItem>
      <errorID>c5264f26-b1eb-4fa7-b057-6d169344381b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7A0A1850</paraID>
      <start>0</start>
      <end>2</end>
      <status>unmodified</status>
      <modifiedWord/>
      <trackRevisions>false</trackRevisions>
    </reviewItem>
    <reviewItem>
      <errorID>76f084f6-3e1f-4695-9124-44460aa36aa4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3EB7194C</paraID>
      <start>0</start>
      <end>3</end>
      <status>unmodified</status>
      <modifiedWord/>
      <trackRevisions>false</trackRevisions>
    </reviewItem>
    <reviewItem>
      <errorID>d31bf2f8-df77-4a5e-ad99-ca1a7512a261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781E59CF</paraID>
      <start>0</start>
      <end>3</end>
      <status>unmodified</status>
      <modifiedWord/>
      <trackRevisions>false</trackRevisions>
    </reviewItem>
    <reviewItem>
      <errorID>7706e8b3-8c47-41c5-b2c6-baa08fcb7076</errorID>
      <errorWord>(</errorWord>
      <group>L1_Format</group>
      <groupName>格式问题</groupName>
      <ability>L2_HalfPunc</ability>
      <abilityName>全半角检查</abilityName>
      <candidateList>
        <item>（</item>
      </candidateList>
      <explain>文本全半角错误。</explain>
      <paraID>5458349D</paraID>
      <start>9</start>
      <end>10</end>
      <status>unmodified</status>
      <modifiedWord/>
      <trackRevisions>false</trackRevisions>
    </reviewItem>
    <reviewItem>
      <errorID>bb75d695-4c52-4fac-b618-10756e7e058d</errorID>
      <errorWord>)</errorWord>
      <group>L1_Format</group>
      <groupName>格式问题</groupName>
      <ability>L2_HalfPunc</ability>
      <abilityName>全半角检查</abilityName>
      <candidateList>
        <item>）</item>
      </candidateList>
      <explain>文本全半角错误。</explain>
      <paraID>5458349D</paraID>
      <start>20</start>
      <end>21</end>
      <status>unmodified</status>
      <modifiedWord/>
      <trackRevisions>false</trackRevisions>
    </reviewItem>
    <reviewItem>
      <errorID>524e183e-0f48-4072-9311-3d2f0e7d0d23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449E3580</paraID>
      <start>0</start>
      <end>2</end>
      <status>unmodified</status>
      <modifiedWord/>
      <trackRevisions>false</trackRevisions>
    </reviewItem>
    <reviewItem>
      <errorID>e927706f-4654-4348-95a3-c987fb6b863d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17358FDE</paraID>
      <start>0</start>
      <end>2</end>
      <status>unmodified</status>
      <modifiedWord/>
      <trackRevisions>false</trackRevisions>
    </reviewItem>
    <reviewItem>
      <errorID>c8f0e8e6-d402-42f5-9293-2013e62d13a8</errorID>
      <errorWord>(</errorWord>
      <group>L1_Format</group>
      <groupName>格式问题</groupName>
      <ability>L2_HalfPunc</ability>
      <abilityName>全半角检查</abilityName>
      <candidateList>
        <item>（</item>
      </candidateList>
      <explain>文本全半角错误。</explain>
      <paraID>17358FDE</paraID>
      <start>22</start>
      <end>23</end>
      <status>unmodified</status>
      <modifiedWord/>
      <trackRevisions>false</trackRevisions>
    </reviewItem>
    <reviewItem>
      <errorID>e0136790-f094-4a09-8693-69aa63cf9051</errorID>
      <errorWord>)</errorWord>
      <group>L1_Format</group>
      <groupName>格式问题</groupName>
      <ability>L2_HalfPunc</ability>
      <abilityName>全半角检查</abilityName>
      <candidateList>
        <item>）</item>
      </candidateList>
      <explain>文本全半角错误。</explain>
      <paraID>17358FDE</paraID>
      <start>24</start>
      <end>25</end>
      <status>unmodified</status>
      <modifiedWord/>
      <trackRevisions>false</trackRevisions>
    </reviewItem>
    <reviewItem>
      <errorID>a0839c05-5d4f-43e0-be88-41df63509c3b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5E10FF44</paraID>
      <start>0</start>
      <end>2</end>
      <status>unmodified</status>
      <modifiedWord/>
      <trackRevisions>false</trackRevisions>
    </reviewItem>
    <reviewItem>
      <errorID>9b0f5647-9074-41b3-8b66-f8d1f9fe45de</errorID>
      <errorWord>(</errorWord>
      <group>L1_Format</group>
      <groupName>格式问题</groupName>
      <ability>L2_HalfPunc</ability>
      <abilityName>全半角检查</abilityName>
      <candidateList>
        <item>（</item>
      </candidateList>
      <explain>文本全半角错误。</explain>
      <paraID>7D47F6CC</paraID>
      <start>23</start>
      <end>24</end>
      <status>unmodified</status>
      <modifiedWord/>
      <trackRevisions>false</trackRevisions>
    </reviewItem>
    <reviewItem>
      <errorID>9ce393dc-674e-4748-9a3d-253c1bd761be</errorID>
      <errorWord>)</errorWord>
      <group>L1_Format</group>
      <groupName>格式问题</groupName>
      <ability>L2_HalfPunc</ability>
      <abilityName>全半角检查</abilityName>
      <candidateList>
        <item>）</item>
      </candidateList>
      <explain>文本全半角错误。</explain>
      <paraID>7D47F6CC</paraID>
      <start>25</start>
      <end>26</end>
      <status>unmodified</status>
      <modifiedWord/>
      <trackRevisions>false</trackRevisions>
    </reviewItem>
    <reviewItem>
      <errorID>2a045f7c-3fc2-4829-b163-973783d91d61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32EC43FC</paraID>
      <start>0</start>
      <end>2</end>
      <status>unmodified</status>
      <modifiedWord/>
      <trackRevisions>false</trackRevisions>
    </reviewItem>
    <reviewItem>
      <errorID>59861cb4-1cd9-4da3-8a26-098ea49308f4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57917F53</paraID>
      <start>0</start>
      <end>2</end>
      <status>unmodified</status>
      <modifiedWord/>
      <trackRevisions>false</trackRevisions>
    </reviewItem>
    <reviewItem>
      <errorID>208f7ef3-6eb9-45a6-8625-9473d786c72a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1A1B2017</paraID>
      <start>0</start>
      <end>2</end>
      <status>unmodified</status>
      <modifiedWord/>
      <trackRevisions>false</trackRevisions>
    </reviewItem>
    <reviewItem>
      <errorID>660a6ac3-c742-4e81-9dc3-29f6eed06ff1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12F3460F</paraID>
      <start>0</start>
      <end>2</end>
      <status>unmodified</status>
      <modifiedWord/>
      <trackRevisions>false</trackRevisions>
    </reviewItem>
    <reviewItem>
      <errorID>d2cb50a7-1abe-46e4-8436-9e0f09ca1956</errorID>
      <errorWord>3-5千</errorWord>
      <group>L1_Knowledge</group>
      <groupName>知识性问题</groupName>
      <ability>L2_Knowledge</ability>
      <abilityName>其他知识</abilityName>
      <candidateList>
        <item>3千—5千</item>
      </candidateList>
      <explain>1. “3-5千”中的单位“千”仅出现在后一个数字上，容易引起歧义；根据《现代汉语标点符号数字用法规范手册》，数字表示范围两边需要使用统一的格式。2. 根据标点国标 4.13 中的规则，数字、时间或地域连接符应使用（视觉上更长的）“—”或“～”。</explain>
      <paraID>6F7EFA09</paraID>
      <start>12</start>
      <end>16</end>
      <status>unmodified</status>
      <modifiedWord/>
      <trackRevisions>false</trackRevisions>
    </reviewItem>
    <reviewItem>
      <errorID>f69d88ea-5440-447a-89fa-b9bae467df94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6F7EFA09</paraID>
      <start>23</start>
      <end>24</end>
      <status>unmodified</status>
      <modifiedWord/>
      <trackRevisions>false</trackRevisions>
    </reviewItem>
    <reviewItem>
      <errorID>5aaf0624-2da8-46dd-8fc3-e55312b16f53</errorID>
      <errorWord>控目</errorWord>
      <group>L1_Word</group>
      <groupName>字词问题</groupName>
      <ability>L2_Typo</ability>
      <abilityName>字词错误</abilityName>
      <candidateList>
        <item>项目</item>
      </candidateList>
      <explain>〈名〉事物分成的门类：服务～｜体育～｜建设～。</explain>
      <paraID>4C9BEB57</paraID>
      <start>0</start>
      <end>2</end>
      <status>ignored</status>
      <modifiedWord/>
      <trackRevisions>false</trackRevisions>
    </reviewItem>
    <reviewItem>
      <errorID>dc37edf4-0d28-49b5-99a3-4f0d39c03cce</errorID>
      <errorWord>(</errorWord>
      <group>L1_Format</group>
      <groupName>格式问题</groupName>
      <ability>L2_HalfPunc</ability>
      <abilityName>全半角检查</abilityName>
      <candidateList>
        <item>（</item>
      </candidateList>
      <explain>文本全半角错误。</explain>
      <paraID>61B5B7E4</paraID>
      <start>79</start>
      <end>80</end>
      <status>unmodified</status>
      <modifiedWord/>
      <trackRevisions>false</trackRevisions>
    </reviewItem>
    <reviewItem>
      <errorID>e71ea833-3110-415b-b6a0-b754df27da7e</errorID>
      <errorWord>)</errorWord>
      <group>L1_Format</group>
      <groupName>格式问题</groupName>
      <ability>L2_HalfPunc</ability>
      <abilityName>全半角检查</abilityName>
      <candidateList>
        <item>）</item>
      </candidateList>
      <explain>文本全半角错误。</explain>
      <paraID>61B5B7E4</paraID>
      <start>82</start>
      <end>83</end>
      <status>unmodified</status>
      <modifiedWord/>
      <trackRevisions>false</trackRevisions>
    </reviewItem>
    <reviewItem>
      <errorID>f2511a06-ce23-45b1-ab0d-fe64c470a37b</errorID>
      <errorWord>(</errorWord>
      <group>L1_Format</group>
      <groupName>格式问题</groupName>
      <ability>L2_HalfPunc</ability>
      <abilityName>全半角检查</abilityName>
      <candidateList>
        <item>（</item>
      </candidateList>
      <explain>文本全半角错误。</explain>
      <paraID> A5F60D5</paraID>
      <start>6</start>
      <end>7</end>
      <status>unmodified</status>
      <modifiedWord/>
      <trackRevisions>false</trackRevisions>
    </reviewItem>
    <reviewItem>
      <errorID>63296a0a-3b79-4ed2-9a24-3a32506e1eb9</errorID>
      <errorWord>)</errorWord>
      <group>L1_Format</group>
      <groupName>格式问题</groupName>
      <ability>L2_HalfPunc</ability>
      <abilityName>全半角检查</abilityName>
      <candidateList>
        <item>）</item>
      </candidateList>
      <explain>文本全半角错误。</explain>
      <paraID> A5F60D5</paraID>
      <start>9</start>
      <end>10</end>
      <status>unmodified</status>
      <modifiedWord/>
      <trackRevisions>false</trackRevisions>
    </reviewItem>
    <reviewItem>
      <errorID>e2f817d0-2f63-417d-941c-e3e35d2df0fb</errorID>
      <errorWord>生活灰水</errorWord>
      <group>L1_Knowledge</group>
      <groupName>知识性问题</groupName>
      <ability>L2_Term</ability>
      <abilityName>专业术语</abilityName>
      <candidateList>
        <item>生活污水</item>
      </candidateList>
      <explain/>
      <paraID> A5F60D5</paraID>
      <start>59</start>
      <end>63</end>
      <status>unmodified</status>
      <modifiedWord/>
      <trackRevisions>false</trackRevisions>
    </reviewItem>
    <reviewItem>
      <errorID>83a10dd9-eb39-4557-a3ae-5a5a788f58a4</errorID>
      <errorWord>(</errorWord>
      <group>L1_Format</group>
      <groupName>格式问题</groupName>
      <ability>L2_HalfPunc</ability>
      <abilityName>全半角检查</abilityName>
      <candidateList>
        <item>（</item>
      </candidateList>
      <explain>文本全半角错误。</explain>
      <paraID>5CCAF605</paraID>
      <start>50</start>
      <end>51</end>
      <status>unmodified</status>
      <modifiedWord/>
      <trackRevisions>false</trackRevisions>
    </reviewItem>
    <reviewItem>
      <errorID>55a0ce0b-2938-450a-b799-99d9b51fcff1</errorID>
      <errorWord>)</errorWord>
      <group>L1_Format</group>
      <groupName>格式问题</groupName>
      <ability>L2_HalfPunc</ability>
      <abilityName>全半角检查</abilityName>
      <candidateList>
        <item>）</item>
      </candidateList>
      <explain>文本全半角错误。</explain>
      <paraID>5CCAF605</paraID>
      <start>52</start>
      <end>53</end>
      <status>unmodified</status>
      <modifiedWord/>
      <trackRevisions>false</trackRevisions>
    </reviewItem>
    <reviewItem>
      <errorID>4ed92632-3f9b-44d4-b4e0-d95ccdb04e33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60DA4BB</paraID>
      <start>0</start>
      <end>2</end>
      <status>unmodified</status>
      <modifiedWord/>
      <trackRevisions>false</trackRevisions>
    </reviewItem>
    <reviewItem>
      <errorID>9487c7ef-f88f-4880-81a2-a343d0906848</errorID>
      <errorWord>)</errorWord>
      <group>L1_Format</group>
      <groupName>格式问题</groupName>
      <ability>L2_HalfPunc</ability>
      <abilityName>全半角检查</abilityName>
      <candidateList>
        <item>）</item>
      </candidateList>
      <explain>文本全半角错误。</explain>
      <paraID> 75F6E61</paraID>
      <start>28</start>
      <end>29</end>
      <status>unmodified</status>
      <modifiedWord/>
      <trackRevisions>false</trackRevisions>
    </reviewItem>
    <reviewItem>
      <errorID>6a30e3d9-e9c3-4e38-b3fe-d01cce7139de</errorID>
      <errorWord>(</errorWord>
      <group>L1_Format</group>
      <groupName>格式问题</groupName>
      <ability>L2_HalfPunc</ability>
      <abilityName>全半角检查</abilityName>
      <candidateList>
        <item>（</item>
      </candidateList>
      <explain>文本全半角错误。</explain>
      <paraID>54AD6088</paraID>
      <start>28</start>
      <end>29</end>
      <status>unmodified</status>
      <modifiedWord/>
      <trackRevisions>false</trackRevisions>
    </reviewItem>
    <reviewItem>
      <errorID>bcd26577-95bd-4fa4-849c-6370cda7560a</errorID>
      <errorWord>)</errorWord>
      <group>L1_Format</group>
      <groupName>格式问题</groupName>
      <ability>L2_HalfPunc</ability>
      <abilityName>全半角检查</abilityName>
      <candidateList>
        <item>）</item>
      </candidateList>
      <explain>文本全半角错误。</explain>
      <paraID>54AD6088</paraID>
      <start>31</start>
      <end>32</end>
      <status>unmodified</status>
      <modifiedWord/>
      <trackRevisions>false</trackRevisions>
    </reviewItem>
    <reviewItem>
      <errorID>ade81834-34d9-4323-a3aa-0673d0986422</errorID>
      <errorWord>(</errorWord>
      <group>L1_Format</group>
      <groupName>格式问题</groupName>
      <ability>L2_HalfPunc</ability>
      <abilityName>全半角检查</abilityName>
      <candidateList>
        <item>（</item>
      </candidateList>
      <explain>文本全半角错误。</explain>
      <paraID>51DDE513</paraID>
      <start>12</start>
      <end>13</end>
      <status>unmodified</status>
      <modifiedWord/>
      <trackRevisions>false</trackRevisions>
    </reviewItem>
    <reviewItem>
      <errorID>ef3c6168-9964-4767-ba98-2ea55315d038</errorID>
      <errorWord>)</errorWord>
      <group>L1_Format</group>
      <groupName>格式问题</groupName>
      <ability>L2_HalfPunc</ability>
      <abilityName>全半角检查</abilityName>
      <candidateList>
        <item>）</item>
      </candidateList>
      <explain>文本全半角错误。</explain>
      <paraID>51DDE513</paraID>
      <start>14</start>
      <end>15</end>
      <status>unmodified</status>
      <modifiedWord/>
      <trackRevisions>false</trackRevisions>
    </reviewItem>
    <reviewItem>
      <errorID>324183d8-bfd5-40d7-a6a0-75279676183f</errorID>
      <errorWord>布</errorWord>
      <group>L1_Word</group>
      <groupName>字词问题</groupName>
      <ability>L2_Typo</ability>
      <abilityName>字词错误</abilityName>
      <candidateList>
        <item>不</item>
      </candidateList>
      <explain/>
      <paraID>55BBAE39</paraID>
      <start>0</start>
      <end>1</end>
      <status>ignored</status>
      <modifiedWord/>
      <trackRevisions>false</trackRevisions>
    </reviewItem>
    <reviewItem>
      <errorID>56341752-513d-4777-813f-82975ed53a7f</errorID>
      <errorWord>》</errorWord>
      <group>L1_Word</group>
      <groupName>字词问题</groupName>
      <ability>L2_Typo</ability>
      <abilityName>字词错误</abilityName>
      <candidateList>
        <item>》和</item>
      </candidateList>
      <explain/>
      <paraID>525DF6B9</paraID>
      <start>36</start>
      <end>37</end>
      <status>ignored</status>
      <modifiedWord/>
      <trackRevisions>false</trackRevisions>
    </reviewItem>
    <reviewItem>
      <errorID>0de959fb-687f-4af9-b4c1-d8fbd200083c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73A173EF</paraID>
      <start>0</start>
      <end>2</end>
      <status>unmodified</status>
      <modifiedWord/>
      <trackRevisions>false</trackRevisions>
    </reviewItem>
    <reviewItem>
      <errorID>f9275f83-87c6-49bc-b3c1-1b5bbf1e0e70</errorID>
      <errorWord>石蜡油</errorWord>
      <group>L1_Knowledge</group>
      <groupName>知识性问题</groupName>
      <ability>L2_Term</ability>
      <abilityName>专业术语</abilityName>
      <candidateList>
        <item>液状石蜡</item>
      </candidateList>
      <explain>医学名词[石蜡油]为不规范表述或旧称，其规范书面表述为[液状石蜡]。</explain>
      <paraID>301680F8</paraID>
      <start>78</start>
      <end>81</end>
      <status>unmodified</status>
      <modifiedWord/>
      <trackRevisions>false</trackRevisions>
    </reviewItem>
    <reviewItem>
      <errorID>ed3952fd-9043-4159-a708-a06010e23348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2700C876</paraID>
      <start>0</start>
      <end>2</end>
      <status>unmodified</status>
      <modifiedWord/>
      <trackRevisions>false</trackRevisions>
    </reviewItem>
    <reviewItem>
      <errorID>55025699-658c-4f63-9384-06f2715f7cd1</errorID>
      <errorWord>【2023】326号</errorWord>
      <group>L1_Knowledge</group>
      <groupName>知识性问题</groupName>
      <ability>L2_Knowledge</ability>
      <abilityName>其他知识</abilityName>
      <candidateList>
        <item>〔2023〕326号</item>
      </candidateList>
      <explain>发文字号格式错误。</explain>
      <paraID>2700C876</paraID>
      <start>72</start>
      <end>82</end>
      <status>unmodified</status>
      <modifiedWord/>
      <trackRevisions>false</trackRevisions>
    </reviewItem>
    <reviewItem>
      <errorID>bfb1eefb-16c8-4ade-9e1b-77f41b2d86f6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74078525</paraID>
      <start>17</start>
      <end>18</end>
      <status>unmodified</status>
      <modifiedWord/>
      <trackRevisions>false</trackRevisions>
    </reviewItem>
    <reviewItem>
      <errorID>a0b41321-cdeb-44c8-bdf8-6e38b3ecefea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74078525</paraID>
      <start>24</start>
      <end>27</end>
      <status>unmodified</status>
      <modifiedWord/>
      <trackRevisions>false</trackRevisions>
    </reviewItem>
    <reviewItem>
      <errorID>05d64195-0c49-4a3b-a7dc-4acd3f25a1ed</errorID>
      <errorWord>【2023】326号</errorWord>
      <group>L1_Knowledge</group>
      <groupName>知识性问题</groupName>
      <ability>L2_Knowledge</ability>
      <abilityName>其他知识</abilityName>
      <candidateList>
        <item>〔2023〕326号</item>
      </candidateList>
      <explain>发文字号格式错误。</explain>
      <paraID>74078525</paraID>
      <start>68</start>
      <end>78</end>
      <status>unmodified</status>
      <modifiedWord/>
      <trackRevisions>false</trackRevisions>
    </reviewItem>
    <reviewItem>
      <errorID>cbe190e5-f9d0-4878-8fad-fd2a3aed1f08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6B664901</paraID>
      <start>0</start>
      <end>2</end>
      <status>unmodified</status>
      <modifiedWord/>
      <trackRevisions>false</trackRevisions>
    </reviewItem>
    <reviewItem>
      <errorID>33a4d095-b763-4c86-8d47-7516dc0bba3b</errorID>
      <errorWord>(</errorWord>
      <group>L1_Format</group>
      <groupName>格式问题</groupName>
      <ability>L2_HalfPunc</ability>
      <abilityName>全半角检查</abilityName>
      <candidateList>
        <item>（</item>
      </candidateList>
      <explain>文本全半角错误。</explain>
      <paraID>62E1597E</paraID>
      <start>11</start>
      <end>12</end>
      <status>unmodified</status>
      <modifiedWord/>
      <trackRevisions>false</trackRevisions>
    </reviewItem>
    <reviewItem>
      <errorID>6de74db2-75de-4082-b3de-d6bbad9c5da9</errorID>
      <errorWord>)</errorWord>
      <group>L1_Format</group>
      <groupName>格式问题</groupName>
      <ability>L2_HalfPunc</ability>
      <abilityName>全半角检查</abilityName>
      <candidateList>
        <item>）</item>
      </candidateList>
      <explain>文本全半角错误。</explain>
      <paraID>62E1597E</paraID>
      <start>14</start>
      <end>15</end>
      <status>unmodified</status>
      <modifiedWord/>
      <trackRevisions>false</trackRevisions>
    </reviewItem>
    <reviewItem>
      <errorID>b4908d4a-45a9-4c08-8cc4-df2c96e8a158</errorID>
      <errorWord>(</errorWord>
      <group>L1_Format</group>
      <groupName>格式问题</groupName>
      <ability>L2_HalfPunc</ability>
      <abilityName>全半角检查</abilityName>
      <candidateList>
        <item>（</item>
      </candidateList>
      <explain>文本全半角错误。</explain>
      <paraID> 94EAEEE</paraID>
      <start>94</start>
      <end>95</end>
      <status>unmodified</status>
      <modifiedWord/>
      <trackRevisions>false</trackRevisions>
    </reviewItem>
    <reviewItem>
      <errorID>2670e0cb-1872-493f-aafb-b91adcd14362</errorID>
      <errorWord>)</errorWord>
      <group>L1_Format</group>
      <groupName>格式问题</groupName>
      <ability>L2_HalfPunc</ability>
      <abilityName>全半角检查</abilityName>
      <candidateList>
        <item>）</item>
      </candidateList>
      <explain>文本全半角错误。</explain>
      <paraID> 94EAEEE</paraID>
      <start>97</start>
      <end>98</end>
      <status>unmodified</status>
      <modifiedWord/>
      <trackRevisions>false</trackRevisions>
    </reviewItem>
    <reviewItem>
      <errorID>2b3693f6-4800-4162-89cb-3db7bd03247a</errorID>
      <errorWord>;</errorWord>
      <group>L1_Format</group>
      <groupName>格式问题</groupName>
      <ability>L2_HalfPunc</ability>
      <abilityName>全半角检查</abilityName>
      <candidateList>
        <item>；</item>
      </candidateList>
      <explain>文本全半角错误。</explain>
      <paraID>43F608B9</paraID>
      <start>43</start>
      <end>44</end>
      <status>unmodified</status>
      <modifiedWord/>
      <trackRevisions>false</trackRevisions>
    </reviewItem>
    <reviewItem>
      <errorID>8a34352a-bf29-4e26-bcf3-34a2c25d5623</errorID>
      <errorWord>;</errorWord>
      <group>L1_Format</group>
      <groupName>格式问题</groupName>
      <ability>L2_HalfPunc</ability>
      <abilityName>全半角检查</abilityName>
      <candidateList>
        <item>；</item>
      </candidateList>
      <explain>文本全半角错误。</explain>
      <paraID> 108BED7</paraID>
      <start>43</start>
      <end>44</end>
      <status>unmodified</status>
      <modifiedWord/>
      <trackRevisions>false</trackRevisions>
    </reviewItem>
    <reviewItem>
      <errorID>a80af7ad-87fb-494a-a956-a6170a0d809c</errorID>
      <errorWord>;</errorWord>
      <group>L1_Format</group>
      <groupName>格式问题</groupName>
      <ability>L2_HalfPunc</ability>
      <abilityName>全半角检查</abilityName>
      <candidateList>
        <item>；</item>
      </candidateList>
      <explain>文本全半角错误。</explain>
      <paraID>37810323</paraID>
      <start>37</start>
      <end>38</end>
      <status>unmodified</status>
      <modifiedWord/>
      <trackRevisions>false</trackRevisions>
    </reviewItem>
    <reviewItem>
      <errorID>f67fe8f4-84c5-4aa9-8b3a-362ce5c55e53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79727612</paraID>
      <start>0</start>
      <end>2</end>
      <status>unmodified</status>
      <modifiedWord/>
      <trackRevisions>false</trackRevisions>
    </reviewItem>
    <reviewItem>
      <errorID>383008eb-9c02-48fe-abaa-3c9ef2a3085e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4F05FDCA</paraID>
      <start>0</start>
      <end>2</end>
      <status>unmodified</status>
      <modifiedWord/>
      <trackRevisions>false</trackRevisions>
    </reviewItem>
    <reviewItem>
      <errorID>94dac620-139f-4a4e-8bee-37c5758585e4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7A516880</paraID>
      <start>0</start>
      <end>2</end>
      <status>unmodified</status>
      <modifiedWord/>
      <trackRevisions>false</trackRevisions>
    </reviewItem>
    <reviewItem>
      <errorID>685e9284-e718-4842-a911-51a59b290ca5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5677EA0C</paraID>
      <start>0</start>
      <end>2</end>
      <status>unmodified</status>
      <modifiedWord/>
      <trackRevisions>false</trackRevisions>
    </reviewItem>
    <reviewItem>
      <errorID>beb8dbdc-6ddd-410e-b4f6-9251235f4734</errorID>
      <errorWord>方</errorWord>
      <group>L1_Word</group>
      <groupName>字词问题</groupName>
      <ability>L2_Typo</ability>
      <abilityName>字词错误</abilityName>
      <candidateList>
        <item>方米</item>
      </candidateList>
      <explain/>
      <paraID> CD6A6BC</paraID>
      <start>94</start>
      <end>95</end>
      <status>ignored</status>
      <modifiedWord/>
      <trackRevisions>false</trackRevisions>
    </reviewItem>
    <reviewItem>
      <errorID>3833a5ef-a168-4ac7-8f25-526c53bbc130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CD6A6BC</paraID>
      <start>96</start>
      <end>97</end>
      <status>unmodified</status>
      <modifiedWord/>
      <trackRevisions>false</trackRevisions>
    </reviewItem>
    <reviewItem>
      <errorID>9e795b3f-f631-4f38-9420-e347868a502e</errorID>
      <errorWord>废水</errorWord>
      <group>L1_Word</group>
      <groupName>字词问题</groupName>
      <ability>L2_Typo</ability>
      <abilityName>字词错误</abilityName>
      <candidateList>
        <item>耗水</item>
      </candidateList>
      <explain/>
      <paraID>262698D6</paraID>
      <start>22</start>
      <end>24</end>
      <status>ignored</status>
      <modifiedWord/>
      <trackRevisions>false</trackRevisions>
    </reviewItem>
    <reviewItem>
      <errorID>b4caff66-9c99-44da-ac22-559ba2bb12cc</errorID>
      <errorWord>计</errorWord>
      <group>L1_Word</group>
      <groupName>字词问题</groupName>
      <ability>L2_Typo</ability>
      <abilityName>字词错误</abilityName>
      <candidateList>
        <item>计算</item>
      </candidateList>
      <explain/>
      <paraID> BBCC474</paraID>
      <start>17</start>
      <end>18</end>
      <status>ignored</status>
      <modifiedWord/>
      <trackRevisions>false</trackRevisions>
    </reviewItem>
    <reviewItem>
      <errorID>5284e5c4-c33e-481c-8eeb-9624a45d0932</errorID>
      <errorWord>（</errorWord>
      <group>L1_Format</group>
      <groupName>格式问题</groupName>
      <ability>L2_HalfPunc</ability>
      <abilityName>全半角检查</abilityName>
      <candidateList>
        <item>(</item>
      </candidateList>
      <explain>文本全半角错误。</explain>
      <paraID>28E6B927</paraID>
      <start>4</start>
      <end>5</end>
      <status>unmodified</status>
      <modifiedWord/>
      <trackRevisions>false</trackRevisions>
    </reviewItem>
    <reviewItem>
      <errorID>6f804b33-d9f5-48c2-9082-de4e293a23b6</errorID>
      <errorWord>）</errorWord>
      <group>L1_Format</group>
      <groupName>格式问题</groupName>
      <ability>L2_HalfPunc</ability>
      <abilityName>全半角检查</abilityName>
      <candidateList>
        <item>)</item>
      </candidateList>
      <explain>文本全半角错误。</explain>
      <paraID>28E6B927</paraID>
      <start>6</start>
      <end>7</end>
      <status>unmodified</status>
      <modifiedWord/>
      <trackRevisions>false</trackRevisions>
    </reviewItem>
    <reviewItem>
      <errorID>09ec3589-a879-4e70-8b62-c5ee95749907</errorID>
      <errorWord>（</errorWord>
      <group>L1_Format</group>
      <groupName>格式问题</groupName>
      <ability>L2_HalfPunc</ability>
      <abilityName>全半角检查</abilityName>
      <candidateList>
        <item>(</item>
      </candidateList>
      <explain>文本全半角错误。</explain>
      <paraID>4B525C60</paraID>
      <start>4</start>
      <end>5</end>
      <status>unmodified</status>
      <modifiedWord/>
      <trackRevisions>false</trackRevisions>
    </reviewItem>
    <reviewItem>
      <errorID>b0bb0719-a9af-4396-933a-9d7535a702cb</errorID>
      <errorWord>）</errorWord>
      <group>L1_Format</group>
      <groupName>格式问题</groupName>
      <ability>L2_HalfPunc</ability>
      <abilityName>全半角检查</abilityName>
      <candidateList>
        <item>)</item>
      </candidateList>
      <explain>文本全半角错误。</explain>
      <paraID>4B525C60</paraID>
      <start>6</start>
      <end>7</end>
      <status>unmodified</status>
      <modifiedWord/>
      <trackRevisions>false</trackRevisions>
    </reviewItem>
    <reviewItem>
      <errorID>8ff95d42-be13-4b6d-a5d1-5de4f654b09c</errorID>
      <errorWord>（</errorWord>
      <group>L1_Format</group>
      <groupName>格式问题</groupName>
      <ability>L2_HalfPunc</ability>
      <abilityName>全半角检查</abilityName>
      <candidateList>
        <item>(</item>
      </candidateList>
      <explain>文本全半角错误。</explain>
      <paraID>2E2BBF71</paraID>
      <start>5</start>
      <end>6</end>
      <status>unmodified</status>
      <modifiedWord/>
      <trackRevisions>false</trackRevisions>
    </reviewItem>
    <reviewItem>
      <errorID>74bb3d2c-a349-43ca-973b-ac1f7d33f0c9</errorID>
      <errorWord>）</errorWord>
      <group>L1_Format</group>
      <groupName>格式问题</groupName>
      <ability>L2_HalfPunc</ability>
      <abilityName>全半角检查</abilityName>
      <candidateList>
        <item>)</item>
      </candidateList>
      <explain>文本全半角错误。</explain>
      <paraID>2E2BBF71</paraID>
      <start>7</start>
      <end>8</end>
      <status>unmodified</status>
      <modifiedWord/>
      <trackRevisions>false</trackRevisions>
    </reviewItem>
    <reviewItem>
      <errorID>3383c9c1-7d9e-465b-9b28-24bc466e5c47</errorID>
      <errorWord>（</errorWord>
      <group>L1_Format</group>
      <groupName>格式问题</groupName>
      <ability>L2_HalfPunc</ability>
      <abilityName>全半角检查</abilityName>
      <candidateList>
        <item>(</item>
      </candidateList>
      <explain>文本全半角错误。</explain>
      <paraID> BE9305D</paraID>
      <start>2</start>
      <end>3</end>
      <status>unmodified</status>
      <modifiedWord/>
      <trackRevisions>false</trackRevisions>
    </reviewItem>
    <reviewItem>
      <errorID>b4dd0d25-47c1-428d-b838-7d71f4890e35</errorID>
      <errorWord>）</errorWord>
      <group>L1_Format</group>
      <groupName>格式问题</groupName>
      <ability>L2_HalfPunc</ability>
      <abilityName>全半角检查</abilityName>
      <candidateList>
        <item>)</item>
      </candidateList>
      <explain>文本全半角错误。</explain>
      <paraID> BE9305D</paraID>
      <start>4</start>
      <end>5</end>
      <status>unmodified</status>
      <modifiedWord/>
      <trackRevisions>false</trackRevisions>
    </reviewItem>
    <reviewItem>
      <errorID>20f85479-1a1f-46f7-bd7a-656d314b32a2</errorID>
      <errorWord>（</errorWord>
      <group>L1_Format</group>
      <groupName>格式问题</groupName>
      <ability>L2_HalfPunc</ability>
      <abilityName>全半角检查</abilityName>
      <candidateList>
        <item>(</item>
      </candidateList>
      <explain>文本全半角错误。</explain>
      <paraID>50232D5E</paraID>
      <start>0</start>
      <end>1</end>
      <status>unmodified</status>
      <modifiedWord/>
      <trackRevisions>false</trackRevisions>
    </reviewItem>
    <reviewItem>
      <errorID>d802fa60-65b5-4dc4-a1b9-9a53afa6a02c</errorID>
      <errorWord>）</errorWord>
      <group>L1_Format</group>
      <groupName>格式问题</groupName>
      <ability>L2_HalfPunc</ability>
      <abilityName>全半角检查</abilityName>
      <candidateList>
        <item>)</item>
      </candidateList>
      <explain>文本全半角错误。</explain>
      <paraID>50232D5E</paraID>
      <start>6</start>
      <end>7</end>
      <status>unmodified</status>
      <modifiedWord/>
      <trackRevisions>false</trackRevisions>
    </reviewItem>
    <reviewItem>
      <errorID>c269b3e1-e712-48cc-857c-4ed2c0b2d4db</errorID>
      <errorWord>（</errorWord>
      <group>L1_Format</group>
      <groupName>格式问题</groupName>
      <ability>L2_HalfPunc</ability>
      <abilityName>全半角检查</abilityName>
      <candidateList>
        <item>(</item>
      </candidateList>
      <explain>文本全半角错误。</explain>
      <paraID>2E7CED92</paraID>
      <start>0</start>
      <end>1</end>
      <status>unmodified</status>
      <modifiedWord/>
      <trackRevisions>false</trackRevisions>
    </reviewItem>
    <reviewItem>
      <errorID>9bd9e3f0-27a3-41ed-ae76-43b03ed43dd4</errorID>
      <errorWord>）</errorWord>
      <group>L1_Format</group>
      <groupName>格式问题</groupName>
      <ability>L2_HalfPunc</ability>
      <abilityName>全半角检查</abilityName>
      <candidateList>
        <item>)</item>
      </candidateList>
      <explain>文本全半角错误。</explain>
      <paraID>2E7CED92</paraID>
      <start>6</start>
      <end>7</end>
      <status>unmodified</status>
      <modifiedWord/>
      <trackRevisions>false</trackRevisions>
    </reviewItem>
    <reviewItem>
      <errorID>404a4d68-4937-4926-aff1-39a8ad7bdcda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3289FDA8</paraID>
      <start>0</start>
      <end>2</end>
      <status>unmodified</status>
      <modifiedWord/>
      <trackRevisions>false</trackRevisions>
    </reviewItem>
    <reviewItem>
      <errorID>dd22b9da-1b0f-4c3d-be99-c25c9e41df42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30506A07</paraID>
      <start>0</start>
      <end>2</end>
      <status>unmodified</status>
      <modifiedWord/>
      <trackRevisions>false</trackRevisions>
    </reviewItem>
    <reviewItem>
      <errorID>f7097ef3-a493-46e7-b68b-c502cfd3ba3e</errorID>
      <errorWord>天燃气</errorWord>
      <group>L1_Word</group>
      <groupName>字词问题</groupName>
      <ability>L2_Typo</ability>
      <abilityName>字词错误</abilityName>
      <candidateList>
        <item>天然气</item>
      </candidateList>
      <explain>〈名〉通常指产生于油田、煤田和沼泽地带的天然气体，主要成分是甲烷等，是埋藏在地下的古代生物经高温、高压等作用形成的。主要用作燃料和化工原料。</explain>
      <paraID>4B645B7A</paraID>
      <start>61</start>
      <end>64</end>
      <status>modified</status>
      <modifiedWord>天然气</modifiedWord>
      <trackRevisions>false</trackRevisions>
    </reviewItem>
    <reviewItem>
      <errorID>4f221b71-7835-4f51-bed9-ea6c76a9c3a4</errorID>
      <errorWord>发生气</errorWord>
      <group>L1_Word</group>
      <groupName>字词问题</groupName>
      <ability>L2_Typo</ability>
      <abilityName>字词错误</abilityName>
      <candidateList>
        <item>发生器</item>
      </candidateList>
      <explain/>
      <paraID>7A3F54AB</paraID>
      <start>38</start>
      <end>41</end>
      <status>modified</status>
      <modifiedWord>发生器</modifiedWord>
      <trackRevisions>false</trackRevisions>
    </reviewItem>
    <reviewItem>
      <errorID>f72893ea-2ee3-407a-822a-a1d0410c1b4d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37A31EF4</paraID>
      <start>0</start>
      <end>2</end>
      <status>unmodified</status>
      <modifiedWord/>
      <trackRevisions>false</trackRevisions>
    </reviewItem>
    <reviewItem>
      <errorID>02863c74-8e12-4e11-a9d1-dff7a8d482f6</errorID>
      <errorWord>排名为</errorWord>
      <group>L1_Word</group>
      <groupName>字词问题</groupName>
      <ability>L2_Typo</ability>
      <abilityName>字词错误</abilityName>
      <candidateList>
        <item>排名</item>
      </candidateList>
      <explain/>
      <paraID>73211D6B</paraID>
      <start>140</start>
      <end>143</end>
      <status>ignored</status>
      <modifiedWord/>
      <trackRevisions>false</trackRevisions>
    </reviewItem>
    <reviewItem>
      <errorID>a7704c5d-d732-4ecb-b6f7-457634eb39aa</errorID>
      <errorWord>(</errorWord>
      <group>L1_Format</group>
      <groupName>格式问题</groupName>
      <ability>L2_HalfPunc</ability>
      <abilityName>全半角检查</abilityName>
      <candidateList>
        <item>（</item>
      </candidateList>
      <explain>文本全半角错误。</explain>
      <paraID>5A9289F0</paraID>
      <start>142</start>
      <end>143</end>
      <status>unmodified</status>
      <modifiedWord/>
      <trackRevisions>false</trackRevisions>
    </reviewItem>
    <reviewItem>
      <errorID>aa08849e-0fdc-444a-823e-6bedea0693b7</errorID>
      <errorWord>)</errorWord>
      <group>L1_Format</group>
      <groupName>格式问题</groupName>
      <ability>L2_HalfPunc</ability>
      <abilityName>全半角检查</abilityName>
      <candidateList>
        <item>）</item>
      </candidateList>
      <explain>文本全半角错误。</explain>
      <paraID>5A9289F0</paraID>
      <start>155</start>
      <end>156</end>
      <status>unmodified</status>
      <modifiedWord/>
      <trackRevisions>false</trackRevisions>
    </reviewItem>
    <reviewItem>
      <errorID>a640b60b-f2ab-4008-b716-8a6cc222f6ee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3AC2A85F</paraID>
      <start>151</start>
      <end>152</end>
      <status>unmodified</status>
      <modifiedWord/>
      <trackRevisions>false</trackRevisions>
    </reviewItem>
    <reviewItem>
      <errorID>73973691-73f4-48cb-9a6d-1f433c3ed505</errorID>
      <errorWord>(</errorWord>
      <group>L1_Format</group>
      <groupName>格式问题</groupName>
      <ability>L2_HalfPunc</ability>
      <abilityName>全半角检查</abilityName>
      <candidateList>
        <item>（</item>
      </candidateList>
      <explain>文本全半角错误。</explain>
      <paraID> EA5E176</paraID>
      <start>10</start>
      <end>11</end>
      <status>unmodified</status>
      <modifiedWord/>
      <trackRevisions>false</trackRevisions>
    </reviewItem>
    <reviewItem>
      <errorID>4f5b1285-644d-4e1c-9bef-2d17b1ac8904</errorID>
      <errorWord>)</errorWord>
      <group>L1_Format</group>
      <groupName>格式问题</groupName>
      <ability>L2_HalfPunc</ability>
      <abilityName>全半角检查</abilityName>
      <candidateList>
        <item>）</item>
      </candidateList>
      <explain>文本全半角错误。</explain>
      <paraID> EA5E176</paraID>
      <start>12</start>
      <end>13</end>
      <status>unmodified</status>
      <modifiedWord/>
      <trackRevisions>false</trackRevisions>
    </reviewItem>
    <reviewItem>
      <errorID>685853d2-159a-4c93-beb7-93551f0b7da8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4A01DE56</paraID>
      <start>0</start>
      <end>2</end>
      <status>unmodified</status>
      <modifiedWord/>
      <trackRevisions>false</trackRevisions>
    </reviewItem>
    <reviewItem>
      <errorID>65aabca4-5ed9-4e5f-9441-038199f92dc3</errorID>
      <errorWord>(</errorWord>
      <group>L1_Format</group>
      <groupName>格式问题</groupName>
      <ability>L2_HalfPunc</ability>
      <abilityName>全半角检查</abilityName>
      <candidateList>
        <item>（</item>
      </candidateList>
      <explain>文本全半角错误。</explain>
      <paraID>27B44622</paraID>
      <start>68</start>
      <end>69</end>
      <status>unmodified</status>
      <modifiedWord/>
      <trackRevisions>false</trackRevisions>
    </reviewItem>
    <reviewItem>
      <errorID>afa0abfc-7732-40f4-82f0-eb8798348ff3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27B44622</paraID>
      <start>73</start>
      <end>74</end>
      <status>unmodified</status>
      <modifiedWord/>
      <trackRevisions>false</trackRevisions>
    </reviewItem>
    <reviewItem>
      <errorID>7fd886e2-6f6a-41e3-866a-ab0d21f1a554</errorID>
      <errorWord>)</errorWord>
      <group>L1_Format</group>
      <groupName>格式问题</groupName>
      <ability>L2_HalfPunc</ability>
      <abilityName>全半角检查</abilityName>
      <candidateList>
        <item>）</item>
      </candidateList>
      <explain>文本全半角错误。</explain>
      <paraID>27B44622</paraID>
      <start>79</start>
      <end>80</end>
      <status>unmodified</status>
      <modifiedWord/>
      <trackRevisions>false</trackRevisions>
    </reviewItem>
    <reviewItem>
      <errorID>22164817-8b82-4d6d-a30f-43f14b7dba4c</errorID>
      <errorWord>(</errorWord>
      <group>L1_Format</group>
      <groupName>格式问题</groupName>
      <ability>L2_HalfPunc</ability>
      <abilityName>全半角检查</abilityName>
      <candidateList>
        <item>（</item>
      </candidateList>
      <explain>文本全半角错误。</explain>
      <paraID>7D7F8725</paraID>
      <start>17</start>
      <end>18</end>
      <status>unmodified</status>
      <modifiedWord/>
      <trackRevisions>false</trackRevisions>
    </reviewItem>
    <reviewItem>
      <errorID>31d37180-406d-47a5-a002-2e402df4733b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7D7F8725</paraID>
      <start>22</start>
      <end>23</end>
      <status>unmodified</status>
      <modifiedWord/>
      <trackRevisions>false</trackRevisions>
    </reviewItem>
    <reviewItem>
      <errorID>2c4e29d4-8b13-41ea-8e00-e0848f90cee8</errorID>
      <errorWord>)</errorWord>
      <group>L1_Format</group>
      <groupName>格式问题</groupName>
      <ability>L2_HalfPunc</ability>
      <abilityName>全半角检查</abilityName>
      <candidateList>
        <item>）</item>
      </candidateList>
      <explain>文本全半角错误。</explain>
      <paraID>7D7F8725</paraID>
      <start>28</start>
      <end>29</end>
      <status>unmodified</status>
      <modifiedWord/>
      <trackRevisions>false</trackRevisions>
    </reviewItem>
    <reviewItem>
      <errorID>ab755a3f-bc17-4900-952e-ca91db0f9651</errorID>
      <errorWord>(</errorWord>
      <group>L1_Format</group>
      <groupName>格式问题</groupName>
      <ability>L2_HalfPunc</ability>
      <abilityName>全半角检查</abilityName>
      <candidateList>
        <item>（</item>
      </candidateList>
      <explain>文本全半角错误。</explain>
      <paraID>7D7F8725</paraID>
      <start>101</start>
      <end>102</end>
      <status>unmodified</status>
      <modifiedWord/>
      <trackRevisions>false</trackRevisions>
    </reviewItem>
    <reviewItem>
      <errorID>1afa1141-ebb1-4307-98e2-c710e1c23b3b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CFE752B</paraID>
      <start>0</start>
      <end>2</end>
      <status>unmodified</status>
      <modifiedWord/>
      <trackRevisions>false</trackRevisions>
    </reviewItem>
    <reviewItem>
      <errorID>2cba32c6-750c-4b4d-9f19-a1d7dafec953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2C03D45C</paraID>
      <start>0</start>
      <end>2</end>
      <status>unmodified</status>
      <modifiedWord/>
      <trackRevisions>false</trackRevisions>
    </reviewItem>
    <reviewItem>
      <errorID>cf733e0b-b0a5-40a4-8b2e-eb66ba71c9fd</errorID>
      <errorWord>(</errorWord>
      <group>L1_Format</group>
      <groupName>格式问题</groupName>
      <ability>L2_HalfPunc</ability>
      <abilityName>全半角检查</abilityName>
      <candidateList>
        <item>（</item>
      </candidateList>
      <explain>文本全半角错误。</explain>
      <paraID>3ED84E51</paraID>
      <start>23</start>
      <end>24</end>
      <status>unmodified</status>
      <modifiedWord/>
      <trackRevisions>false</trackRevisions>
    </reviewItem>
    <reviewItem>
      <errorID>1fab982e-6592-4d02-8c61-74e2eb67ab84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3ED84E51</paraID>
      <start>28</start>
      <end>29</end>
      <status>unmodified</status>
      <modifiedWord/>
      <trackRevisions>false</trackRevisions>
    </reviewItem>
    <reviewItem>
      <errorID>02772378-71e7-4379-a15a-05b810fa4d11</errorID>
      <errorWord>)</errorWord>
      <group>L1_Format</group>
      <groupName>格式问题</groupName>
      <ability>L2_HalfPunc</ability>
      <abilityName>全半角检查</abilityName>
      <candidateList>
        <item>）</item>
      </candidateList>
      <explain>文本全半角错误。</explain>
      <paraID>3ED84E51</paraID>
      <start>34</start>
      <end>35</end>
      <status>unmodified</status>
      <modifiedWord/>
      <trackRevisions>false</trackRevisions>
    </reviewItem>
    <reviewItem>
      <errorID>496ae7d9-e17f-492e-9258-9de783f03935</errorID>
      <errorWord>III类</errorWord>
      <group>L1_Knowledge</group>
      <groupName>知识性问题</groupName>
      <ability>L2_Knowledge</ability>
      <abilityName>其他知识</abilityName>
      <candidateList>
        <item>Ⅲ类</item>
      </candidateList>
      <explain/>
      <paraID>3ED84E51</paraID>
      <start>203</start>
      <end>207</end>
      <status>unmodified</status>
      <modifiedWord/>
      <trackRevisions>false</trackRevisions>
    </reviewItem>
    <reviewItem>
      <errorID>f3e1b890-cc5f-464f-9167-a356d54acdca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4EF6E521</paraID>
      <start>0</start>
      <end>2</end>
      <status>unmodified</status>
      <modifiedWord/>
      <trackRevisions>false</trackRevisions>
    </reviewItem>
    <reviewItem>
      <errorID>be18396a-12f5-4e44-9d5c-b346c947c493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54B28464</paraID>
      <start>0</start>
      <end>2</end>
      <status>unmodified</status>
      <modifiedWord/>
      <trackRevisions>false</trackRevisions>
    </reviewItem>
    <reviewItem>
      <errorID>022dd5fb-a287-4ba3-bfa9-d065a699ab42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4FB1BBC1</paraID>
      <start>0</start>
      <end>2</end>
      <status>unmodified</status>
      <modifiedWord/>
      <trackRevisions>false</trackRevisions>
    </reviewItem>
    <reviewItem>
      <errorID>9b850de9-5003-45dc-ba27-b6e87d2486b9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239EF426</paraID>
      <start>170</start>
      <end>171</end>
      <status>unmodified</status>
      <modifiedWord/>
      <trackRevisions>false</trackRevisions>
    </reviewItem>
    <reviewItem>
      <errorID>0341350c-ce8c-41c6-a188-162294c35b18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3C0FDB3E</paraID>
      <start>0</start>
      <end>2</end>
      <status>unmodified</status>
      <modifiedWord/>
      <trackRevisions>false</trackRevisions>
    </reviewItem>
    <reviewItem>
      <errorID>3023577f-3e73-45fa-9cd0-0edea74d2778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9EA9B3A</paraID>
      <start>0</start>
      <end>2</end>
      <status>unmodified</status>
      <modifiedWord/>
      <trackRevisions>false</trackRevisions>
    </reviewItem>
    <reviewItem>
      <errorID>80fc2cbb-4f03-4135-9ffd-b51653c7705a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12F0AB62</paraID>
      <start>0</start>
      <end>2</end>
      <status>unmodified</status>
      <modifiedWord/>
      <trackRevisions>false</trackRevisions>
    </reviewItem>
    <reviewItem>
      <errorID>7873c389-3a2c-49e1-9509-a2c8a65cf357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6C15A644</paraID>
      <start>0</start>
      <end>2</end>
      <status>unmodified</status>
      <modifiedWord/>
      <trackRevisions>false</trackRevisions>
    </reviewItem>
    <reviewItem>
      <errorID>5a907afc-579e-4bb3-b6e8-2b227ce91bb0</errorID>
      <errorWord>(</errorWord>
      <group>L1_Format</group>
      <groupName>格式问题</groupName>
      <ability>L2_HalfPunc</ability>
      <abilityName>全半角检查</abilityName>
      <candidateList>
        <item>（</item>
      </candidateList>
      <explain>文本全半角错误。</explain>
      <paraID>6C15A644</paraID>
      <start>36</start>
      <end>37</end>
      <status>unmodified</status>
      <modifiedWord/>
      <trackRevisions>false</trackRevisions>
    </reviewItem>
    <reviewItem>
      <errorID>87bdaa79-db87-43db-924d-54028d8f1a99</errorID>
      <errorWord>)</errorWord>
      <group>L1_Format</group>
      <groupName>格式问题</groupName>
      <ability>L2_HalfPunc</ability>
      <abilityName>全半角检查</abilityName>
      <candidateList>
        <item>）</item>
      </candidateList>
      <explain>文本全半角错误。</explain>
      <paraID>6C15A644</paraID>
      <start>49</start>
      <end>50</end>
      <status>unmodified</status>
      <modifiedWord/>
      <trackRevisions>false</trackRevisions>
    </reviewItem>
    <reviewItem>
      <errorID>df0d04c4-f873-490f-b253-175b3b17661a</errorID>
      <errorWord>2020年09月</errorWord>
      <group>L1_Knowledge</group>
      <groupName>知识性问题</groupName>
      <ability>L2_Time</ability>
      <abilityName>日期时间</abilityName>
      <candidateList>
        <item>2020年9月</item>
      </candidateList>
      <explain>根据日常书写习惯，月份一般会省略前导零。</explain>
      <paraID>6C15A644</paraID>
      <start>82</start>
      <end>90</end>
      <status>unmodified</status>
      <modifiedWord/>
      <trackRevisions>false</trackRevisions>
    </reviewItem>
    <reviewItem>
      <errorID>30589d6b-833f-4830-a1e4-3e140f795e74</errorID>
      <errorWord>第四章中</errorWord>
      <group>L1_Word</group>
      <groupName>字词问题</groupName>
      <ability>L2_Typo</ability>
      <abilityName>字词错误</abilityName>
      <candidateList>
        <item>第四章</item>
      </candidateList>
      <explain/>
      <paraID>6C15A644</paraID>
      <start>93</start>
      <end>97</end>
      <status>ignored</status>
      <modifiedWord/>
      <trackRevisions>false</trackRevisions>
    </reviewItem>
    <reviewItem>
      <errorID>6b399f93-680b-4a91-875e-16bfc2ed8eb3</errorID>
      <errorWord>2020年09月</errorWord>
      <group>L1_Knowledge</group>
      <groupName>知识性问题</groupName>
      <ability>L2_Time</ability>
      <abilityName>日期时间</abilityName>
      <candidateList>
        <item>2020年9月</item>
      </candidateList>
      <explain>根据日常书写习惯，月份一般会省略前导零。</explain>
      <paraID> 785B158</paraID>
      <start>21</start>
      <end>29</end>
      <status>unmodified</status>
      <modifiedWord/>
      <trackRevisions>false</trackRevisions>
    </reviewItem>
    <reviewItem>
      <errorID>a7197b5f-6515-4e80-b1ac-4b0bc503e2d9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7E2ED3D6</paraID>
      <start>0</start>
      <end>2</end>
      <status>unmodified</status>
      <modifiedWord/>
      <trackRevisions>false</trackRevisions>
    </reviewItem>
    <reviewItem>
      <errorID>085dfe88-bfaf-4bc8-8d07-dd2145a187de</errorID>
      <errorWord>(</errorWord>
      <group>L1_Format</group>
      <groupName>格式问题</groupName>
      <ability>L2_HalfPunc</ability>
      <abilityName>全半角检查</abilityName>
      <candidateList>
        <item>（</item>
      </candidateList>
      <explain>文本全半角错误。</explain>
      <paraID>1EE52B2D</paraID>
      <start>137</start>
      <end>138</end>
      <status>unmodified</status>
      <modifiedWord/>
      <trackRevisions>false</trackRevisions>
    </reviewItem>
    <reviewItem>
      <errorID>0d808cc4-bb69-434c-a0c7-71e9852907c5</errorID>
      <errorWord>)</errorWord>
      <group>L1_Format</group>
      <groupName>格式问题</groupName>
      <ability>L2_HalfPunc</ability>
      <abilityName>全半角检查</abilityName>
      <candidateList>
        <item>）</item>
      </candidateList>
      <explain>文本全半角错误。</explain>
      <paraID>1EE52B2D</paraID>
      <start>150</start>
      <end>151</end>
      <status>unmodified</status>
      <modifiedWord/>
      <trackRevisions>false</trackRevisions>
    </reviewItem>
    <reviewItem>
      <errorID>5a7d0a2a-7f1a-40ac-8e6c-6a8807dbbcf9</errorID>
      <errorWord>(</errorWord>
      <group>L1_Format</group>
      <groupName>格式问题</groupName>
      <ability>L2_HalfPunc</ability>
      <abilityName>全半角检查</abilityName>
      <candidateList>
        <item>（</item>
      </candidateList>
      <explain>文本全半角错误。</explain>
      <paraID>54949401</paraID>
      <start>29</start>
      <end>30</end>
      <status>unmodified</status>
      <modifiedWord/>
      <trackRevisions>false</trackRevisions>
    </reviewItem>
    <reviewItem>
      <errorID>0db0c421-cf9f-45a6-92c5-762c17694827</errorID>
      <errorWord>)</errorWord>
      <group>L1_Format</group>
      <groupName>格式问题</groupName>
      <ability>L2_HalfPunc</ability>
      <abilityName>全半角检查</abilityName>
      <candidateList>
        <item>）</item>
      </candidateList>
      <explain>文本全半角错误。</explain>
      <paraID>54949401</paraID>
      <start>42</start>
      <end>43</end>
      <status>unmodified</status>
      <modifiedWord/>
      <trackRevisions>false</trackRevisions>
    </reviewItem>
    <reviewItem>
      <errorID>3600423d-12b7-4010-b4e0-47347480f8a5</errorID>
      <errorWord>)</errorWord>
      <group>L1_Format</group>
      <groupName>格式问题</groupName>
      <ability>L2_HalfPunc</ability>
      <abilityName>全半角检查</abilityName>
      <candidateList>
        <item>）</item>
      </candidateList>
      <explain>文本全半角错误。</explain>
      <paraID>54949401</paraID>
      <start>99</start>
      <end>100</end>
      <status>unmodified</status>
      <modifiedWord/>
      <trackRevisions>false</trackRevisions>
    </reviewItem>
    <reviewItem>
      <errorID>b315f5c5-95fc-4d47-80a5-d9d2027374cf</errorID>
      <errorWord>)</errorWord>
      <group>L1_Format</group>
      <groupName>格式问题</groupName>
      <ability>L2_HalfPunc</ability>
      <abilityName>全半角检查</abilityName>
      <candidateList>
        <item>）</item>
      </candidateList>
      <explain>文本全半角错误。</explain>
      <paraID>1D88D5DB</paraID>
      <start>23</start>
      <end>24</end>
      <status>unmodified</status>
      <modifiedWord/>
      <trackRevisions>false</trackRevisions>
    </reviewItem>
    <reviewItem>
      <errorID>44bac852-4888-4b78-b120-b2e105222580</errorID>
      <errorWord>(</errorWord>
      <group>L1_Format</group>
      <groupName>格式问题</groupName>
      <ability>L2_HalfPunc</ability>
      <abilityName>全半角检查</abilityName>
      <candidateList>
        <item>（</item>
      </candidateList>
      <explain>文本全半角错误。</explain>
      <paraID>15929CC8</paraID>
      <start>18</start>
      <end>19</end>
      <status>unmodified</status>
      <modifiedWord/>
      <trackRevisions>false</trackRevisions>
    </reviewItem>
    <reviewItem>
      <errorID>a544aa12-9bf9-4026-94d1-9371340600f7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15929CC8</paraID>
      <start>23</start>
      <end>24</end>
      <status>unmodified</status>
      <modifiedWord/>
      <trackRevisions>false</trackRevisions>
    </reviewItem>
    <reviewItem>
      <errorID>d0cbb647-14cb-4287-a7dd-cf658399c3a7</errorID>
      <errorWord>)</errorWord>
      <group>L1_Format</group>
      <groupName>格式问题</groupName>
      <ability>L2_HalfPunc</ability>
      <abilityName>全半角检查</abilityName>
      <candidateList>
        <item>）</item>
      </candidateList>
      <explain>文本全半角错误。</explain>
      <paraID>15929CC8</paraID>
      <start>29</start>
      <end>30</end>
      <status>unmodified</status>
      <modifiedWord/>
      <trackRevisions>false</trackRevisions>
    </reviewItem>
    <reviewItem>
      <errorID>1832fc5d-eb11-4141-a89e-97c1fc33d850</errorID>
      <errorWord>(</errorWord>
      <group>L1_Format</group>
      <groupName>格式问题</groupName>
      <ability>L2_HalfPunc</ability>
      <abilityName>全半角检查</abilityName>
      <candidateList>
        <item>（</item>
      </candidateList>
      <explain>文本全半角错误。</explain>
      <paraID>286DDBAD</paraID>
      <start>27</start>
      <end>28</end>
      <status>unmodified</status>
      <modifiedWord/>
      <trackRevisions>false</trackRevisions>
    </reviewItem>
    <reviewItem>
      <errorID>2bf89e6f-f0c8-4074-95c4-8aaf51133b72</errorID>
      <errorWord>2020年09月</errorWord>
      <group>L1_Knowledge</group>
      <groupName>知识性问题</groupName>
      <ability>L2_Time</ability>
      <abilityName>日期时间</abilityName>
      <candidateList>
        <item>2020年9月</item>
      </candidateList>
      <explain>根据日常书写习惯，月份一般会省略前导零。</explain>
      <paraID> 1FD3EDF</paraID>
      <start>31</start>
      <end>39</end>
      <status>unmodified</status>
      <modifiedWord/>
      <trackRevisions>false</trackRevisions>
    </reviewItem>
    <reviewItem>
      <errorID>d65ecc73-0a1c-4cf6-ab5d-0d6c95a04c13</errorID>
      <errorWord>(</errorWord>
      <group>L1_Format</group>
      <groupName>格式问题</groupName>
      <ability>L2_HalfPunc</ability>
      <abilityName>全半角检查</abilityName>
      <candidateList>
        <item>（</item>
      </candidateList>
      <explain>文本全半角错误。</explain>
      <paraID> 1FD3EDF</paraID>
      <start>84</start>
      <end>85</end>
      <status>unmodified</status>
      <modifiedWord/>
      <trackRevisions>false</trackRevisions>
    </reviewItem>
    <reviewItem>
      <errorID>5925e02e-73fe-48fc-a218-78bf3901137e</errorID>
      <errorWord>)</errorWord>
      <group>L1_Format</group>
      <groupName>格式问题</groupName>
      <ability>L2_HalfPunc</ability>
      <abilityName>全半角检查</abilityName>
      <candidateList>
        <item>）</item>
      </candidateList>
      <explain>文本全半角错误。</explain>
      <paraID> 1FD3EDF</paraID>
      <start>97</start>
      <end>98</end>
      <status>unmodified</status>
      <modifiedWord/>
      <trackRevisions>false</trackRevisions>
    </reviewItem>
    <reviewItem>
      <errorID>4d230744-a40d-4017-9508-5e9de30303cd</errorID>
      <errorWord>&lt;</errorWord>
      <group>L1_Format</group>
      <groupName>格式问题</groupName>
      <ability>L2_HalfPunc</ability>
      <abilityName>全半角检查</abilityName>
      <candidateList>
        <item>〈</item>
      </candidateList>
      <explain>文本全半角错误。</explain>
      <paraID> 1DBA00C</paraID>
      <start>18</start>
      <end>19</end>
      <status>unmodified</status>
      <modifiedWord/>
      <trackRevisions>false</trackRevisions>
    </reviewItem>
    <reviewItem>
      <errorID>7deb121c-f2dd-49c4-a512-c7e33e93068f</errorID>
      <errorWord>&gt;的通知》</errorWord>
      <group>L1_Punc</group>
      <groupName>标点问题</groupName>
      <ability>L2_Punc</ability>
      <abilityName>标点符号检查</abilityName>
      <candidateList>
        <item>〉的通知》</item>
      </candidateList>
      <explain/>
      <paraID> 1DBA00C</paraID>
      <start>43</start>
      <end>48</end>
      <status>unmodified</status>
      <modifiedWord/>
      <trackRevisions>false</trackRevisions>
    </reviewItem>
    <reviewItem>
      <errorID>b3a9b5ca-2b10-4cee-a469-f6b934581ff7</errorID>
      <errorWord>(</errorWord>
      <group>L1_Format</group>
      <groupName>格式问题</groupName>
      <ability>L2_HalfPunc</ability>
      <abilityName>全半角检查</abilityName>
      <candidateList>
        <item>（</item>
      </candidateList>
      <explain>文本全半角错误。</explain>
      <paraID> 1DBA00C</paraID>
      <start>48</start>
      <end>49</end>
      <status>unmodified</status>
      <modifiedWord/>
      <trackRevisions>false</trackRevisions>
    </reviewItem>
    <reviewItem>
      <errorID>594bec09-1a6c-4b20-bd4b-602d1933b725</errorID>
      <errorWord>[2014]197号</errorWord>
      <group>L1_Knowledge</group>
      <groupName>知识性问题</groupName>
      <ability>L2_Knowledge</ability>
      <abilityName>其他知识</abilityName>
      <candidateList>
        <item>〔2014〕197号</item>
      </candidateList>
      <explain>发文字号格式错误。</explain>
      <paraID> 1DBA00C</paraID>
      <start>51</start>
      <end>61</end>
      <status>unmodified</status>
      <modifiedWord/>
      <trackRevisions>false</trackRevisions>
    </reviewItem>
    <reviewItem>
      <errorID>bcecf107-f09f-456f-88c2-243110bd4473</errorID>
      <errorWord>)</errorWord>
      <group>L1_Format</group>
      <groupName>格式问题</groupName>
      <ability>L2_HalfPunc</ability>
      <abilityName>全半角检查</abilityName>
      <candidateList>
        <item>）</item>
      </candidateList>
      <explain>文本全半角错误。</explain>
      <paraID> 1DBA00C</paraID>
      <start>61</start>
      <end>62</end>
      <status>unmodified</status>
      <modifiedWord/>
      <trackRevisions>false</trackRevisions>
    </reviewItem>
    <reviewItem>
      <errorID>e67f7438-fb1a-4143-99ef-8422b07235c7</errorID>
      <errorWord>(</errorWord>
      <group>L1_Format</group>
      <groupName>格式问题</groupName>
      <ability>L2_HalfPunc</ability>
      <abilityName>全半角检查</abilityName>
      <candidateList>
        <item>（</item>
      </candidateList>
      <explain>文本全半角错误。</explain>
      <paraID> 1DBA00C</paraID>
      <start>103</start>
      <end>104</end>
      <status>unmodified</status>
      <modifiedWord/>
      <trackRevisions>false</trackRevisions>
    </reviewItem>
    <reviewItem>
      <errorID>40f9b382-9431-44dd-bffe-5e3eecced725</errorID>
      <errorWord>[2014]283号</errorWord>
      <group>L1_Knowledge</group>
      <groupName>知识性问题</groupName>
      <ability>L2_Knowledge</ability>
      <abilityName>其他知识</abilityName>
      <candidateList>
        <item>〔2014〕283号</item>
      </candidateList>
      <explain>发文字号格式错误。</explain>
      <paraID> 1DBA00C</paraID>
      <start>107</start>
      <end>117</end>
      <status>unmodified</status>
      <modifiedWord/>
      <trackRevisions>false</trackRevisions>
    </reviewItem>
    <reviewItem>
      <errorID>cb45ea98-e066-4d20-af9e-d8f70c4a56aa</errorID>
      <errorWord>)</errorWord>
      <group>L1_Format</group>
      <groupName>格式问题</groupName>
      <ability>L2_HalfPunc</ability>
      <abilityName>全半角检查</abilityName>
      <candidateList>
        <item>）</item>
      </candidateList>
      <explain>文本全半角错误。</explain>
      <paraID> 1DBA00C</paraID>
      <start>117</start>
      <end>118</end>
      <status>unmodified</status>
      <modifiedWord/>
      <trackRevisions>false</trackRevisions>
    </reviewItem>
    <reviewItem>
      <errorID>5ae70952-a990-4287-9752-c6f92369be70</errorID>
      <errorWord>[2023]283号</errorWord>
      <group>L1_Knowledge</group>
      <groupName>知识性问题</groupName>
      <ability>L2_Knowledge</ability>
      <abilityName>其他知识</abilityName>
      <candidateList>
        <item>〔2023〕283号</item>
      </candidateList>
      <explain>发文字号格式错误。</explain>
      <paraID>4E66C7D9</paraID>
      <start>0</start>
      <end>10</end>
      <status>unmodified</status>
      <modifiedWord/>
      <trackRevisions>false</trackRevisions>
    </reviewItem>
    <reviewItem>
      <errorID>06125f14-7044-427c-b001-8549cd9b393d</errorID>
      <errorWord>(</errorWord>
      <group>L1_Format</group>
      <groupName>格式问题</groupName>
      <ability>L2_HalfPunc</ability>
      <abilityName>全半角检查</abilityName>
      <candidateList>
        <item>（</item>
      </candidateList>
      <explain>文本全半角错误。</explain>
      <paraID>4212487B</paraID>
      <start>201</start>
      <end>202</end>
      <status>unmodified</status>
      <modifiedWord/>
      <trackRevisions>false</trackRevisions>
    </reviewItem>
    <reviewItem>
      <errorID>e41881a2-9201-4f3e-8995-06faead241fe</errorID>
      <errorWord>)</errorWord>
      <group>L1_Format</group>
      <groupName>格式问题</groupName>
      <ability>L2_HalfPunc</ability>
      <abilityName>全半角检查</abilityName>
      <candidateList>
        <item>）</item>
      </candidateList>
      <explain>文本全半角错误。</explain>
      <paraID>4212487B</paraID>
      <start>214</start>
      <end>215</end>
      <status>unmodified</status>
      <modifiedWord/>
      <trackRevisions>false</trackRevisions>
    </reviewItem>
    <reviewItem>
      <errorID>b0684329-9dc7-4651-8889-494a9392b5e2</errorID>
      <errorWord>；</errorWord>
      <group>L1_Format</group>
      <groupName>格式问题</groupName>
      <ability>L2_HalfPunc</ability>
      <abilityName>全半角检查</abilityName>
      <candidateList>
        <item>;</item>
      </candidateList>
      <explain>文本全半角错误。</explain>
      <paraID>73A63AAC</paraID>
      <start>34</start>
      <end>35</end>
      <status>unmodified</status>
      <modifiedWord/>
      <trackRevisions>false</trackRevisions>
    </reviewItem>
    <reviewItem>
      <errorID>3fe62def-989d-4414-a3d0-f91e6d61c2ea</errorID>
      <errorWord>：</errorWord>
      <group>L1_Format</group>
      <groupName>格式问题</groupName>
      <ability>L2_HalfPunc</ability>
      <abilityName>全半角检查</abilityName>
      <candidateList>
        <item>:</item>
      </candidateList>
      <explain>文本全半角错误。</explain>
      <paraID>58549A07</paraID>
      <start>131</start>
      <end>132</end>
      <status>unmodified</status>
      <modifiedWord/>
      <trackRevisions>false</trackRevisions>
    </reviewItem>
    <reviewItem>
      <errorID>10c352d4-0f37-4944-8517-863feedf151a</errorID>
      <errorWord>-</errorWord>
      <group>L1_Format</group>
      <groupName>格式问题</groupName>
      <ability>L2_HalfPunc</ability>
      <abilityName>全半角检查</abilityName>
      <candidateList>
        <item>－</item>
      </candidateList>
      <explain>文本全半角错误。</explain>
      <paraID>58549A07</paraID>
      <start>190</start>
      <end>191</end>
      <status>unmodified</status>
      <modifiedWord/>
      <trackRevisions>false</trackRevisions>
    </reviewItem>
    <reviewItem>
      <errorID>44b53aff-58de-4447-ad7e-73618da06c7c</errorID>
      <errorWord>；</errorWord>
      <group>L1_Format</group>
      <groupName>格式问题</groupName>
      <ability>L2_HalfPunc</ability>
      <abilityName>全半角检查</abilityName>
      <candidateList>
        <item>;</item>
      </candidateList>
      <explain>文本全半角错误。</explain>
      <paraID>  3ED67B</paraID>
      <start>38</start>
      <end>39</end>
      <status>unmodified</status>
      <modifiedWord/>
      <trackRevisions>false</trackRevisions>
    </reviewItem>
    <reviewItem>
      <errorID>38c53331-9a98-4ead-b8d2-dc9423b50cd9</errorID>
      <errorWord>。</errorWord>
      <group>L1_Format</group>
      <groupName>格式问题</groupName>
      <ability>L2_HalfPunc</ability>
      <abilityName>全半角检查</abilityName>
      <candidateList>
        <item>.</item>
      </candidateList>
      <explain>文本全半角错误。</explain>
      <paraID>544CEBDA</paraID>
      <start>38</start>
      <end>39</end>
      <status>unmodified</status>
      <modifiedWord/>
      <trackRevisions>false</trackRevisions>
    </reviewItem>
    <reviewItem>
      <errorID>a0c2a553-7fb8-430c-9794-ee894c00bc8c</errorID>
      <errorWord>；</errorWord>
      <group>L1_Format</group>
      <groupName>格式问题</groupName>
      <ability>L2_HalfPunc</ability>
      <abilityName>全半角检查</abilityName>
      <candidateList>
        <item>;</item>
      </candidateList>
      <explain>文本全半角错误。</explain>
      <paraID>7CA81398</paraID>
      <start>39</start>
      <end>40</end>
      <status>unmodified</status>
      <modifiedWord/>
      <trackRevisions>false</trackRevisions>
    </reviewItem>
    <reviewItem>
      <errorID>3df2e8e7-75b4-4169-8e3f-66baeec3be92</errorID>
      <errorWord>。</errorWord>
      <group>L1_Format</group>
      <groupName>格式问题</groupName>
      <ability>L2_HalfPunc</ability>
      <abilityName>全半角检查</abilityName>
      <candidateList>
        <item>.</item>
      </candidateList>
      <explain>文本全半角错误。</explain>
      <paraID>4E51957C</paraID>
      <start>39</start>
      <end>40</end>
      <status>unmodified</status>
      <modifiedWord/>
      <trackRevisions>false</trackRevisions>
    </reviewItem>
    <reviewItem>
      <errorID>d2ecedf7-d246-4163-87be-c73ea339d893</errorID>
      <errorWord>：</errorWord>
      <group>L1_Format</group>
      <groupName>格式问题</groupName>
      <ability>L2_HalfPunc</ability>
      <abilityName>全半角检查</abilityName>
      <candidateList>
        <item>:</item>
      </candidateList>
      <explain>文本全半角错误。</explain>
      <paraID>1D36D984</paraID>
      <start>46</start>
      <end>47</end>
      <status>unmodified</status>
      <modifiedWord/>
      <trackRevisions>false</trackRevisions>
    </reviewItem>
    <reviewItem>
      <errorID>a2e9f10b-0cf2-448d-b8fd-cbe9ee0e32c2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59C34A7E</paraID>
      <start>0</start>
      <end>2</end>
      <status>unmodified</status>
      <modifiedWord/>
      <trackRevisions>false</trackRevisions>
    </reviewItem>
    <reviewItem>
      <errorID>5a3561e0-43c1-44ff-a2b2-7c91987f70b2</errorID>
      <errorWord>〔2020〕第1号</errorWord>
      <group>L1_Knowledge</group>
      <groupName>知识性问题</groupName>
      <ability>L2_Knowledge</ability>
      <abilityName>其他知识</abilityName>
      <candidateList>
        <item>〔2020〕1号</item>
      </candidateList>
      <explain>发文字号格式错误。</explain>
      <paraID> 7B3987A</paraID>
      <start>50</start>
      <end>59</end>
      <status>unmodified</status>
      <modifiedWord/>
      <trackRevisions>false</trackRevisions>
    </reviewItem>
    <reviewItem>
      <errorID>53b10599-0222-4c5e-904a-1557641925e1</errorID>
      <errorWord>(</errorWord>
      <group>L1_Format</group>
      <groupName>格式问题</groupName>
      <ability>L2_HalfPunc</ability>
      <abilityName>全半角检查</abilityName>
      <candidateList>
        <item>（</item>
      </candidateList>
      <explain>文本全半角错误。</explain>
      <paraID> 7B3987A</paraID>
      <start>73</start>
      <end>74</end>
      <status>unmodified</status>
      <modifiedWord/>
      <trackRevisions>false</trackRevisions>
    </reviewItem>
    <reviewItem>
      <errorID>d05ebb13-5c02-40ff-abae-0030f327a6af</errorID>
      <errorWord>)</errorWord>
      <group>L1_Format</group>
      <groupName>格式问题</groupName>
      <ability>L2_HalfPunc</ability>
      <abilityName>全半角检查</abilityName>
      <candidateList>
        <item>）</item>
      </candidateList>
      <explain>文本全半角错误。</explain>
      <paraID> 7B3987A</paraID>
      <start>88</start>
      <end>89</end>
      <status>unmodified</status>
      <modifiedWord/>
      <trackRevisions>false</trackRevisions>
    </reviewItem>
    <reviewItem>
      <errorID>2c59ecc6-89ec-4acc-9190-759870e8584c</errorID>
      <errorWord>&lt;</errorWord>
      <group>L1_Format</group>
      <groupName>格式问题</groupName>
      <ability>L2_HalfPunc</ability>
      <abilityName>全半角检查</abilityName>
      <candidateList>
        <item>〈</item>
      </candidateList>
      <explain>文本全半角错误。</explain>
      <paraID> 7B3987A</paraID>
      <start>121</start>
      <end>122</end>
      <status>unmodified</status>
      <modifiedWord/>
      <trackRevisions>false</trackRevisions>
    </reviewItem>
    <reviewItem>
      <errorID>42b5ca2b-726e-4869-a3c9-e26522071f3c</errorID>
      <errorWord>&gt;的通知》</errorWord>
      <group>L1_Punc</group>
      <groupName>标点问题</groupName>
      <ability>L2_Punc</ability>
      <abilityName>标点符号检查</abilityName>
      <candidateList>
        <item>〉的通知》</item>
      </candidateList>
      <explain/>
      <paraID> 7B3987A</paraID>
      <start>135</start>
      <end>140</end>
      <status>unmodified</status>
      <modifiedWord/>
      <trackRevisions>false</trackRevisions>
    </reviewItem>
    <reviewItem>
      <errorID>2ab4273b-b89a-4f84-9d83-0fb3ac00fd69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4B576CDB</paraID>
      <start>0</start>
      <end>2</end>
      <status>unmodified</status>
      <modifiedWord/>
      <trackRevisions>false</trackRevisions>
    </reviewItem>
    <reviewItem>
      <errorID>ed1d84b0-5979-485c-b05e-26db1f3035ce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78668FA5</paraID>
      <start>0</start>
      <end>2</end>
      <status>unmodified</status>
      <modifiedWord/>
      <trackRevisions>false</trackRevisions>
    </reviewItem>
    <reviewItem>
      <errorID>a0635b77-f147-4737-88df-4c45f872c7d6</errorID>
      <errorWord>)</errorWord>
      <group>L1_Format</group>
      <groupName>格式问题</groupName>
      <ability>L2_HalfPunc</ability>
      <abilityName>全半角检查</abilityName>
      <candidateList>
        <item>）</item>
      </candidateList>
      <explain>文本全半角错误。</explain>
      <paraID>68628F88</paraID>
      <start>77</start>
      <end>78</end>
      <status>unmodified</status>
      <modifiedWord/>
      <trackRevisions>false</trackRevisions>
    </reviewItem>
    <reviewItem>
      <errorID>d3c6a958-b58b-45c8-924c-545f5f5d3de7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329455E3</paraID>
      <start>0</start>
      <end>3</end>
      <status>unmodified</status>
      <modifiedWord/>
      <trackRevisions>false</trackRevisions>
    </reviewItem>
    <reviewItem>
      <errorID>c908c570-a077-421b-b4d5-f40a4101c899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2EF35320</paraID>
      <start>0</start>
      <end>3</end>
      <status>unmodified</status>
      <modifiedWord/>
      <trackRevisions>false</trackRevisions>
    </reviewItem>
    <reviewItem>
      <errorID>6d9b22c3-c91d-4fee-b5d4-4474c7a1f232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6221926A</paraID>
      <start>0</start>
      <end>3</end>
      <status>unmodified</status>
      <modifiedWord/>
      <trackRevisions>false</trackRevisions>
    </reviewItem>
    <reviewItem>
      <errorID>4c510900-b95d-469b-a57e-7d09da420fc4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3F8D40A1</paraID>
      <start>0</start>
      <end>3</end>
      <status>unmodified</status>
      <modifiedWord/>
      <trackRevisions>false</trackRevisions>
    </reviewItem>
    <reviewItem>
      <errorID>a2e7b5d0-e8af-4d39-8683-bdf20ea5126b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4F9FF82E</paraID>
      <start>0</start>
      <end>2</end>
      <status>unmodified</status>
      <modifiedWord/>
      <trackRevisions>false</trackRevisions>
    </reviewItem>
    <reviewItem>
      <errorID>32cbaeb6-6d66-4521-82e7-5030bedd5846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55A8A75E</paraID>
      <start>40</start>
      <end>43</end>
      <status>unmodified</status>
      <modifiedWord/>
      <trackRevisions>false</trackRevisions>
    </reviewItem>
    <reviewItem>
      <errorID>85086f57-7863-418f-ad7d-0efabc3b4e1f</errorID>
      <errorWord>(</errorWord>
      <group>L1_Format</group>
      <groupName>格式问题</groupName>
      <ability>L2_HalfPunc</ability>
      <abilityName>全半角检查</abilityName>
      <candidateList>
        <item>（</item>
      </candidateList>
      <explain>文本全半角错误。</explain>
      <paraID>55A8A75E</paraID>
      <start>54</start>
      <end>55</end>
      <status>unmodified</status>
      <modifiedWord/>
      <trackRevisions>false</trackRevisions>
    </reviewItem>
    <reviewItem>
      <errorID>a712e00d-82e9-4dee-9316-bfed718cab3d</errorID>
      <errorWord>)</errorWord>
      <group>L1_Format</group>
      <groupName>格式问题</groupName>
      <ability>L2_HalfPunc</ability>
      <abilityName>全半角检查</abilityName>
      <candidateList>
        <item>）</item>
      </candidateList>
      <explain>文本全半角错误。</explain>
      <paraID>55A8A75E</paraID>
      <start>66</start>
      <end>67</end>
      <status>unmodified</status>
      <modifiedWord/>
      <trackRevisions>false</trackRevisions>
    </reviewItem>
    <reviewItem>
      <errorID>19c261d9-3d21-4417-b104-7915d76fd8f9</errorID>
      <errorWord>(</errorWord>
      <group>L1_Format</group>
      <groupName>格式问题</groupName>
      <ability>L2_HalfPunc</ability>
      <abilityName>全半角检查</abilityName>
      <candidateList>
        <item>（</item>
      </candidateList>
      <explain>文本全半角错误。</explain>
      <paraID>55A8A75E</paraID>
      <start>78</start>
      <end>79</end>
      <status>unmodified</status>
      <modifiedWord/>
      <trackRevisions>false</trackRevisions>
    </reviewItem>
    <reviewItem>
      <errorID>fdc83cb8-8cef-4e3b-9918-0061d5edd2ed</errorID>
      <errorWord>)</errorWord>
      <group>L1_Format</group>
      <groupName>格式问题</groupName>
      <ability>L2_HalfPunc</ability>
      <abilityName>全半角检查</abilityName>
      <candidateList>
        <item>）</item>
      </candidateList>
      <explain>文本全半角错误。</explain>
      <paraID>55A8A75E</paraID>
      <start>92</start>
      <end>93</end>
      <status>unmodified</status>
      <modifiedWord/>
      <trackRevisions>false</trackRevisions>
    </reviewItem>
    <reviewItem>
      <errorID>591d5963-d7c7-48f5-851b-302b0d93a5eb</errorID>
      <errorWord>(</errorWord>
      <group>L1_Format</group>
      <groupName>格式问题</groupName>
      <ability>L2_HalfPunc</ability>
      <abilityName>全半角检查</abilityName>
      <candidateList>
        <item>（</item>
      </candidateList>
      <explain>文本全半角错误。</explain>
      <paraID>55A8A75E</paraID>
      <start>107</start>
      <end>108</end>
      <status>unmodified</status>
      <modifiedWord/>
      <trackRevisions>false</trackRevisions>
    </reviewItem>
    <reviewItem>
      <errorID>87074dcc-18eb-4ce3-9d4b-f0f9ceea3eac</errorID>
      <errorWord>)</errorWord>
      <group>L1_Format</group>
      <groupName>格式问题</groupName>
      <ability>L2_HalfPunc</ability>
      <abilityName>全半角检查</abilityName>
      <candidateList>
        <item>）</item>
      </candidateList>
      <explain>文本全半角错误。</explain>
      <paraID>55A8A75E</paraID>
      <start>121</start>
      <end>122</end>
      <status>unmodified</status>
      <modifiedWord/>
      <trackRevisions>false</trackRevisions>
    </reviewItem>
    <reviewItem>
      <errorID>b7dff057-4563-4df6-a41e-8e994a225e62</errorID>
      <errorWord>洒</errorWord>
      <group>L1_Word</group>
      <groupName>字词问题</groupName>
      <ability>L2_Typo</ability>
      <abilityName>字词错误</abilityName>
      <candidateList>
        <item>撒</item>
      </candidateList>
      <explain>存在发音相同字词的误用。</explain>
      <paraID> 1CA65DC</paraID>
      <start>90</start>
      <end>91</end>
      <status>ignored</status>
      <modifiedWord/>
      <trackRevisions>false</trackRevisions>
    </reviewItem>
    <reviewItem>
      <errorID>9f470614-e535-467b-b7e6-28879aa220c1</errorID>
      <errorWord>(</errorWord>
      <group>L1_Format</group>
      <groupName>格式问题</groupName>
      <ability>L2_HalfPunc</ability>
      <abilityName>全半角检查</abilityName>
      <candidateList>
        <item>（</item>
      </candidateList>
      <explain>文本全半角错误。</explain>
      <paraID>35D1BD26</paraID>
      <start>45</start>
      <end>46</end>
      <status>unmodified</status>
      <modifiedWord/>
      <trackRevisions>false</trackRevisions>
    </reviewItem>
    <reviewItem>
      <errorID>be1af800-05a0-45e4-b508-c3db6aec81be</errorID>
      <errorWord>)</errorWord>
      <group>L1_Format</group>
      <groupName>格式问题</groupName>
      <ability>L2_HalfPunc</ability>
      <abilityName>全半角检查</abilityName>
      <candidateList>
        <item>）</item>
      </candidateList>
      <explain>文本全半角错误。</explain>
      <paraID>35D1BD26</paraID>
      <start>54</start>
      <end>55</end>
      <status>unmodified</status>
      <modifiedWord/>
      <trackRevisions>false</trackRevisions>
    </reviewItem>
    <reviewItem>
      <errorID>5b779bbc-8396-4bde-86db-01275325eee1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46E02580</paraID>
      <start>0</start>
      <end>3</end>
      <status>unmodified</status>
      <modifiedWord/>
      <trackRevisions>false</trackRevisions>
    </reviewItem>
    <reviewItem>
      <errorID>0ef3a15c-d6a4-4a00-9df0-ad44be2c8155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3C70C119</paraID>
      <start>0</start>
      <end>3</end>
      <status>unmodified</status>
      <modifiedWord/>
      <trackRevisions>false</trackRevisions>
    </reviewItem>
    <reviewItem>
      <errorID>55d4ec23-a513-4cac-9137-a2fc0e69dc99</errorID>
      <errorWord>抛撒</errorWord>
      <group>L1_Word</group>
      <groupName>字词问题</groupName>
      <ability>L2_Typo</ability>
      <abilityName>字词错误</abilityName>
      <candidateList>
        <item>抛洒</item>
      </candidateList>
      <explain>存在发音相同字词的误用。</explain>
      <paraID>3C70C119</paraID>
      <start>16</start>
      <end>18</end>
      <status>ignored</status>
      <modifiedWord/>
      <trackRevisions>false</trackRevisions>
    </reviewItem>
    <reviewItem>
      <errorID>cc67200d-a452-42cc-93af-c3d34bfeb6cc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2B2AE0DA</paraID>
      <start>0</start>
      <end>3</end>
      <status>unmodified</status>
      <modifiedWord/>
      <trackRevisions>false</trackRevisions>
    </reviewItem>
    <reviewItem>
      <errorID>e38068e6-c61a-41a9-a5e6-9134a54d6466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18491BB7</paraID>
      <start>0</start>
      <end>2</end>
      <status>unmodified</status>
      <modifiedWord/>
      <trackRevisions>false</trackRevisions>
    </reviewItem>
    <reviewItem>
      <errorID>302e365d-0a11-4cc2-ae76-60a609371324</errorID>
      <errorWord>、和</errorWord>
      <group>L1_Punc</group>
      <groupName>标点问题</groupName>
      <ability>L2_Punc</ability>
      <abilityName>标点符号检查</abilityName>
      <candidateList>
        <item>和</item>
      </candidateList>
      <explain>“及”“和”“等”连词前不宜使用顿号，建议删除（或使用逗号）。</explain>
      <paraID>386DEAB3</paraID>
      <start>2</start>
      <end>4</end>
      <status>unmodified</status>
      <modifiedWord/>
      <trackRevisions>false</trackRevisions>
    </reviewItem>
    <reviewItem>
      <errorID>142b1449-166d-4794-a66e-e675948a1c0c</errorID>
      <errorWord>~</errorWord>
      <group>L1_Format</group>
      <groupName>格式问题</groupName>
      <ability>L2_HalfPunc</ability>
      <abilityName>全半角检查</abilityName>
      <candidateList>
        <item>～</item>
      </candidateList>
      <explain>文本全半角错误。</explain>
      <paraID>5B398A77</paraID>
      <start>20</start>
      <end>21</end>
      <status>unmodified</status>
      <modifiedWord/>
      <trackRevisions>false</trackRevisions>
    </reviewItem>
    <reviewItem>
      <errorID>938706f3-dcee-48da-8969-cbfaa25c374d</errorID>
      <errorWord>、和</errorWord>
      <group>L1_Punc</group>
      <groupName>标点问题</groupName>
      <ability>L2_Punc</ability>
      <abilityName>标点符号检查</abilityName>
      <candidateList>
        <item>和</item>
      </candidateList>
      <explain>“及”“和”“等”连词前不宜使用顿号，建议删除（或使用逗号）。</explain>
      <paraID>1A485C7A</paraID>
      <start>78</start>
      <end>80</end>
      <status>unmodified</status>
      <modifiedWord/>
      <trackRevisions>false</trackRevisions>
    </reviewItem>
    <reviewItem>
      <errorID>5054c06c-511f-4172-b1c7-723f494d6feb</errorID>
      <errorWord>、和</errorWord>
      <group>L1_Punc</group>
      <groupName>标点问题</groupName>
      <ability>L2_Punc</ability>
      <abilityName>标点符号检查</abilityName>
      <candidateList>
        <item>和</item>
      </candidateList>
      <explain>“及”“和”“等”连词前不宜使用顿号，建议删除（或使用逗号）。</explain>
      <paraID>1A201CF7</paraID>
      <start>5</start>
      <end>7</end>
      <status>unmodified</status>
      <modifiedWord/>
      <trackRevisions>false</trackRevisions>
    </reviewItem>
    <reviewItem>
      <errorID>7f891804-3996-4ccf-9787-d4b1f304cf59</errorID>
      <errorWord>、和</errorWord>
      <group>L1_Punc</group>
      <groupName>标点问题</groupName>
      <ability>L2_Punc</ability>
      <abilityName>标点符号检查</abilityName>
      <candidateList>
        <item>和</item>
      </candidateList>
      <explain>“及”“和”“等”连词前不宜使用顿号，建议删除（或使用逗号）。</explain>
      <paraID>1A201CF7</paraID>
      <start>58</start>
      <end>60</end>
      <status>unmodified</status>
      <modifiedWord/>
      <trackRevisions>false</trackRevisions>
    </reviewItem>
    <reviewItem>
      <errorID>b15da5fd-b3e4-4766-9293-2b6af47a8740</errorID>
      <errorWord>国家市场监管总局</errorWord>
      <group>L1_Word</group>
      <groupName>字词问题</groupName>
      <ability>L2_Typo</ability>
      <abilityName>字词错误</abilityName>
      <candidateList>
        <item>国家市场监督管理总局</item>
      </candidateList>
      <explain/>
      <paraID> 6A0755C</paraID>
      <start>176</start>
      <end>184</end>
      <status>ignored</status>
      <modifiedWord/>
      <trackRevisions>false</trackRevisions>
    </reviewItem>
    <reviewItem>
      <errorID>dc3012ca-2e56-4b7d-a0d0-4aa365ac6d4c</errorID>
      <errorWord>[2019]607号</errorWord>
      <group>L1_Knowledge</group>
      <groupName>知识性问题</groupName>
      <ability>L2_Knowledge</ability>
      <abilityName>其他知识</abilityName>
      <candidateList>
        <item>〔2019〕607号</item>
      </candidateList>
      <explain>发文字号格式错误。</explain>
      <paraID>4FA06E30</paraID>
      <start>245</start>
      <end>255</end>
      <status>unmodified</status>
      <modifiedWord/>
      <trackRevisions>false</trackRevisions>
    </reviewItem>
    <reviewItem>
      <errorID>289efc2d-4595-4c7b-a71a-50d8239be24d</errorID>
      <errorWord>-</errorWord>
      <group>L1_Format</group>
      <groupName>格式问题</groupName>
      <ability>L2_HalfPunc</ability>
      <abilityName>全半角检查</abilityName>
      <candidateList>
        <item>－</item>
      </candidateList>
      <explain>文本全半角错误。</explain>
      <paraID>305FCFC3</paraID>
      <start>27</start>
      <end>28</end>
      <status>unmodified</status>
      <modifiedWord/>
      <trackRevisions>false</trackRevisions>
    </reviewItem>
    <reviewItem>
      <errorID>beec62a8-a314-4298-a3bb-ae04c7da1536</errorID>
      <errorWord>-</errorWord>
      <group>L1_Format</group>
      <groupName>格式问题</groupName>
      <ability>L2_HalfPunc</ability>
      <abilityName>全半角检查</abilityName>
      <candidateList>
        <item>－</item>
      </candidateList>
      <explain>文本全半角错误。</explain>
      <paraID>26D1122E</paraID>
      <start>9</start>
      <end>10</end>
      <status>unmodified</status>
      <modifiedWord/>
      <trackRevisions>false</trackRevisions>
    </reviewItem>
    <reviewItem>
      <errorID>d51acf69-26c5-4f96-95cb-3494ad4571e5</errorID>
      <errorWord>-</errorWord>
      <group>L1_Format</group>
      <groupName>格式问题</groupName>
      <ability>L2_HalfPunc</ability>
      <abilityName>全半角检查</abilityName>
      <candidateList>
        <item>－</item>
      </candidateList>
      <explain>文本全半角错误。</explain>
      <paraID>77461C41</paraID>
      <start>7</start>
      <end>8</end>
      <status>unmodified</status>
      <modifiedWord/>
      <trackRevisions>false</trackRevisions>
    </reviewItem>
    <reviewItem>
      <errorID>16418e6a-19c5-44f5-95b5-8370bfc13410</errorID>
      <errorWord>-</errorWord>
      <group>L1_Format</group>
      <groupName>格式问题</groupName>
      <ability>L2_HalfPunc</ability>
      <abilityName>全半角检查</abilityName>
      <candidateList>
        <item>－</item>
      </candidateList>
      <explain>文本全半角错误。</explain>
      <paraID> 2785045</paraID>
      <start>7</start>
      <end>8</end>
      <status>unmodified</status>
      <modifiedWord/>
      <trackRevisions>false</trackRevisions>
    </reviewItem>
    <reviewItem>
      <errorID>64109813-b3b5-4a31-8e55-3014be4634e3</errorID>
      <errorWord>(</errorWord>
      <group>L1_Format</group>
      <groupName>格式问题</groupName>
      <ability>L2_HalfPunc</ability>
      <abilityName>全半角检查</abilityName>
      <candidateList>
        <item>（</item>
      </candidateList>
      <explain>文本全半角错误。</explain>
      <paraID>18D87C58</paraID>
      <start>5</start>
      <end>6</end>
      <status>unmodified</status>
      <modifiedWord/>
      <trackRevisions>false</trackRevisions>
    </reviewItem>
    <reviewItem>
      <errorID>9267b29c-8c53-4b1a-871b-e8c64aa2faed</errorID>
      <errorWord>-</errorWord>
      <group>L1_Format</group>
      <groupName>格式问题</groupName>
      <ability>L2_HalfPunc</ability>
      <abilityName>全半角检查</abilityName>
      <candidateList>
        <item>－</item>
      </candidateList>
      <explain>文本全半角错误。</explain>
      <paraID>18D87C58</paraID>
      <start>10</start>
      <end>11</end>
      <status>unmodified</status>
      <modifiedWord/>
      <trackRevisions>false</trackRevisions>
    </reviewItem>
    <reviewItem>
      <errorID>be94637e-c7df-423d-b3d6-4151ee694166</errorID>
      <errorWord>(</errorWord>
      <group>L1_Format</group>
      <groupName>格式问题</groupName>
      <ability>L2_HalfPunc</ability>
      <abilityName>全半角检查</abilityName>
      <candidateList>
        <item>（</item>
      </candidateList>
      <explain>文本全半角错误。</explain>
      <paraID>485980C4</paraID>
      <start>4</start>
      <end>5</end>
      <status>unmodified</status>
      <modifiedWord/>
      <trackRevisions>false</trackRevisions>
    </reviewItem>
    <reviewItem>
      <errorID>0c103b21-b914-475d-843a-6130d0b796d5</errorID>
      <errorWord>)</errorWord>
      <group>L1_Format</group>
      <groupName>格式问题</groupName>
      <ability>L2_HalfPunc</ability>
      <abilityName>全半角检查</abilityName>
      <candidateList>
        <item>）</item>
      </candidateList>
      <explain>文本全半角错误。</explain>
      <paraID>1C81C2FD</paraID>
      <start>7</start>
      <end>8</end>
      <status>unmodified</status>
      <modifiedWord/>
      <trackRevisions>false</trackRevisions>
    </reviewItem>
    <reviewItem>
      <errorID>00292b61-1795-4a2d-8546-99d6462c6a1a</errorID>
      <errorWord>(</errorWord>
      <group>L1_Format</group>
      <groupName>格式问题</groupName>
      <ability>L2_HalfPunc</ability>
      <abilityName>全半角检查</abilityName>
      <candidateList>
        <item>（</item>
      </candidateList>
      <explain>文本全半角错误。</explain>
      <paraID>71953263</paraID>
      <start>18</start>
      <end>19</end>
      <status>unmodified</status>
      <modifiedWord/>
      <trackRevisions>false</trackRevisions>
    </reviewItem>
    <reviewItem>
      <errorID>8043adbd-e45b-4b73-aada-9215ab79e906</errorID>
      <errorWord>)</errorWord>
      <group>L1_Format</group>
      <groupName>格式问题</groupName>
      <ability>L2_HalfPunc</ability>
      <abilityName>全半角检查</abilityName>
      <candidateList>
        <item>）</item>
      </candidateList>
      <explain>文本全半角错误。</explain>
      <paraID>71953263</paraID>
      <start>29</start>
      <end>30</end>
      <status>unmodified</status>
      <modifiedWord/>
      <trackRevisions>false</trackRevisions>
    </reviewItem>
    <reviewItem>
      <errorID>0717383f-a317-4d52-a1a7-7916b59fe758</errorID>
      <errorWord>-</errorWord>
      <group>L1_Format</group>
      <groupName>格式问题</groupName>
      <ability>L2_HalfPunc</ability>
      <abilityName>全半角检查</abilityName>
      <candidateList>
        <item>－</item>
      </candidateList>
      <explain>文本全半角错误。</explain>
      <paraID>71953263</paraID>
      <start>123</start>
      <end>124</end>
      <status>unmodified</status>
      <modifiedWord/>
      <trackRevisions>false</trackRevisions>
    </reviewItem>
    <reviewItem>
      <errorID>5dc11ed2-d3d0-4306-b395-1a8353603736</errorID>
      <errorWord>(</errorWord>
      <group>L1_Format</group>
      <groupName>格式问题</groupName>
      <ability>L2_HalfPunc</ability>
      <abilityName>全半角检查</abilityName>
      <candidateList>
        <item>（</item>
      </candidateList>
      <explain>文本全半角错误。</explain>
      <paraID> CE108BA</paraID>
      <start>218</start>
      <end>219</end>
      <status>unmodified</status>
      <modifiedWord/>
      <trackRevisions>false</trackRevisions>
    </reviewItem>
    <reviewItem>
      <errorID>2fc4f9f1-5ce4-46a6-aa0a-72313e238f1e</errorID>
      <errorWord>)</errorWord>
      <group>L1_Format</group>
      <groupName>格式问题</groupName>
      <ability>L2_HalfPunc</ability>
      <abilityName>全半角检查</abilityName>
      <candidateList>
        <item>）</item>
      </candidateList>
      <explain>文本全半角错误。</explain>
      <paraID> CE108BA</paraID>
      <start>233</start>
      <end>234</end>
      <status>unmodified</status>
      <modifiedWord/>
      <trackRevisions>false</trackRevisions>
    </reviewItem>
    <reviewItem>
      <errorID>5565ef02-7f61-4f90-a139-59967d57d396</errorID>
      <errorWord>(</errorWord>
      <group>L1_Format</group>
      <groupName>格式问题</groupName>
      <ability>L2_HalfPunc</ability>
      <abilityName>全半角检查</abilityName>
      <candidateList>
        <item>（</item>
      </candidateList>
      <explain>文本全半角错误。</explain>
      <paraID>3AC123CC</paraID>
      <start>223</start>
      <end>224</end>
      <status>unmodified</status>
      <modifiedWord/>
      <trackRevisions>false</trackRevisions>
    </reviewItem>
    <reviewItem>
      <errorID>a50fb902-2021-4137-90d9-17833e21e13f</errorID>
      <errorWord>)</errorWord>
      <group>L1_Format</group>
      <groupName>格式问题</groupName>
      <ability>L2_HalfPunc</ability>
      <abilityName>全半角检查</abilityName>
      <candidateList>
        <item>）</item>
      </candidateList>
      <explain>文本全半角错误。</explain>
      <paraID>3AC123CC</paraID>
      <start>238</start>
      <end>239</end>
      <status>unmodified</status>
      <modifiedWord/>
      <trackRevisions>false</trackRevisions>
    </reviewItem>
    <reviewItem>
      <errorID>0c6f6b39-54af-44d8-841f-1935b9ab5ee2</errorID>
      <errorWord>(</errorWord>
      <group>L1_Format</group>
      <groupName>格式问题</groupName>
      <ability>L2_HalfPunc</ability>
      <abilityName>全半角检查</abilityName>
      <candidateList>
        <item>（</item>
      </candidateList>
      <explain>文本全半角错误。</explain>
      <paraID>30F5824F</paraID>
      <start>224</start>
      <end>225</end>
      <status>unmodified</status>
      <modifiedWord/>
      <trackRevisions>false</trackRevisions>
    </reviewItem>
    <reviewItem>
      <errorID>879573d6-d4a7-403c-a93b-a25731ca3e4c</errorID>
      <errorWord>)</errorWord>
      <group>L1_Format</group>
      <groupName>格式问题</groupName>
      <ability>L2_HalfPunc</ability>
      <abilityName>全半角检查</abilityName>
      <candidateList>
        <item>）</item>
      </candidateList>
      <explain>文本全半角错误。</explain>
      <paraID>30F5824F</paraID>
      <start>239</start>
      <end>240</end>
      <status>unmodified</status>
      <modifiedWord/>
      <trackRevisions>false</trackRevisions>
    </reviewItem>
    <reviewItem>
      <errorID>8c21f040-29ae-4a3b-8aba-b7b0fdf2cd85</errorID>
      <errorWord>(</errorWord>
      <group>L1_Format</group>
      <groupName>格式问题</groupName>
      <ability>L2_HalfPunc</ability>
      <abilityName>全半角检查</abilityName>
      <candidateList>
        <item>（</item>
      </candidateList>
      <explain>文本全半角错误。</explain>
      <paraID>570439C3</paraID>
      <start>455</start>
      <end>456</end>
      <status>unmodified</status>
      <modifiedWord/>
      <trackRevisions>false</trackRevisions>
    </reviewItem>
    <reviewItem>
      <errorID>7a079075-308e-4c61-8291-755c1f44ef4e</errorID>
      <errorWord>)</errorWord>
      <group>L1_Format</group>
      <groupName>格式问题</groupName>
      <ability>L2_HalfPunc</ability>
      <abilityName>全半角检查</abilityName>
      <candidateList>
        <item>）</item>
      </candidateList>
      <explain>文本全半角错误。</explain>
      <paraID>570439C3</paraID>
      <start>466</start>
      <end>467</end>
      <status>unmodified</status>
      <modifiedWord/>
      <trackRevisions>false</trackRevisions>
    </reviewItem>
    <reviewItem>
      <errorID>9d35a246-bbbe-45af-9c37-e9d4aadedc52</errorID>
      <errorWord>根据根据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56F27757</paraID>
      <start>50</start>
      <end>52</end>
      <status>modified</status>
      <modifiedWord>根据</modifiedWord>
      <trackRevisions>false</trackRevisions>
    </reviewItem>
    <reviewItem>
      <errorID>07849f77-1aa7-439e-90dd-94973d8327f4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7BAAA935</paraID>
      <start>0</start>
      <end>2</end>
      <status>unmodified</status>
      <modifiedWord/>
      <trackRevisions>false</trackRevisions>
    </reviewItem>
    <reviewItem>
      <errorID>fca31ee2-2a9a-4da7-95ff-e3b723dc570e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219A8746</paraID>
      <start>0</start>
      <end>2</end>
      <status>unmodified</status>
      <modifiedWord/>
      <trackRevisions>false</trackRevisions>
    </reviewItem>
    <reviewItem>
      <errorID>5725a99b-bd02-4a39-a097-c2b8f0e2a182</errorID>
      <errorWord>（</errorWord>
      <group>L1_Format</group>
      <groupName>格式问题</groupName>
      <ability>L2_HalfPunc</ability>
      <abilityName>全半角检查</abilityName>
      <candidateList>
        <item>(</item>
      </candidateList>
      <explain>文本全半角错误。</explain>
      <paraID>6E9867FA</paraID>
      <start>0</start>
      <end>1</end>
      <status>unmodified</status>
      <modifiedWord/>
      <trackRevisions>false</trackRevisions>
    </reviewItem>
    <reviewItem>
      <errorID>ec8d3d0d-e1c7-42a1-8b1a-28255fdacd7e</errorID>
      <errorWord>）</errorWord>
      <group>L1_Format</group>
      <groupName>格式问题</groupName>
      <ability>L2_HalfPunc</ability>
      <abilityName>全半角检查</abilityName>
      <candidateList>
        <item>)</item>
      </candidateList>
      <explain>文本全半角错误。</explain>
      <paraID>6E9867FA</paraID>
      <start>5</start>
      <end>6</end>
      <status>unmodified</status>
      <modifiedWord/>
      <trackRevisions>false</trackRevisions>
    </reviewItem>
    <reviewItem>
      <errorID>bfccf452-c1d9-483d-bfe7-093dfc1fe0f6</errorID>
      <errorWord>（</errorWord>
      <group>L1_Format</group>
      <groupName>格式问题</groupName>
      <ability>L2_HalfPunc</ability>
      <abilityName>全半角检查</abilityName>
      <candidateList>
        <item>(</item>
      </candidateList>
      <explain>文本全半角错误。</explain>
      <paraID> AB11982</paraID>
      <start>0</start>
      <end>1</end>
      <status>unmodified</status>
      <modifiedWord/>
      <trackRevisions>false</trackRevisions>
    </reviewItem>
    <reviewItem>
      <errorID>b8f638a9-4ec8-4001-91de-bc9e99a3bec6</errorID>
      <errorWord>）</errorWord>
      <group>L1_Format</group>
      <groupName>格式问题</groupName>
      <ability>L2_HalfPunc</ability>
      <abilityName>全半角检查</abilityName>
      <candidateList>
        <item>)</item>
      </candidateList>
      <explain>文本全半角错误。</explain>
      <paraID> AB11982</paraID>
      <start>5</start>
      <end>6</end>
      <status>unmodified</status>
      <modifiedWord/>
      <trackRevisions>false</trackRevisions>
    </reviewItem>
    <reviewItem>
      <errorID>14ede000-9805-4e86-a106-722c750506e6</errorID>
      <errorWord>（</errorWord>
      <group>L1_Format</group>
      <groupName>格式问题</groupName>
      <ability>L2_HalfPunc</ability>
      <abilityName>全半角检查</abilityName>
      <candidateList>
        <item>(</item>
      </candidateList>
      <explain>文本全半角错误。</explain>
      <paraID> D15CB71</paraID>
      <start>0</start>
      <end>1</end>
      <status>unmodified</status>
      <modifiedWord/>
      <trackRevisions>false</trackRevisions>
    </reviewItem>
    <reviewItem>
      <errorID>ca4662ad-8fc7-4d3d-9fd1-f468caf72aad</errorID>
      <errorWord>）</errorWord>
      <group>L1_Format</group>
      <groupName>格式问题</groupName>
      <ability>L2_HalfPunc</ability>
      <abilityName>全半角检查</abilityName>
      <candidateList>
        <item>)</item>
      </candidateList>
      <explain>文本全半角错误。</explain>
      <paraID> D15CB71</paraID>
      <start>5</start>
      <end>6</end>
      <status>unmodified</status>
      <modifiedWord/>
      <trackRevisions>false</trackRevisions>
    </reviewItem>
    <reviewItem>
      <errorID>f3dbfe0a-4b59-44e8-b4eb-2232d5f6b989</errorID>
      <errorWord>（</errorWord>
      <group>L1_Format</group>
      <groupName>格式问题</groupName>
      <ability>L2_HalfPunc</ability>
      <abilityName>全半角检查</abilityName>
      <candidateList>
        <item>(</item>
      </candidateList>
      <explain>文本全半角错误。</explain>
      <paraID>41D08019</paraID>
      <start>0</start>
      <end>1</end>
      <status>unmodified</status>
      <modifiedWord/>
      <trackRevisions>false</trackRevisions>
    </reviewItem>
    <reviewItem>
      <errorID>6e09a619-facb-4717-b6c5-c479b5fc3fee</errorID>
      <errorWord>）</errorWord>
      <group>L1_Format</group>
      <groupName>格式问题</groupName>
      <ability>L2_HalfPunc</ability>
      <abilityName>全半角检查</abilityName>
      <candidateList>
        <item>)</item>
      </candidateList>
      <explain>文本全半角错误。</explain>
      <paraID>41D08019</paraID>
      <start>5</start>
      <end>6</end>
      <status>unmodified</status>
      <modifiedWord/>
      <trackRevisions>false</trackRevisions>
    </reviewItem>
    <reviewItem>
      <errorID>47ad0b89-ef90-4463-b3fd-89cd7673614d</errorID>
      <errorWord>。。</errorWord>
      <group>L1_Punc</group>
      <groupName>标点问题</groupName>
      <ability>L2_Punc</ability>
      <abilityName>标点符号检查</abilityName>
      <candidateList>
        <item>。</item>
      </candidateList>
      <explain/>
      <paraID>297C89FE</paraID>
      <start>36</start>
      <end>38</end>
      <status>unmodified</status>
      <modifiedWord/>
      <trackRevisions>false</trackRevisions>
    </reviewItem>
    <reviewItem>
      <errorID>e8a24707-bdb7-41ff-be73-aab3f376d7ba</errorID>
      <errorWord>(</errorWord>
      <group>L1_Format</group>
      <groupName>格式问题</groupName>
      <ability>L2_HalfPunc</ability>
      <abilityName>全半角检查</abilityName>
      <candidateList>
        <item>（</item>
      </candidateList>
      <explain>文本全半角错误。</explain>
      <paraID>5E68E8FB</paraID>
      <start>3</start>
      <end>4</end>
      <status>unmodified</status>
      <modifiedWord/>
      <trackRevisions>false</trackRevisions>
    </reviewItem>
    <reviewItem>
      <errorID>2b09eabe-d905-48af-b08d-e85e4b75b61d</errorID>
      <errorWord>)</errorWord>
      <group>L1_Format</group>
      <groupName>格式问题</groupName>
      <ability>L2_HalfPunc</ability>
      <abilityName>全半角检查</abilityName>
      <candidateList>
        <item>）</item>
      </candidateList>
      <explain>文本全半角错误。</explain>
      <paraID>5E68E8FB</paraID>
      <start>8</start>
      <end>9</end>
      <status>unmodified</status>
      <modifiedWord/>
      <trackRevisions>false</trackRevisions>
    </reviewItem>
    <reviewItem>
      <errorID>73b33e90-8c52-4319-8477-e0ea03472b0b</errorID>
      <errorWord>(</errorWord>
      <group>L1_Format</group>
      <groupName>格式问题</groupName>
      <ability>L2_HalfPunc</ability>
      <abilityName>全半角检查</abilityName>
      <candidateList>
        <item>（</item>
      </candidateList>
      <explain>文本全半角错误。</explain>
      <paraID>188F1FC8</paraID>
      <start>3</start>
      <end>4</end>
      <status>unmodified</status>
      <modifiedWord/>
      <trackRevisions>false</trackRevisions>
    </reviewItem>
    <reviewItem>
      <errorID>b0ab10a7-d4a7-49e2-9b27-cc16201e0379</errorID>
      <errorWord>)</errorWord>
      <group>L1_Format</group>
      <groupName>格式问题</groupName>
      <ability>L2_HalfPunc</ability>
      <abilityName>全半角检查</abilityName>
      <candidateList>
        <item>）</item>
      </candidateList>
      <explain>文本全半角错误。</explain>
      <paraID>188F1FC8</paraID>
      <start>7</start>
      <end>8</end>
      <status>unmodified</status>
      <modifiedWord/>
      <trackRevisions>false</trackRevisions>
    </reviewItem>
    <reviewItem>
      <errorID>e7d61c87-9f5a-4e4a-88be-fbc5d1ed1faf</errorID>
      <errorWord>（</errorWord>
      <group>L1_Format</group>
      <groupName>格式问题</groupName>
      <ability>L2_HalfPunc</ability>
      <abilityName>全半角检查</abilityName>
      <candidateList>
        <item>(</item>
      </candidateList>
      <explain>文本全半角错误。</explain>
      <paraID> C3591D8</paraID>
      <start>3</start>
      <end>4</end>
      <status>unmodified</status>
      <modifiedWord/>
      <trackRevisions>false</trackRevisions>
    </reviewItem>
    <reviewItem>
      <errorID>aafbd8f8-aae0-412e-8a64-dc8ae4d7a80e</errorID>
      <errorWord>）</errorWord>
      <group>L1_Format</group>
      <groupName>格式问题</groupName>
      <ability>L2_HalfPunc</ability>
      <abilityName>全半角检查</abilityName>
      <candidateList>
        <item>)</item>
      </candidateList>
      <explain>文本全半角错误。</explain>
      <paraID> C3591D8</paraID>
      <start>7</start>
      <end>8</end>
      <status>unmodified</status>
      <modifiedWord/>
      <trackRevisions>false</trackRevisions>
    </reviewItem>
    <reviewItem>
      <errorID>ebbb27e2-501f-4747-8d0f-25d6057155f4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3E7A1B48</paraID>
      <start>0</start>
      <end>3</end>
      <status>unmodified</status>
      <modifiedWord/>
      <trackRevisions>false</trackRevisions>
    </reviewItem>
    <reviewItem>
      <errorID>6699939d-de1a-4bac-aba9-a49042d6c04b</errorID>
      <errorWord>(</errorWord>
      <group>L1_Format</group>
      <groupName>格式问题</groupName>
      <ability>L2_HalfPunc</ability>
      <abilityName>全半角检查</abilityName>
      <candidateList>
        <item>（</item>
      </candidateList>
      <explain>文本全半角错误。</explain>
      <paraID>1286CB7C</paraID>
      <start>45</start>
      <end>46</end>
      <status>unmodified</status>
      <modifiedWord/>
      <trackRevisions>false</trackRevisions>
    </reviewItem>
    <reviewItem>
      <errorID>3a48039a-0a7c-4ae0-be30-5ed1982f99b7</errorID>
      <errorWord>)</errorWord>
      <group>L1_Format</group>
      <groupName>格式问题</groupName>
      <ability>L2_HalfPunc</ability>
      <abilityName>全半角检查</abilityName>
      <candidateList>
        <item>）</item>
      </candidateList>
      <explain>文本全半角错误。</explain>
      <paraID>1286CB7C</paraID>
      <start>58</start>
      <end>59</end>
      <status>unmodified</status>
      <modifiedWord/>
      <trackRevisions>false</trackRevisions>
    </reviewItem>
    <reviewItem>
      <errorID>08b98625-f608-45ee-bbfb-e13340e5aad3</errorID>
      <errorWord>(</errorWord>
      <group>L1_Format</group>
      <groupName>格式问题</groupName>
      <ability>L2_HalfPunc</ability>
      <abilityName>全半角检查</abilityName>
      <candidateList>
        <item>（</item>
      </candidateList>
      <explain>文本全半角错误。</explain>
      <paraID>3ABDF6D4</paraID>
      <start>221</start>
      <end>222</end>
      <status>unmodified</status>
      <modifiedWord/>
      <trackRevisions>false</trackRevisions>
    </reviewItem>
    <reviewItem>
      <errorID>55571678-ebb2-40a8-b9da-ad08f5f6e99b</errorID>
      <errorWord>)</errorWord>
      <group>L1_Format</group>
      <groupName>格式问题</groupName>
      <ability>L2_HalfPunc</ability>
      <abilityName>全半角检查</abilityName>
      <candidateList>
        <item>）</item>
      </candidateList>
      <explain>文本全半角错误。</explain>
      <paraID>3ABDF6D4</paraID>
      <start>244</start>
      <end>245</end>
      <status>unmodified</status>
      <modifiedWord/>
      <trackRevisions>false</trackRevisions>
    </reviewItem>
    <reviewItem>
      <errorID>f77a5289-63b7-4754-b4d9-6e104729c7a5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7D788195</paraID>
      <start>0</start>
      <end>3</end>
      <status>unmodified</status>
      <modifiedWord/>
      <trackRevisions>false</trackRevisions>
    </reviewItem>
    <reviewItem>
      <errorID>5513d2ff-ffb8-4bfd-b080-3945c45381b6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2A7C0E22</paraID>
      <start>0</start>
      <end>2</end>
      <status>unmodified</status>
      <modifiedWord/>
      <trackRevisions>false</trackRevisions>
    </reviewItem>
    <reviewItem>
      <errorID>bd537e7f-c0fc-428b-8f99-f0d2832be859</errorID>
      <errorWord>（</errorWord>
      <group>L1_Format</group>
      <groupName>格式问题</groupName>
      <ability>L2_HalfPunc</ability>
      <abilityName>全半角检查</abilityName>
      <candidateList>
        <item>(</item>
      </candidateList>
      <explain>文本全半角错误。</explain>
      <paraID> 6CD6EC8</paraID>
      <start>2</start>
      <end>3</end>
      <status>unmodified</status>
      <modifiedWord/>
      <trackRevisions>false</trackRevisions>
    </reviewItem>
    <reviewItem>
      <errorID>895c0a37-443d-4d72-b8fc-ba284cf62ee8</errorID>
      <errorWord>）</errorWord>
      <group>L1_Format</group>
      <groupName>格式问题</groupName>
      <ability>L2_HalfPunc</ability>
      <abilityName>全半角检查</abilityName>
      <candidateList>
        <item>)</item>
      </candidateList>
      <explain>文本全半角错误。</explain>
      <paraID> 6CD6EC8</paraID>
      <start>4</start>
      <end>5</end>
      <status>unmodified</status>
      <modifiedWord/>
      <trackRevisions>false</trackRevisions>
    </reviewItem>
    <reviewItem>
      <errorID>891d0c39-f63c-4de2-8b9b-113bd48d4fa0</errorID>
      <errorWord>（</errorWord>
      <group>L1_Format</group>
      <groupName>格式问题</groupName>
      <ability>L2_HalfPunc</ability>
      <abilityName>全半角检查</abilityName>
      <candidateList>
        <item>(</item>
      </candidateList>
      <explain>文本全半角错误。</explain>
      <paraID>278B6A3C</paraID>
      <start>0</start>
      <end>1</end>
      <status>unmodified</status>
      <modifiedWord/>
      <trackRevisions>false</trackRevisions>
    </reviewItem>
    <reviewItem>
      <errorID>2befda03-1893-48fd-8c78-be67ea99eccc</errorID>
      <errorWord>，</errorWord>
      <group>L1_Format</group>
      <groupName>格式问题</groupName>
      <ability>L2_HalfPunc</ability>
      <abilityName>全半角检查</abilityName>
      <candidateList>
        <item>, </item>
      </candidateList>
      <explain>文本全半角错误。</explain>
      <paraID>278B6A3C</paraID>
      <start>2</start>
      <end>3</end>
      <status>unmodified</status>
      <modifiedWord/>
      <trackRevisions>false</trackRevisions>
    </reviewItem>
    <reviewItem>
      <errorID>12af0466-31ef-4f80-81d3-7dd83e4bf3b3</errorID>
      <errorWord>，</errorWord>
      <group>L1_Format</group>
      <groupName>格式问题</groupName>
      <ability>L2_HalfPunc</ability>
      <abilityName>全半角检查</abilityName>
      <candidateList>
        <item>, </item>
      </candidateList>
      <explain>文本全半角错误。</explain>
      <paraID>278B6A3C</paraID>
      <start>4</start>
      <end>5</end>
      <status>unmodified</status>
      <modifiedWord/>
      <trackRevisions>false</trackRevisions>
    </reviewItem>
    <reviewItem>
      <errorID>122cc159-4d4c-453f-b0f3-f4006585fa34</errorID>
      <errorWord>）</errorWord>
      <group>L1_Format</group>
      <groupName>格式问题</groupName>
      <ability>L2_HalfPunc</ability>
      <abilityName>全半角检查</abilityName>
      <candidateList>
        <item>)</item>
      </candidateList>
      <explain>文本全半角错误。</explain>
      <paraID>278B6A3C</paraID>
      <start>6</start>
      <end>7</end>
      <status>unmodified</status>
      <modifiedWord/>
      <trackRevisions>false</trackRevisions>
    </reviewItem>
    <reviewItem>
      <errorID>3e22ec9d-c9ae-4751-b6e9-e63b8e717603</errorID>
      <errorWord>（</errorWord>
      <group>L1_Format</group>
      <groupName>格式问题</groupName>
      <ability>L2_HalfPunc</ability>
      <abilityName>全半角检查</abilityName>
      <candidateList>
        <item>(</item>
      </candidateList>
      <explain>文本全半角错误。</explain>
      <paraID>586211D1</paraID>
      <start>2</start>
      <end>3</end>
      <status>unmodified</status>
      <modifiedWord/>
      <trackRevisions>false</trackRevisions>
    </reviewItem>
    <reviewItem>
      <errorID>b4d00792-0eee-44de-9457-5e7be8f0a7c0</errorID>
      <errorWord>）</errorWord>
      <group>L1_Format</group>
      <groupName>格式问题</groupName>
      <ability>L2_HalfPunc</ability>
      <abilityName>全半角检查</abilityName>
      <candidateList>
        <item>)</item>
      </candidateList>
      <explain>文本全半角错误。</explain>
      <paraID>586211D1</paraID>
      <start>4</start>
      <end>5</end>
      <status>unmodified</status>
      <modifiedWord/>
      <trackRevisions>false</trackRevisions>
    </reviewItem>
    <reviewItem>
      <errorID>4db0d128-932a-4884-8fdf-efbde52ebe5b</errorID>
      <errorWord>（</errorWord>
      <group>L1_Format</group>
      <groupName>格式问题</groupName>
      <ability>L2_HalfPunc</ability>
      <abilityName>全半角检查</abilityName>
      <candidateList>
        <item>(</item>
      </candidateList>
      <explain>文本全半角错误。</explain>
      <paraID>282067F2</paraID>
      <start>2</start>
      <end>3</end>
      <status>unmodified</status>
      <modifiedWord/>
      <trackRevisions>false</trackRevisions>
    </reviewItem>
    <reviewItem>
      <errorID>654ab156-db53-43ea-b59e-077ee1cfcf4d</errorID>
      <errorWord>）</errorWord>
      <group>L1_Format</group>
      <groupName>格式问题</groupName>
      <ability>L2_HalfPunc</ability>
      <abilityName>全半角检查</abilityName>
      <candidateList>
        <item>)</item>
      </candidateList>
      <explain>文本全半角错误。</explain>
      <paraID>282067F2</paraID>
      <start>4</start>
      <end>5</end>
      <status>unmodified</status>
      <modifiedWord/>
      <trackRevisions>false</trackRevisions>
    </reviewItem>
    <reviewItem>
      <errorID>67e3fa2a-d30d-4cee-8c84-ca9c20781cb7</errorID>
      <errorWord>、</errorWord>
      <group>L1_Punc</group>
      <groupName>标点问题</groupName>
      <ability>L2_Punc</ability>
      <abilityName>标点符号检查</abilityName>
      <candidateList>
        <item>.</item>
      </candidateList>
      <explain/>
      <paraID>1ADDD3EB</paraID>
      <start>1</start>
      <end>2</end>
      <status>unmodified</status>
      <modifiedWord/>
      <trackRevisions>false</trackRevisions>
    </reviewItem>
    <reviewItem>
      <errorID>d5085467-4dc5-4a59-b458-e76633d85d6d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6D591726</paraID>
      <start>0</start>
      <end>2</end>
      <status>unmodified</status>
      <modifiedWord/>
      <trackRevisions>false</trackRevisions>
    </reviewItem>
    <reviewItem>
      <errorID>bf8a8a7b-c1a4-444f-995d-f5a4e7803709</errorID>
      <errorWord>-</errorWord>
      <group>L1_Format</group>
      <groupName>格式问题</groupName>
      <ability>L2_HalfPunc</ability>
      <abilityName>全半角检查</abilityName>
      <candidateList>
        <item>－</item>
      </candidateList>
      <explain>文本全半角错误。</explain>
      <paraID>5B951448</paraID>
      <start>7</start>
      <end>8</end>
      <status>unmodified</status>
      <modifiedWord/>
      <trackRevisions>false</trackRevisions>
    </reviewItem>
    <reviewItem>
      <errorID>ce398ec0-f6b1-4e35-a8b9-747314f5cf1c</errorID>
      <errorWord>-</errorWord>
      <group>L1_Format</group>
      <groupName>格式问题</groupName>
      <ability>L2_HalfPunc</ability>
      <abilityName>全半角检查</abilityName>
      <candidateList>
        <item>－</item>
      </candidateList>
      <explain>文本全半角错误。</explain>
      <paraID>7EC9754D</paraID>
      <start>4</start>
      <end>5</end>
      <status>unmodified</status>
      <modifiedWord/>
      <trackRevisions>false</trackRevisions>
    </reviewItem>
    <reviewItem>
      <errorID>ecd6a643-c3cc-48d8-a0fc-f6f2aaa1e3a6</errorID>
      <errorWord>-</errorWord>
      <group>L1_Format</group>
      <groupName>格式问题</groupName>
      <ability>L2_HalfPunc</ability>
      <abilityName>全半角检查</abilityName>
      <candidateList>
        <item>－</item>
      </candidateList>
      <explain>文本全半角错误。</explain>
      <paraID>62AF809E</paraID>
      <start>3</start>
      <end>4</end>
      <status>unmodified</status>
      <modifiedWord/>
      <trackRevisions>false</trackRevisions>
    </reviewItem>
    <reviewItem>
      <errorID>3b1af0a7-ef17-494e-bbcb-6625bb7c106a</errorID>
      <errorWord>-</errorWord>
      <group>L1_Format</group>
      <groupName>格式问题</groupName>
      <ability>L2_HalfPunc</ability>
      <abilityName>全半角检查</abilityName>
      <candidateList>
        <item>－</item>
      </candidateList>
      <explain>文本全半角错误。</explain>
      <paraID>6F7F517A</paraID>
      <start>7</start>
      <end>8</end>
      <status>unmodified</status>
      <modifiedWord/>
      <trackRevisions>false</trackRevisions>
    </reviewItem>
    <reviewItem>
      <errorID>fedce11c-f68e-481a-bf3f-45493f0ebfbd</errorID>
      <errorWord>-</errorWord>
      <group>L1_Format</group>
      <groupName>格式问题</groupName>
      <ability>L2_HalfPunc</ability>
      <abilityName>全半角检查</abilityName>
      <candidateList>
        <item>－</item>
      </candidateList>
      <explain>文本全半角错误。</explain>
      <paraID>7C05F43C</paraID>
      <start>45</start>
      <end>46</end>
      <status>unmodified</status>
      <modifiedWord/>
      <trackRevisions>false</trackRevisions>
    </reviewItem>
    <reviewItem>
      <errorID>22f2c714-cde8-42a3-8861-33ed3cf2d231</errorID>
      <errorWord>-</errorWord>
      <group>L1_Format</group>
      <groupName>格式问题</groupName>
      <ability>L2_HalfPunc</ability>
      <abilityName>全半角检查</abilityName>
      <candidateList>
        <item>－</item>
      </candidateList>
      <explain>文本全半角错误。</explain>
      <paraID>66E84EC7</paraID>
      <start>0</start>
      <end>1</end>
      <status>unmodified</status>
      <modifiedWord/>
      <trackRevisions>false</trackRevisions>
    </reviewItem>
    <reviewItem>
      <errorID>5c11df92-75ab-4667-938f-9de15f046e51</errorID>
      <errorWord>）</errorWord>
      <group>L1_Format</group>
      <groupName>格式问题</groupName>
      <ability>L2_HalfPunc</ability>
      <abilityName>全半角检查</abilityName>
      <candidateList>
        <item>)</item>
      </candidateList>
      <explain>文本全半角错误。</explain>
      <paraID>132224D8</paraID>
      <start>14</start>
      <end>15</end>
      <status>unmodified</status>
      <modifiedWord/>
      <trackRevisions>false</trackRevisions>
    </reviewItem>
    <reviewItem>
      <errorID>e52f77c9-eb3d-4da0-a7b5-2b0d2fbfee76</errorID>
      <errorWord>）</errorWord>
      <group>L1_Format</group>
      <groupName>格式问题</groupName>
      <ability>L2_HalfPunc</ability>
      <abilityName>全半角检查</abilityName>
      <candidateList>
        <item>)</item>
      </candidateList>
      <explain>文本全半角错误。</explain>
      <paraID>132224D8</paraID>
      <start>23</start>
      <end>24</end>
      <status>unmodified</status>
      <modifiedWord/>
      <trackRevisions>false</trackRevisions>
    </reviewItem>
    <reviewItem>
      <errorID>e90c40d1-7d0a-4ab6-a304-7a51584e1048</errorID>
      <errorWord>；</errorWord>
      <group>L1_Format</group>
      <groupName>格式问题</groupName>
      <ability>L2_HalfPunc</ability>
      <abilityName>全半角检查</abilityName>
      <candidateList>
        <item>;</item>
      </candidateList>
      <explain>文本全半角错误。</explain>
      <paraID>17B4FF9D</paraID>
      <start>2</start>
      <end>3</end>
      <status>unmodified</status>
      <modifiedWord/>
      <trackRevisions>false</trackRevisions>
    </reviewItem>
    <reviewItem>
      <errorID>24284fd3-34cd-43b4-90fd-4bef8f8466de</errorID>
      <errorWord>-</errorWord>
      <group>L1_Format</group>
      <groupName>格式问题</groupName>
      <ability>L2_HalfPunc</ability>
      <abilityName>全半角检查</abilityName>
      <candidateList>
        <item>－</item>
      </candidateList>
      <explain>文本全半角错误。</explain>
      <paraID> B15142B</paraID>
      <start>6</start>
      <end>7</end>
      <status>unmodified</status>
      <modifiedWord/>
      <trackRevisions>false</trackRevisions>
    </reviewItem>
    <reviewItem>
      <errorID>c6cabe66-42be-4dec-b265-6456fd3de6b3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2918B864</paraID>
      <start>0</start>
      <end>3</end>
      <status>unmodified</status>
      <modifiedWord/>
      <trackRevisions>false</trackRevisions>
    </reviewItem>
    <reviewItem>
      <errorID>9193a37a-2545-4da5-95a0-c933439b76da</errorID>
      <errorWord>)</errorWord>
      <group>L1_Format</group>
      <groupName>格式问题</groupName>
      <ability>L2_HalfPunc</ability>
      <abilityName>全半角检查</abilityName>
      <candidateList>
        <item>）</item>
      </candidateList>
      <explain>文本全半角错误。</explain>
      <paraID>3D4FF5A9</paraID>
      <start>27</start>
      <end>28</end>
      <status>unmodified</status>
      <modifiedWord/>
      <trackRevisions>false</trackRevisions>
    </reviewItem>
    <reviewItem>
      <errorID>a7835a5a-d57b-4f55-aa74-eda12690c13b</errorID>
      <errorWord>)</errorWord>
      <group>L1_Format</group>
      <groupName>格式问题</groupName>
      <ability>L2_HalfPunc</ability>
      <abilityName>全半角检查</abilityName>
      <candidateList>
        <item>）</item>
      </candidateList>
      <explain>文本全半角错误。</explain>
      <paraID>78DFBE95</paraID>
      <start>12</start>
      <end>13</end>
      <status>unmodified</status>
      <modifiedWord/>
      <trackRevisions>false</trackRevisions>
    </reviewItem>
    <reviewItem>
      <errorID>ee60e007-7144-4e88-acca-a18db73b6c17</errorID>
      <errorWord>预测处</errorWord>
      <group>L1_Word</group>
      <groupName>字词问题</groupName>
      <ability>L2_Typo</ability>
      <abilityName>字词错误</abilityName>
      <candidateList>
        <item>预测出</item>
      </candidateList>
      <explain/>
      <paraID>7CFCB91D</paraID>
      <start>14</start>
      <end>17</end>
      <status>ignored</status>
      <modifiedWord/>
      <trackRevisions>false</trackRevisions>
    </reviewItem>
    <reviewItem>
      <errorID>5b120f16-1624-4a52-91df-d75243a6cbbc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30730EB4</paraID>
      <start>0</start>
      <end>3</end>
      <status>unmodified</status>
      <modifiedWord/>
      <trackRevisions>false</trackRevisions>
    </reviewItem>
    <reviewItem>
      <errorID>d4a0c7e1-e4d3-4acf-8934-1801c880faa0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3D95A87D</paraID>
      <start>0</start>
      <end>3</end>
      <status>unmodified</status>
      <modifiedWord/>
      <trackRevisions>false</trackRevisions>
    </reviewItem>
    <reviewItem>
      <errorID>039ca76a-4341-4cdf-b680-ac9529e84877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64731588</paraID>
      <start>1</start>
      <end>4</end>
      <status>unmodified</status>
      <modifiedWord/>
      <trackRevisions>false</trackRevisions>
    </reviewItem>
    <reviewItem>
      <errorID>b531f04a-cede-4b7c-8fd2-cfd796fa9991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47B4EFE3</paraID>
      <start>0</start>
      <end>3</end>
      <status>unmodified</status>
      <modifiedWord/>
      <trackRevisions>false</trackRevisions>
    </reviewItem>
    <reviewItem>
      <errorID>59ddbf42-cf1a-494c-91ca-299a282c99cd</errorID>
      <errorWord>其它</errorWord>
      <group>L1_Word</group>
      <groupName>字词问题</groupName>
      <ability>L2_Alias</ability>
      <abilityName>也作/曾用词</abilityName>
      <candidateList>
        <item>其他</item>
      </candidateList>
      <explain>词汇[其它]为不规范表述或旧称，其规范书面表述为[其他]。</explain>
      <paraID>47B4EFE3</paraID>
      <start>3</start>
      <end>5</end>
      <status>ignored</status>
      <modifiedWord/>
      <trackRevisions>false</trackRevisions>
    </reviewItem>
    <reviewItem>
      <errorID>1a5823e1-02a9-436d-bac4-a5b91c0f55a4</errorID>
      <errorWord>其它</errorWord>
      <group>L1_Word</group>
      <groupName>字词问题</groupName>
      <ability>L2_Alias</ability>
      <abilityName>也作/曾用词</abilityName>
      <candidateList>
        <item>其他</item>
      </candidateList>
      <explain>词汇[其它]为不规范表述或旧称，其规范书面表述为[其他]。</explain>
      <paraID>2FBA6CDF</paraID>
      <start>0</start>
      <end>2</end>
      <status>ignored</status>
      <modifiedWord/>
      <trackRevisions>false</trackRevisions>
    </reviewItem>
    <reviewItem>
      <errorID>d23a76c4-0c01-4c16-aa68-fd7747f2b281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4695EFD0</paraID>
      <start>0</start>
      <end>2</end>
      <status>unmodified</status>
      <modifiedWord/>
      <trackRevisions>false</trackRevisions>
    </reviewItem>
    <reviewItem>
      <errorID>17ccbb59-ca50-4cba-bbdd-a609b337628a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1CE9F12E</paraID>
      <start>0</start>
      <end>3</end>
      <status>unmodified</status>
      <modifiedWord/>
      <trackRevisions>false</trackRevisions>
    </reviewItem>
    <reviewItem>
      <errorID>da6f83df-2444-47ce-b8bc-670adf4803ef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F9B6F8</paraID>
      <start>0</start>
      <end>3</end>
      <status>unmodified</status>
      <modifiedWord/>
      <trackRevisions>false</trackRevisions>
    </reviewItem>
    <reviewItem>
      <errorID>8a0841be-40a7-4ecb-9535-41c4280fc171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6918C5B4</paraID>
      <start>0</start>
      <end>3</end>
      <status>unmodified</status>
      <modifiedWord/>
      <trackRevisions>false</trackRevisions>
    </reviewItem>
    <reviewItem>
      <errorID>05a51c18-15ca-4dda-b55f-9e6168abdee3</errorID>
      <errorWord>)</errorWord>
      <group>L1_Format</group>
      <groupName>格式问题</groupName>
      <ability>L2_HalfPunc</ability>
      <abilityName>全半角检查</abilityName>
      <candidateList>
        <item>）</item>
      </candidateList>
      <explain>文本全半角错误。</explain>
      <paraID>1790BEDD</paraID>
      <start>31</start>
      <end>32</end>
      <status>unmodified</status>
      <modifiedWord/>
      <trackRevisions>false</trackRevisions>
    </reviewItem>
    <reviewItem>
      <errorID>8b518f23-3459-491e-9172-4cfdf102ac78</errorID>
      <errorWord>)</errorWord>
      <group>L1_Format</group>
      <groupName>格式问题</groupName>
      <ability>L2_HalfPunc</ability>
      <abilityName>全半角检查</abilityName>
      <candidateList>
        <item>）</item>
      </candidateList>
      <explain>文本全半角错误。</explain>
      <paraID>31B67C1E</paraID>
      <start>28</start>
      <end>29</end>
      <status>unmodified</status>
      <modifiedWord/>
      <trackRevisions>false</trackRevisions>
    </reviewItem>
    <reviewItem>
      <errorID>55250ea2-e5af-4133-a9c8-025675415b08</errorID>
      <errorWord>)</errorWord>
      <group>L1_Format</group>
      <groupName>格式问题</groupName>
      <ability>L2_HalfPunc</ability>
      <abilityName>全半角检查</abilityName>
      <candidateList>
        <item>）</item>
      </candidateList>
      <explain>文本全半角错误。</explain>
      <paraID>4531211E</paraID>
      <start>31</start>
      <end>32</end>
      <status>unmodified</status>
      <modifiedWord/>
      <trackRevisions>false</trackRevisions>
    </reviewItem>
    <reviewItem>
      <errorID>dd397fd3-c829-411a-b471-58794508a39a</errorID>
      <errorWord>)</errorWord>
      <group>L1_Format</group>
      <groupName>格式问题</groupName>
      <ability>L2_HalfPunc</ability>
      <abilityName>全半角检查</abilityName>
      <candidateList>
        <item>）</item>
      </candidateList>
      <explain>文本全半角错误。</explain>
      <paraID> E4BCE1D</paraID>
      <start>27</start>
      <end>28</end>
      <status>unmodified</status>
      <modifiedWord/>
      <trackRevisions>false</trackRevisions>
    </reviewItem>
    <reviewItem>
      <errorID>d173b5ff-282f-4441-b48f-acb200281f6d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693FAFD3</paraID>
      <start>0</start>
      <end>2</end>
      <status>unmodified</status>
      <modifiedWord/>
      <trackRevisions>false</trackRevisions>
    </reviewItem>
    <reviewItem>
      <errorID>2ae7cb44-e5c4-4cfb-97c2-60dda297164c</errorID>
      <errorWord>（</errorWord>
      <group>L1_Punc</group>
      <groupName>标点问题</groupName>
      <ability>L2_Punc</ability>
      <abilityName>标点符号检查</abilityName>
      <candidateList>
        <item/>
      </candidateList>
      <explain>同一形式括号套用。</explain>
      <paraID>1AEC58CB</paraID>
      <start>0</start>
      <end>1</end>
      <status>unmodified</status>
      <modifiedWord/>
      <trackRevisions>false</trackRevisions>
    </reviewItem>
    <reviewItem>
      <errorID>a74e4c2c-0c22-4dab-b73f-ac610154e1fe</errorID>
      <errorWord>(</errorWord>
      <group>L1_Punc</group>
      <groupName>标点问题</groupName>
      <ability>L2_Punc</ability>
      <abilityName>标点符号检查</abilityName>
      <candidateList/>
      <explain>同一形式括号套用。</explain>
      <paraID>1AEC58CB</paraID>
      <start>3</start>
      <end>4</end>
      <status>unmodified</status>
      <modifiedWord/>
      <trackRevisions>false</trackRevisions>
    </reviewItem>
    <reviewItem>
      <errorID>b53c1b0a-ce1a-423c-8c9e-dd48180a605c</errorID>
      <errorWord>)</errorWord>
      <group>L1_Punc</group>
      <groupName>标点问题</groupName>
      <ability>L2_Punc</ability>
      <abilityName>标点符号检查</abilityName>
      <candidateList/>
      <explain>同一形式括号套用。</explain>
      <paraID>1AEC58CB</paraID>
      <start>5</start>
      <end>6</end>
      <status>unmodified</status>
      <modifiedWord/>
      <trackRevisions>false</trackRevisions>
    </reviewItem>
    <reviewItem>
      <errorID>de27dc1a-e001-4d1a-b66e-24824bb8448b</errorID>
      <errorWord>）</errorWord>
      <group>L1_Punc</group>
      <groupName>标点问题</groupName>
      <ability>L2_Punc</ability>
      <abilityName>标点符号检查</abilityName>
      <candidateList/>
      <explain>同一形式括号套用。</explain>
      <paraID>1AEC58CB</paraID>
      <start>6</start>
      <end>7</end>
      <status>unmodified</status>
      <modifiedWord/>
      <trackRevisions>false</trackRevisions>
    </reviewItem>
    <reviewItem>
      <errorID>533384dc-64e0-4264-811e-67f3b2a535ce</errorID>
      <errorWord>（</errorWord>
      <group>L1_Punc</group>
      <groupName>标点问题</groupName>
      <ability>L2_Punc</ability>
      <abilityName>标点符号检查</abilityName>
      <candidateList>
        <item/>
      </candidateList>
      <explain>同一形式括号套用。</explain>
      <paraID> 4497477</paraID>
      <start>4</start>
      <end>5</end>
      <status>unmodified</status>
      <modifiedWord/>
      <trackRevisions>false</trackRevisions>
    </reviewItem>
    <reviewItem>
      <errorID>3d496cba-e4e4-4aab-b130-9dbc4d0ed91c</errorID>
      <errorWord>(</errorWord>
      <group>L1_Punc</group>
      <groupName>标点问题</groupName>
      <ability>L2_Punc</ability>
      <abilityName>标点符号检查</abilityName>
      <candidateList/>
      <explain>同一形式括号套用。</explain>
      <paraID> 4497477</paraID>
      <start>7</start>
      <end>8</end>
      <status>unmodified</status>
      <modifiedWord/>
      <trackRevisions>false</trackRevisions>
    </reviewItem>
    <reviewItem>
      <errorID>fee0125b-a64c-42f9-b0cb-da35148417e9</errorID>
      <errorWord>)</errorWord>
      <group>L1_Punc</group>
      <groupName>标点问题</groupName>
      <ability>L2_Punc</ability>
      <abilityName>标点符号检查</abilityName>
      <candidateList/>
      <explain>同一形式括号套用。</explain>
      <paraID> 4497477</paraID>
      <start>9</start>
      <end>10</end>
      <status>unmodified</status>
      <modifiedWord/>
      <trackRevisions>false</trackRevisions>
    </reviewItem>
    <reviewItem>
      <errorID>a83f027e-7074-4fdf-9a61-82a4c450fbab</errorID>
      <errorWord>）</errorWord>
      <group>L1_Punc</group>
      <groupName>标点问题</groupName>
      <ability>L2_Punc</ability>
      <abilityName>标点符号检查</abilityName>
      <candidateList/>
      <explain>同一形式括号套用。</explain>
      <paraID> 4497477</paraID>
      <start>10</start>
      <end>11</end>
      <status>unmodified</status>
      <modifiedWord/>
      <trackRevisions>false</trackRevisions>
    </reviewItem>
    <reviewItem>
      <errorID>1e47d528-1e7b-4c7d-bcf6-5f4ea2ddf190</errorID>
      <errorWord>(</errorWord>
      <group>L1_Format</group>
      <groupName>格式问题</groupName>
      <ability>L2_HalfPunc</ability>
      <abilityName>全半角检查</abilityName>
      <candidateList>
        <item>（</item>
      </candidateList>
      <explain>文本全半角错误。</explain>
      <paraID>7220C64B</paraID>
      <start>37</start>
      <end>38</end>
      <status>unmodified</status>
      <modifiedWord/>
      <trackRevisions>false</trackRevisions>
    </reviewItem>
    <reviewItem>
      <errorID>78e99e2f-d48d-4788-949b-d905b1744ffd</errorID>
      <errorWord>)</errorWord>
      <group>L1_Format</group>
      <groupName>格式问题</groupName>
      <ability>L2_HalfPunc</ability>
      <abilityName>全半角检查</abilityName>
      <candidateList>
        <item>）</item>
      </candidateList>
      <explain>文本全半角错误。</explain>
      <paraID>7220C64B</paraID>
      <start>50</start>
      <end>51</end>
      <status>unmodified</status>
      <modifiedWord/>
      <trackRevisions>false</trackRevisions>
    </reviewItem>
    <reviewItem>
      <errorID>9b4955a7-e4b7-4415-b12e-ae956aac71f8</errorID>
      <errorWord>(</errorWord>
      <group>L1_Format</group>
      <groupName>格式问题</groupName>
      <ability>L2_HalfPunc</ability>
      <abilityName>全半角检查</abilityName>
      <candidateList>
        <item>（</item>
      </candidateList>
      <explain>文本全半角错误。</explain>
      <paraID>7220C64B</paraID>
      <start>85</start>
      <end>86</end>
      <status>unmodified</status>
      <modifiedWord/>
      <trackRevisions>false</trackRevisions>
    </reviewItem>
    <reviewItem>
      <errorID>f3ccebd9-59dc-4447-896f-1d5ebca5d6ff</errorID>
      <errorWord>)</errorWord>
      <group>L1_Format</group>
      <groupName>格式问题</groupName>
      <ability>L2_HalfPunc</ability>
      <abilityName>全半角检查</abilityName>
      <candidateList>
        <item>）</item>
      </candidateList>
      <explain>文本全半角错误。</explain>
      <paraID>7220C64B</paraID>
      <start>98</start>
      <end>99</end>
      <status>unmodified</status>
      <modifiedWord/>
      <trackRevisions>false</trackRevisions>
    </reviewItem>
    <reviewItem>
      <errorID>c639feaf-bb5c-4b78-8460-2c10142e005e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6048E641</paraID>
      <start>0</start>
      <end>2</end>
      <status>unmodified</status>
      <modifiedWord/>
      <trackRevisions>false</trackRevisions>
    </reviewItem>
    <reviewItem>
      <errorID>52907a8e-595a-4940-9b06-71b7a0036bac</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10E60329</paraID>
      <start>31</start>
      <end>32</end>
      <status>modified</status>
      <modifiedWord>及</modifiedWord>
      <trackRevisions>false</trackRevisions>
    </reviewItem>
    <reviewItem>
      <errorID>323403d6-a1a6-4e64-aff5-38816c7feeb3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395CEF47</paraID>
      <start>0</start>
      <end>2</end>
      <status>unmodified</status>
      <modifiedWord/>
      <trackRevisions>false</trackRevisions>
    </reviewItem>
    <reviewItem>
      <errorID>9d5cc806-d21c-46b5-bfb1-51ee5c508c28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3FDC4D4C</paraID>
      <start>0</start>
      <end>3</end>
      <status>unmodified</status>
      <modifiedWord/>
      <trackRevisions>false</trackRevisions>
    </reviewItem>
    <reviewItem>
      <errorID>37248191-493a-4bac-a80d-71cf5b1d21f5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3A77999F</paraID>
      <start>0</start>
      <end>3</end>
      <status>unmodified</status>
      <modifiedWord/>
      <trackRevisions>false</trackRevisions>
    </reviewItem>
    <reviewItem>
      <errorID>ffba19c0-3cd0-4fda-a3a5-b5c2ca79818d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6115246F</paraID>
      <start>0</start>
      <end>3</end>
      <status>unmodified</status>
      <modifiedWord/>
      <trackRevisions>false</trackRevisions>
    </reviewItem>
    <reviewItem>
      <errorID>78ac4521-e250-412b-999b-06eefa06b2ca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57AF8E5</paraID>
      <start>0</start>
      <end>3</end>
      <status>unmodified</status>
      <modifiedWord/>
      <trackRevisions>false</trackRevisions>
    </reviewItem>
    <reviewItem>
      <errorID>23eb857c-39ab-4d53-9906-41b151ce2835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7AB2992B</paraID>
      <start>0</start>
      <end>3</end>
      <status>unmodified</status>
      <modifiedWord/>
      <trackRevisions>false</trackRevisions>
    </reviewItem>
    <reviewItem>
      <errorID>2dc035d7-2193-4307-98bd-f524ecf32112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76ED50C9</paraID>
      <start>1</start>
      <end>4</end>
      <status>unmodified</status>
      <modifiedWord/>
      <trackRevisions>false</trackRevisions>
    </reviewItem>
    <reviewItem>
      <errorID>7a527e76-67c3-41fa-b72b-e8e7078cc302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321DF1AC</paraID>
      <start>0</start>
      <end>3</end>
      <status>unmodified</status>
      <modifiedWord/>
      <trackRevisions>false</trackRevisions>
    </reviewItem>
    <reviewItem>
      <errorID>b5f92d74-04c2-4f2f-b3c8-d060979e9cae</errorID>
      <errorWord>交有</errorWord>
      <group>L1_Word</group>
      <groupName>字词问题</groupName>
      <ability>L2_Typo</ability>
      <abilityName>字词错误</abilityName>
      <candidateList>
        <item>交由</item>
      </candidateList>
      <explain>存在发音相同字词的误用。</explain>
      <paraID>43AC63E2</paraID>
      <start>78</start>
      <end>80</end>
      <status>ignored</status>
      <modifiedWord/>
      <trackRevisions>false</trackRevisions>
    </reviewItem>
    <reviewItem>
      <errorID>6731dc27-2776-4142-8c1a-fedd2553a8af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7B89955</paraID>
      <start>0</start>
      <end>2</end>
      <status>unmodified</status>
      <modifiedWord/>
      <trackRevisions>false</trackRevisions>
    </reviewItem>
    <reviewItem>
      <errorID>3b2baca9-6df2-4fc8-ad04-71d62ba19102</errorID>
      <errorWord>(</errorWord>
      <group>L1_Format</group>
      <groupName>格式问题</groupName>
      <ability>L2_HalfPunc</ability>
      <abilityName>全半角检查</abilityName>
      <candidateList>
        <item>（</item>
      </candidateList>
      <explain>文本全半角错误。</explain>
      <paraID>436F40C5</paraID>
      <start>67</start>
      <end>68</end>
      <status>unmodified</status>
      <modifiedWord/>
      <trackRevisions>false</trackRevisions>
    </reviewItem>
    <reviewItem>
      <errorID>c566217f-feab-4978-b81f-0abf0aed4f5a</errorID>
      <errorWord>)</errorWord>
      <group>L1_Format</group>
      <groupName>格式问题</groupName>
      <ability>L2_HalfPunc</ability>
      <abilityName>全半角检查</abilityName>
      <candidateList>
        <item>）</item>
      </candidateList>
      <explain>文本全半角错误。</explain>
      <paraID>436F40C5</paraID>
      <start>81</start>
      <end>82</end>
      <status>unmodified</status>
      <modifiedWord/>
      <trackRevisions>false</trackRevisions>
    </reviewItem>
    <reviewItem>
      <errorID>d2a2c7c5-69a4-4ec6-898b-e5c6a32683cd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68167796</paraID>
      <start>44</start>
      <end>47</end>
      <status>unmodified</status>
      <modifiedWord/>
      <trackRevisions>false</trackRevisions>
    </reviewItem>
    <reviewItem>
      <errorID>4b801685-f385-493c-a466-a22d4f109796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4E7AF4D1</paraID>
      <start>78</start>
      <end>79</end>
      <status>unmodified</status>
      <modifiedWord/>
      <trackRevisions>false</trackRevisions>
    </reviewItem>
    <reviewItem>
      <errorID>5ec38f27-d36d-4c53-8bb0-04cf66af48d8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4E7AF4D1</paraID>
      <start>133</start>
      <end>134</end>
      <status>unmodified</status>
      <modifiedWord/>
      <trackRevisions>false</trackRevisions>
    </reviewItem>
    <reviewItem>
      <errorID>8e4d4df3-6233-4a50-ae35-2f602e59d7a0</errorID>
      <errorWord>(</errorWord>
      <group>L1_Format</group>
      <groupName>格式问题</groupName>
      <ability>L2_HalfPunc</ability>
      <abilityName>全半角检查</abilityName>
      <candidateList>
        <item>（</item>
      </candidateList>
      <explain>文本全半角错误。</explain>
      <paraID>2E173587</paraID>
      <start>70</start>
      <end>71</end>
      <status>unmodified</status>
      <modifiedWord/>
      <trackRevisions>false</trackRevisions>
    </reviewItem>
    <reviewItem>
      <errorID>2da9210a-497d-4d07-a6b9-f9ab37a7befd</errorID>
      <errorWord>)</errorWord>
      <group>L1_Format</group>
      <groupName>格式问题</groupName>
      <ability>L2_HalfPunc</ability>
      <abilityName>全半角检查</abilityName>
      <candidateList>
        <item>）</item>
      </candidateList>
      <explain>文本全半角错误。</explain>
      <paraID>2E173587</paraID>
      <start>82</start>
      <end>83</end>
      <status>unmodified</status>
      <modifiedWord/>
      <trackRevisions>false</trackRevisions>
    </reviewItem>
    <reviewItem>
      <errorID>5ed1559c-46ce-4fcb-a0eb-2c4e4dabf3aa</errorID>
      <errorWord>(</errorWord>
      <group>L1_Format</group>
      <groupName>格式问题</groupName>
      <ability>L2_HalfPunc</ability>
      <abilityName>全半角检查</abilityName>
      <candidateList>
        <item>（</item>
      </candidateList>
      <explain>文本全半角错误。</explain>
      <paraID>2E173587</paraID>
      <start>100</start>
      <end>101</end>
      <status>unmodified</status>
      <modifiedWord/>
      <trackRevisions>false</trackRevisions>
    </reviewItem>
    <reviewItem>
      <errorID>54100bb9-7a71-48e7-80a9-fb8df685cc6c</errorID>
      <errorWord>)</errorWord>
      <group>L1_Format</group>
      <groupName>格式问题</groupName>
      <ability>L2_HalfPunc</ability>
      <abilityName>全半角检查</abilityName>
      <candidateList>
        <item>）</item>
      </candidateList>
      <explain>文本全半角错误。</explain>
      <paraID>2E173587</paraID>
      <start>103</start>
      <end>104</end>
      <status>unmodified</status>
      <modifiedWord/>
      <trackRevisions>false</trackRevisions>
    </reviewItem>
    <reviewItem>
      <errorID>90e73f40-376b-4fab-b6a5-4543772f12e9</errorID>
      <errorWord>(</errorWord>
      <group>L1_Format</group>
      <groupName>格式问题</groupName>
      <ability>L2_HalfPunc</ability>
      <abilityName>全半角检查</abilityName>
      <candidateList>
        <item>（</item>
      </candidateList>
      <explain>文本全半角错误。</explain>
      <paraID>2E173587</paraID>
      <start>106</start>
      <end>107</end>
      <status>unmodified</status>
      <modifiedWord/>
      <trackRevisions>false</trackRevisions>
    </reviewItem>
    <reviewItem>
      <errorID>d48cd0ba-7b5b-423b-b6e7-d76ba4fb2f1d</errorID>
      <errorWord>)</errorWord>
      <group>L1_Format</group>
      <groupName>格式问题</groupName>
      <ability>L2_HalfPunc</ability>
      <abilityName>全半角检查</abilityName>
      <candidateList>
        <item>）</item>
      </candidateList>
      <explain>文本全半角错误。</explain>
      <paraID>2E173587</paraID>
      <start>121</start>
      <end>122</end>
      <status>unmodified</status>
      <modifiedWord/>
      <trackRevisions>false</trackRevisions>
    </reviewItem>
    <reviewItem>
      <errorID>08151284-2cba-45b6-9b3b-91b78127f35e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1EAD9AB2</paraID>
      <start>41</start>
      <end>42</end>
      <status>unmodified</status>
      <modifiedWord/>
      <trackRevisions>false</trackRevisions>
    </reviewItem>
    <reviewItem>
      <errorID>d34f2cd3-35a7-471b-9e06-6070a94bf0ad</errorID>
      <errorWord>（</errorWord>
      <group>L1_Format</group>
      <groupName>格式问题</groupName>
      <ability>L2_HalfPunc</ability>
      <abilityName>全半角检查</abilityName>
      <candidateList>
        <item>(</item>
      </candidateList>
      <explain>文本全半角错误。</explain>
      <paraID>7884BC07</paraID>
      <start>0</start>
      <end>1</end>
      <status>unmodified</status>
      <modifiedWord/>
      <trackRevisions>false</trackRevisions>
    </reviewItem>
    <reviewItem>
      <errorID>9601d87e-c31e-4684-b664-0482fd7b0823</errorID>
      <errorWord>）</errorWord>
      <group>L1_Format</group>
      <groupName>格式问题</groupName>
      <ability>L2_HalfPunc</ability>
      <abilityName>全半角检查</abilityName>
      <candidateList>
        <item>)</item>
      </candidateList>
      <explain>文本全半角错误。</explain>
      <paraID>7884BC07</paraID>
      <start>3</start>
      <end>4</end>
      <status>unmodified</status>
      <modifiedWord/>
      <trackRevisions>false</trackRevisions>
    </reviewItem>
    <reviewItem>
      <errorID>ad241999-44cd-40f2-bbfd-7fd1e10d49c0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25E67AA5</paraID>
      <start>45</start>
      <end>46</end>
      <status>unmodified</status>
      <modifiedWord/>
      <trackRevisions>false</trackRevisions>
    </reviewItem>
    <reviewItem>
      <errorID>f5d5de58-c8d4-4135-9c84-75f90728b034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5F61D4C8</paraID>
      <start>0</start>
      <end>2</end>
      <status>unmodified</status>
      <modifiedWord/>
      <trackRevisions>false</trackRevisions>
    </reviewItem>
    <reviewItem>
      <errorID>07a2f8b0-f6e8-4a53-a265-546be32a81c4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7CEF0DB9</paraID>
      <start>0</start>
      <end>2</end>
      <status>unmodified</status>
      <modifiedWord/>
      <trackRevisions>false</trackRevisions>
    </reviewItem>
    <reviewItem>
      <errorID>4eba6d46-d542-4960-8ecd-247e99544902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3E70D2D6</paraID>
      <start>0</start>
      <end>2</end>
      <status>unmodified</status>
      <modifiedWord/>
      <trackRevisions>false</trackRevisions>
    </reviewItem>
    <reviewItem>
      <errorID>cde38b7e-304d-4d69-9046-5feb6de4e352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75EF7C6C</paraID>
      <start>0</start>
      <end>2</end>
      <status>unmodified</status>
      <modifiedWord/>
      <trackRevisions>false</trackRevisions>
    </reviewItem>
    <reviewItem>
      <errorID>c768693d-c4e0-48a3-bc00-ef43f1e123e6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58BA9251</paraID>
      <start>0</start>
      <end>2</end>
      <status>unmodified</status>
      <modifiedWord/>
      <trackRevisions>false</trackRevisions>
    </reviewItem>
    <reviewItem>
      <errorID>9f912d0d-0a21-4aaa-88b1-bfd0bff51274</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3D1D3D01</paraID>
      <start>0</start>
      <end>2</end>
      <status>unmodified</status>
      <modifiedWord/>
      <trackRevisions>false</trackRevisions>
    </reviewItem>
    <reviewItem>
      <errorID>3c4e0599-19f3-4643-9157-ae1b9f37b219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7477BC06</paraID>
      <start>0</start>
      <end>2</end>
      <status>unmodified</status>
      <modifiedWord/>
      <trackRevisions>false</trackRevisions>
    </reviewItem>
    <reviewItem>
      <errorID>12f66910-e212-46b0-b146-43a004f07097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18755686</paraID>
      <start>0</start>
      <end>2</end>
      <status>unmodified</status>
      <modifiedWord/>
      <trackRevisions>false</trackRevisions>
    </reviewItem>
    <reviewItem>
      <errorID>17b26c1c-f0b1-4b9b-bc18-5c71eab3b517</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15ECFDD8</paraID>
      <start>0</start>
      <end>2</end>
      <status>unmodified</status>
      <modifiedWord/>
      <trackRevisions>false</trackRevisions>
    </reviewItem>
    <reviewItem>
      <errorID>c6d5023a-7744-43c9-bb0a-c9c2569f4799</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7D100E7</paraID>
      <start>0</start>
      <end>2</end>
      <status>unmodified</status>
      <modifiedWord/>
      <trackRevisions>false</trackRevisions>
    </reviewItem>
    <reviewItem>
      <errorID>da8d89ea-4d20-4813-88ff-b9b3d7e1fdf9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64E17D56</paraID>
      <start>0</start>
      <end>2</end>
      <status>unmodified</status>
      <modifiedWord/>
      <trackRevisions>false</trackRevisions>
    </reviewItem>
    <reviewItem>
      <errorID>7604a84b-278c-47c7-98c9-b603a1e722ad</errorID>
      <errorWord>，</errorWord>
      <group>L1_Word</group>
      <groupName>字词问题</groupName>
      <ability>L2_Typo</ability>
      <abilityName>字词错误</abilityName>
      <candidateList>
        <item>，在</item>
      </candidateList>
      <explain/>
      <paraID>  443AFB</paraID>
      <start>57</start>
      <end>58</end>
      <status>ignored</status>
      <modifiedWord/>
      <trackRevisions>false</trackRevisions>
    </reviewItem>
    <reviewItem>
      <errorID>5022a6e1-d899-4f3b-a633-f8eba2989765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6996C425</paraID>
      <start>0</start>
      <end>2</end>
      <status>unmodified</status>
      <modifiedWord/>
      <trackRevisions>false</trackRevisions>
    </reviewItem>
    <reviewItem>
      <errorID>810d0b71-f161-439e-86d1-d3a6d4f59daf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51860425</paraID>
      <start>0</start>
      <end>2</end>
      <status>unmodified</status>
      <modifiedWord/>
      <trackRevisions>false</trackRevisions>
    </reviewItem>
    <reviewItem>
      <errorID>832f6819-8a54-402f-bfe6-d7a5aec50c22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1D9DBA6E</paraID>
      <start>37</start>
      <end>38</end>
      <status>unmodified</status>
      <modifiedWord/>
      <trackRevisions>false</trackRevisions>
    </reviewItem>
    <reviewItem>
      <errorID>9a694ef2-68be-4913-9f58-85208d812393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1D9DBA6E</paraID>
      <start>92</start>
      <end>93</end>
      <status>unmodified</status>
      <modifiedWord/>
      <trackRevisions>false</trackRevisions>
    </reviewItem>
    <reviewItem>
      <errorID>a5f2dd6f-9f48-4a2a-bb87-13b0615c0802</errorID>
      <errorWord>(</errorWord>
      <group>L1_Format</group>
      <groupName>格式问题</groupName>
      <ability>L2_HalfPunc</ability>
      <abilityName>全半角检查</abilityName>
      <candidateList>
        <item>（</item>
      </candidateList>
      <explain>文本全半角错误。</explain>
      <paraID>31BD82F6</paraID>
      <start>33</start>
      <end>34</end>
      <status>unmodified</status>
      <modifiedWord/>
      <trackRevisions>false</trackRevisions>
    </reviewItem>
    <reviewItem>
      <errorID>116bcc19-eef4-468f-85c9-288c879b30e4</errorID>
      <errorWord>)</errorWord>
      <group>L1_Format</group>
      <groupName>格式问题</groupName>
      <ability>L2_HalfPunc</ability>
      <abilityName>全半角检查</abilityName>
      <candidateList>
        <item>）</item>
      </candidateList>
      <explain>文本全半角错误。</explain>
      <paraID>31BD82F6</paraID>
      <start>46</start>
      <end>47</end>
      <status>unmodified</status>
      <modifiedWord/>
      <trackRevisions>false</trackRevisions>
    </reviewItem>
    <reviewItem>
      <errorID>b28a91d4-5fed-4572-a981-f7953bfd4b4d</errorID>
      <errorWord>(</errorWord>
      <group>L1_Format</group>
      <groupName>格式问题</groupName>
      <ability>L2_HalfPunc</ability>
      <abilityName>全半角检查</abilityName>
      <candidateList>
        <item>（</item>
      </candidateList>
      <explain>文本全半角错误。</explain>
      <paraID>31BD82F6</paraID>
      <start>79</start>
      <end>80</end>
      <status>unmodified</status>
      <modifiedWord/>
      <trackRevisions>false</trackRevisions>
    </reviewItem>
    <reviewItem>
      <errorID>796d7114-765f-444b-8ebc-989d7fd7b87f</errorID>
      <errorWord>)</errorWord>
      <group>L1_Format</group>
      <groupName>格式问题</groupName>
      <ability>L2_HalfPunc</ability>
      <abilityName>全半角检查</abilityName>
      <candidateList>
        <item>）</item>
      </candidateList>
      <explain>文本全半角错误。</explain>
      <paraID>31BD82F6</paraID>
      <start>91</start>
      <end>92</end>
      <status>unmodified</status>
      <modifiedWord/>
      <trackRevisions>false</trackRevisions>
    </reviewItem>
    <reviewItem>
      <errorID>98222929-d514-4936-b931-b9ca664b191a</errorID>
      <errorWord>(</errorWord>
      <group>L1_Format</group>
      <groupName>格式问题</groupName>
      <ability>L2_HalfPunc</ability>
      <abilityName>全半角检查</abilityName>
      <candidateList>
        <item>（</item>
      </candidateList>
      <explain>文本全半角错误。</explain>
      <paraID>31BD82F6</paraID>
      <start>123</start>
      <end>124</end>
      <status>unmodified</status>
      <modifiedWord/>
      <trackRevisions>false</trackRevisions>
    </reviewItem>
    <reviewItem>
      <errorID>e9d673a9-1037-4c34-83b1-3c8c61ad8a9a</errorID>
      <errorWord>)</errorWord>
      <group>L1_Format</group>
      <groupName>格式问题</groupName>
      <ability>L2_HalfPunc</ability>
      <abilityName>全半角检查</abilityName>
      <candidateList>
        <item>）</item>
      </candidateList>
      <explain>文本全半角错误。</explain>
      <paraID>31BD82F6</paraID>
      <start>135</start>
      <end>136</end>
      <status>unmodified</status>
      <modifiedWord/>
      <trackRevisions>false</trackRevisions>
    </reviewItem>
    <reviewItem>
      <errorID>81d46de5-dcb5-430c-92eb-02cd2a3ff212</errorID>
      <errorWord>(</errorWord>
      <group>L1_Format</group>
      <groupName>格式问题</groupName>
      <ability>L2_HalfPunc</ability>
      <abilityName>全半角检查</abilityName>
      <candidateList>
        <item>（</item>
      </candidateList>
      <explain>文本全半角错误。</explain>
      <paraID>31BD82F6</paraID>
      <start>153</start>
      <end>154</end>
      <status>unmodified</status>
      <modifiedWord/>
      <trackRevisions>false</trackRevisions>
    </reviewItem>
    <reviewItem>
      <errorID>2bb6cce2-db62-4daf-8f9f-18ebdcbe5d9e</errorID>
      <errorWord>)</errorWord>
      <group>L1_Format</group>
      <groupName>格式问题</groupName>
      <ability>L2_HalfPunc</ability>
      <abilityName>全半角检查</abilityName>
      <candidateList>
        <item>）</item>
      </candidateList>
      <explain>文本全半角错误。</explain>
      <paraID>31BD82F6</paraID>
      <start>166</start>
      <end>167</end>
      <status>unmodified</status>
      <modifiedWord/>
      <trackRevisions>false</trackRevisions>
    </reviewItem>
    <reviewItem>
      <errorID>bdc5a7d4-97a4-467c-b4c2-b871216e6fed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2EFA809C</paraID>
      <start>0</start>
      <end>2</end>
      <status>unmodified</status>
      <modifiedWord/>
      <trackRevisions>false</trackRevisions>
    </reviewItem>
    <reviewItem>
      <errorID>6ee87363-adce-4fcf-ad4e-629e2f50327d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7293E418</paraID>
      <start>0</start>
      <end>2</end>
      <status>unmodified</status>
      <modifiedWord/>
      <trackRevisions>false</trackRevisions>
    </reviewItem>
    <reviewItem>
      <errorID>962d8c26-b314-4418-84c3-0fed2e2b60b7</errorID>
      <errorWord>，…，</errorWord>
      <group>L1_Punc</group>
      <groupName>标点问题</groupName>
      <ability>L2_Punc</ability>
      <abilityName>标点符号检查</abilityName>
      <candidateList>
        <item>，</item>
      </candidateList>
      <explain/>
      <paraID>72AC85F5</paraID>
      <start>8</start>
      <end>11</end>
      <status>unmodified</status>
      <modifiedWord/>
      <trackRevisions>false</trackRevisions>
    </reviewItem>
    <reviewItem>
      <errorID>0cba5426-de73-4c81-a15e-5b5659503913</errorID>
      <errorWord>，…，</errorWord>
      <group>L1_Punc</group>
      <groupName>标点问题</groupName>
      <ability>L2_Punc</ability>
      <abilityName>标点符号检查</abilityName>
      <candidateList>
        <item>，</item>
      </candidateList>
      <explain/>
      <paraID>6723C6C6</paraID>
      <start>5</start>
      <end>8</end>
      <status>unmodified</status>
      <modifiedWord/>
      <trackRevisions>false</trackRevisions>
    </reviewItem>
    <reviewItem>
      <errorID>2e0ecff4-b24e-4d43-b955-faab3122edaf</errorID>
      <errorWord>、在</errorWord>
      <group>L1_Word</group>
      <groupName>字词问题</groupName>
      <ability>L2_Typo</ability>
      <abilityName>字词错误</abilityName>
      <candidateList>
        <item>、</item>
      </candidateList>
      <explain/>
      <paraID> D6BB5B8</paraID>
      <start>22</start>
      <end>24</end>
      <status>ignored</status>
      <modifiedWord/>
      <trackRevisions>false</trackRevisions>
    </reviewItem>
    <reviewItem>
      <errorID>eb8b6cf8-98bc-4a55-9bd5-fdb2a911ccae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16BB2FD</paraID>
      <start>0</start>
      <end>2</end>
      <status>unmodified</status>
      <modifiedWord/>
      <trackRevisions>false</trackRevisions>
    </reviewItem>
    <reviewItem>
      <errorID>ea39a3b6-e2e6-406a-86a2-0b69bdb1faf7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7A22F40F</paraID>
      <start>0</start>
      <end>2</end>
      <status>unmodified</status>
      <modifiedWord/>
      <trackRevisions>false</trackRevisions>
    </reviewItem>
    <reviewItem>
      <errorID>83a64ec9-25a9-4903-af0e-e19e31e33c0c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2F02763A</paraID>
      <start>132</start>
      <end>133</end>
      <status>unmodified</status>
      <modifiedWord/>
      <trackRevisions>false</trackRevisions>
    </reviewItem>
    <reviewItem>
      <errorID>005a2e41-deef-482d-8196-bf52c0ce9623</errorID>
      <errorWord>提高</errorWord>
      <group>L1_Grammar</group>
      <groupName>语法问题</groupName>
      <ability>L2_Grammar</ability>
      <abilityName>语法错误</abilityName>
      <candidateList>
        <item>增强</item>
      </candidateList>
      <explain>“提高～意识”搭配不当，建议修改为“增强～意识”。</explain>
      <paraID>4AF1ADF5</paraID>
      <start>15</start>
      <end>17</end>
      <status>unmodified</status>
      <modifiedWord/>
      <trackRevisions>false</trackRevisions>
    </reviewItem>
    <reviewItem>
      <errorID>e4e10c30-ad2f-4893-8c18-4f28e6d02dfb</errorID>
      <errorWord>风险的</errorWord>
      <group>L1_Word</group>
      <groupName>字词问题</groupName>
      <ability>L2_Typo</ability>
      <abilityName>字词错误</abilityName>
      <candidateList>
        <item>风险</item>
      </candidateList>
      <explain>〈名〉可能发生的危险：担～｜冒着～去搞试验。</explain>
      <paraID>4AF1ADF5</paraID>
      <start>21</start>
      <end>24</end>
      <status>ignored</status>
      <modifiedWord/>
      <trackRevisions>false</trackRevisions>
    </reviewItem>
    <reviewItem>
      <errorID>fbc60ddf-5e57-455c-8940-7ef5f6710ea4</errorID>
      <errorWord>.</errorWord>
      <group>L1_Format</group>
      <groupName>格式问题</groupName>
      <ability>L2_HalfPunc</ability>
      <abilityName>全半角检查</abilityName>
      <candidateList>
        <item>。</item>
      </candidateList>
      <explain>文本全半角错误。</explain>
      <paraID>32773DE6</paraID>
      <start>49</start>
      <end>50</end>
      <status>unmodified</status>
      <modifiedWord/>
      <trackRevisions>false</trackRevisions>
    </reviewItem>
    <reviewItem>
      <errorID>3d798d84-efbb-40a9-9a55-9b427c048004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681178E4</paraID>
      <start>0</start>
      <end>2</end>
      <status>unmodified</status>
      <modifiedWord/>
      <trackRevisions>false</trackRevisions>
    </reviewItem>
    <reviewItem>
      <errorID>ba3c9339-90ec-415c-9a8f-d67f2804270b</errorID>
      <errorWord>环保治理</errorWord>
      <group>L1_Word</group>
      <groupName>字词问题</groupName>
      <ability>L2_Typo</ability>
      <abilityName>字词错误</abilityName>
      <candidateList>
        <item>环境治理</item>
      </candidateList>
      <explain/>
      <paraID>135D54E9</paraID>
      <start>8</start>
      <end>12</end>
      <status>ignored</status>
      <modifiedWord/>
      <trackRevisions>false</trackRevisions>
    </reviewItem>
    <reviewItem>
      <errorID>781a6fa9-4547-4869-8182-a2c6e1885c27</errorID>
      <errorWord>内容表</errorWord>
      <group>L1_Word</group>
      <groupName>字词问题</groupName>
      <ability>L2_Typo</ability>
      <abilityName>字词错误</abilityName>
      <candidateList>
        <item>内容</item>
      </candidateList>
      <explain>〈名〉事物内部所含的实质或存在的情况：这次谈话的～牵涉的面很广｜这个刊物～丰富。</explain>
      <paraID>135D54E9</paraID>
      <start>131</start>
      <end>134</end>
      <status>ignored</status>
      <modifiedWord/>
      <trackRevisions>false</trackRevisions>
    </reviewItem>
    <reviewItem>
      <errorID>014541e8-7e69-469f-9e77-76bee2ab294d</errorID>
      <errorWord>图件</errorWord>
      <group>L1_Word</group>
      <groupName>字词问题</groupName>
      <ability>L2_Typo</ability>
      <abilityName>字词错误</abilityName>
      <candidateList>
        <item>附件</item>
      </candidateList>
      <explain>存在发音相近字词的误用。</explain>
      <paraID>364B2B31</paraID>
      <start>59</start>
      <end>61</end>
      <status>ignored</status>
      <modifiedWord/>
      <trackRevisions>false</trackRevisions>
    </reviewItem>
    <reviewItem>
      <errorID>958f0b5e-3cde-4312-b967-a7d6cfed157e</errorID>
      <errorWord>(</errorWord>
      <group>L1_Format</group>
      <groupName>格式问题</groupName>
      <ability>L2_HalfPunc</ability>
      <abilityName>全半角检查</abilityName>
      <candidateList>
        <item>（</item>
      </candidateList>
      <explain>文本全半角错误。</explain>
      <paraID> C226AB2</paraID>
      <start>3</start>
      <end>4</end>
      <status>unmodified</status>
      <modifiedWord/>
      <trackRevisions>false</trackRevisions>
    </reviewItem>
    <reviewItem>
      <errorID>e899f8ab-c301-47cb-b769-7ab200a23de1</errorID>
      <errorWord>)</errorWord>
      <group>L1_Format</group>
      <groupName>格式问题</groupName>
      <ability>L2_HalfPunc</ability>
      <abilityName>全半角检查</abilityName>
      <candidateList>
        <item>）</item>
      </candidateList>
      <explain>文本全半角错误。</explain>
      <paraID> C226AB2</paraID>
      <start>9</start>
      <end>10</end>
      <status>unmodified</status>
      <modifiedWord/>
      <trackRevisions>false</trackRevisions>
    </reviewItem>
    <reviewItem>
      <errorID>3b99a33e-a1e8-420a-b5b0-a813fa548baf</errorID>
      <errorWord>(</errorWord>
      <group>L1_Format</group>
      <groupName>格式问题</groupName>
      <ability>L2_HalfPunc</ability>
      <abilityName>全半角检查</abilityName>
      <candidateList>
        <item>（</item>
      </candidateList>
      <explain>文本全半角错误。</explain>
      <paraID> A811A00</paraID>
      <start>62</start>
      <end>63</end>
      <status>unmodified</status>
      <modifiedWord/>
      <trackRevisions>false</trackRevisions>
    </reviewItem>
    <reviewItem>
      <errorID>58f76b67-4302-4d89-a8ff-e6a914b89c4d</errorID>
      <errorWord>)</errorWord>
      <group>L1_Format</group>
      <groupName>格式问题</groupName>
      <ability>L2_HalfPunc</ability>
      <abilityName>全半角检查</abilityName>
      <candidateList>
        <item>）</item>
      </candidateList>
      <explain>文本全半角错误。</explain>
      <paraID> A811A00</paraID>
      <start>75</start>
      <end>76</end>
      <status>unmodified</status>
      <modifiedWord/>
      <trackRevisions>false</trackRevisions>
    </reviewItem>
    <reviewItem>
      <errorID>1540902c-381b-4db8-9e3a-81ff0e1aa670</errorID>
      <errorWord>)</errorWord>
      <group>L1_Format</group>
      <groupName>格式问题</groupName>
      <ability>L2_HalfPunc</ability>
      <abilityName>全半角检查</abilityName>
      <candidateList>
        <item>）</item>
      </candidateList>
      <explain>文本全半角错误。</explain>
      <paraID>3BC164BA</paraID>
      <start>15</start>
      <end>16</end>
      <status>unmodified</status>
      <modifiedWord/>
      <trackRevisions>false</trackRevisions>
    </reviewItem>
    <reviewItem>
      <errorID>99d011b1-c3e5-419d-a2ee-be9b1389e03e</errorID>
      <errorWord>，；</errorWord>
      <group>L1_Punc</group>
      <groupName>标点问题</groupName>
      <ability>L2_Punc</ability>
      <abilityName>标点符号检查</abilityName>
      <candidateList>
        <item>，</item>
      </candidateList>
      <explain/>
      <paraID>3C7C4B74</paraID>
      <start>15</start>
      <end>17</end>
      <status>unmodified</status>
      <modifiedWord/>
      <trackRevisions>false</trackRevisions>
    </reviewItem>
    <reviewItem>
      <errorID>fb351f43-e8e7-4587-964a-1c86b86b1d3c</errorID>
      <errorWord>(</errorWord>
      <group>L1_Format</group>
      <groupName>格式问题</groupName>
      <ability>L2_HalfPunc</ability>
      <abilityName>全半角检查</abilityName>
      <candidateList>
        <item>（</item>
      </candidateList>
      <explain>文本全半角错误。</explain>
      <paraID> 60BE8C2</paraID>
      <start>11</start>
      <end>12</end>
      <status>unmodified</status>
      <modifiedWord/>
      <trackRevisions>false</trackRevisions>
    </reviewItem>
    <reviewItem>
      <errorID>71ba9fe4-c626-466d-ad10-be7bfefbcd72</errorID>
      <errorWord>)</errorWord>
      <group>L1_Format</group>
      <groupName>格式问题</groupName>
      <ability>L2_HalfPunc</ability>
      <abilityName>全半角检查</abilityName>
      <candidateList>
        <item>）</item>
      </candidateList>
      <explain>文本全半角错误。</explain>
      <paraID> 60BE8C2</paraID>
      <start>22</start>
      <end>23</end>
      <status>unmodified</status>
      <modifiedWord/>
      <trackRevisions>false</trackRevisions>
    </reviewItem>
    <reviewItem>
      <errorID>51226e8f-1b50-48a2-b9ed-0c8757961831</errorID>
      <errorWord>(</errorWord>
      <group>L1_Format</group>
      <groupName>格式问题</groupName>
      <ability>L2_HalfPunc</ability>
      <abilityName>全半角检查</abilityName>
      <candidateList>
        <item>（</item>
      </candidateList>
      <explain>文本全半角错误。</explain>
      <paraID>1699A5FE</paraID>
      <start>18</start>
      <end>19</end>
      <status>unmodified</status>
      <modifiedWord/>
      <trackRevisions>false</trackRevisions>
    </reviewItem>
    <reviewItem>
      <errorID>28336e23-dcfe-45c4-af8b-9a91d2ccf04c</errorID>
      <errorWord>(</errorWord>
      <group>L1_Format</group>
      <groupName>格式问题</groupName>
      <ability>L2_HalfPunc</ability>
      <abilityName>全半角检查</abilityName>
      <candidateList>
        <item>（</item>
      </candidateList>
      <explain>文本全半角错误。</explain>
      <paraID>6E116B22</paraID>
      <start>21</start>
      <end>22</end>
      <status>unmodified</status>
      <modifiedWord/>
      <trackRevisions>false</trackRevisions>
    </reviewItem>
    <reviewItem>
      <errorID>85cb63e4-dd9f-4cdc-bc5f-a567dc7d7099</errorID>
      <errorWord>)</errorWord>
      <group>L1_Format</group>
      <groupName>格式问题</groupName>
      <ability>L2_HalfPunc</ability>
      <abilityName>全半角检查</abilityName>
      <candidateList>
        <item>）</item>
      </candidateList>
      <explain>文本全半角错误。</explain>
      <paraID>6E116B22</paraID>
      <start>35</start>
      <end>36</end>
      <status>unmodified</status>
      <modifiedWord/>
      <trackRevisions>false</trackRevisions>
    </reviewItem>
    <reviewItem>
      <errorID>69e13d3a-2365-472c-9c7f-30719afc1a2e</errorID>
      <errorWord>2020年09月</errorWord>
      <group>L1_Knowledge</group>
      <groupName>知识性问题</groupName>
      <ability>L2_Time</ability>
      <abilityName>日期时间</abilityName>
      <candidateList>
        <item>2020年9月</item>
      </candidateList>
      <explain>根据日常书写习惯，月份一般会省略前导零。</explain>
      <paraID>372D2A9D</paraID>
      <start>22</start>
      <end>30</end>
      <status>unmodified</status>
      <modifiedWord/>
      <trackRevisions>false</trackRevisions>
    </reviewItem>
    <reviewItem>
      <errorID>5c2d5935-0aad-4082-9053-c07aa5758aff</errorID>
      <errorWord>第四章中</errorWord>
      <group>L1_Word</group>
      <groupName>字词问题</groupName>
      <ability>L2_Typo</ability>
      <abilityName>字词错误</abilityName>
      <candidateList>
        <item>第四章</item>
      </candidateList>
      <explain/>
      <paraID>372D2A9D</paraID>
      <start>34</start>
      <end>38</end>
      <status>ignored</status>
      <modifiedWord/>
      <trackRevisions>false</trackRevisions>
    </reviewItem>
    <reviewItem>
      <errorID>ed4eeee3-e16a-4316-8fba-388a367f2b7b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14A51E99</paraID>
      <start>33</start>
      <end>34</end>
      <status>unmodified</status>
      <modifiedWord/>
      <trackRevisions>false</trackRevisions>
    </reviewItem>
    <reviewItem>
      <errorID>2c1416fe-caf4-40db-a318-5f06383a5e2b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14A51E99</paraID>
      <start>88</start>
      <end>89</end>
      <status>unmodified</status>
      <modifiedWord/>
      <trackRevisions>false</trackRevisions>
    </reviewItem>
    <reviewItem>
      <errorID>c647aa20-7e98-4ccf-b642-0f77a8148b0a</errorID>
      <errorWord>图件</errorWord>
      <group>L1_Word</group>
      <groupName>字词问题</groupName>
      <ability>L2_Typo</ability>
      <abilityName>字词错误</abilityName>
      <candidateList>
        <item>附件</item>
      </candidateList>
      <explain>存在发音相近字词的误用。</explain>
      <paraID>40940157</paraID>
      <start>59</start>
      <end>61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275bf-6a98-4096-8802-a145d436e37a}">
  <ds:schemaRefs/>
</ds:datastoreItem>
</file>

<file path=docProps/app.xml><?xml version="1.0" encoding="utf-8"?>
<Properties xmlns="http://schemas.openxmlformats.org/officeDocument/2006/extended-properties" xmlns:vt="http://schemas.openxmlformats.org/officeDocument/2006/docPropsVTypes">
  <Template>Normal</Template>
  <Pages>85</Pages>
  <Words>21469</Words>
  <Characters>23038</Characters>
  <Lines>1</Lines>
  <Paragraphs>1</Paragraphs>
  <TotalTime>0</TotalTime>
  <ScaleCrop>false</ScaleCrop>
  <LinksUpToDate>false</LinksUpToDate>
  <CharactersWithSpaces>23200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2023-07-11T08:01:00Z</dcterms:created>
  <dc:creator>Administrator</dc:creator>
  <cp:lastModifiedBy>admin</cp:lastModifiedBy>
  <cp:lastPrinted>2026-02-09T02:29:00Z</cp:lastPrinted>
  <dcterms:modified xsi:type="dcterms:W3CDTF">2026-02-12T04:04:01Z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F0B0BAADB40945FFB57CD041C364DA55_13</vt:lpwstr>
  </property>
  <property fmtid="{D5CDD505-2E9C-101B-9397-08002B2CF9AE}" pid="4" name="KSOTemplateDocerSaveRecord">
    <vt:lpwstr>eyJoZGlkIjoiYzlhNDFjZTU5MDU5OThmZmI4ZmQzNzYwZDVkMzQ2OTAiLCJ1c2VySWQiOiI2NTAxNzkyMzcifQ==</vt:lpwstr>
  </property>
</Properties>
</file>