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6</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06</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关于魏县拓润再生资源有限公司废塑料再生造粒项目环境影响报告表的批复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魏县拓润再生资源有限公司：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魏县拓润再生资源有限公司废塑料再生造粒项目环境影响报告表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河北省邯郸市魏县张二庄镇魏县绿环经济产业园 12 栋 1 号、5 号、6 号、7 号。</w:t>
      </w:r>
      <w:r>
        <w:rPr>
          <w:rFonts w:hint="default" w:ascii="Times New Roman" w:hAnsi="Times New Roman" w:eastAsia="仿宋_GB2312" w:cs="Times New Roman"/>
          <w:w w:val="100"/>
          <w:sz w:val="32"/>
          <w:szCs w:val="32"/>
          <w:lang w:eastAsia="zh-CN"/>
        </w:rPr>
        <w:t>厂址中心地理坐标为北纬36°6′30.047′′，</w:t>
      </w:r>
      <w:r>
        <w:rPr>
          <w:rFonts w:hint="default" w:ascii="Times New Roman" w:hAnsi="Times New Roman" w:eastAsia="仿宋_GB2312" w:cs="Times New Roman"/>
          <w:w w:val="100"/>
          <w:sz w:val="32"/>
          <w:szCs w:val="32"/>
          <w:lang w:val="en-US" w:eastAsia="zh-CN"/>
        </w:rPr>
        <w:t>东经</w:t>
      </w:r>
      <w:r>
        <w:rPr>
          <w:rFonts w:hint="default" w:ascii="Times New Roman" w:hAnsi="Times New Roman" w:eastAsia="仿宋_GB2312" w:cs="Times New Roman"/>
          <w:w w:val="100"/>
          <w:sz w:val="32"/>
          <w:szCs w:val="32"/>
          <w:lang w:eastAsia="zh-CN"/>
        </w:rPr>
        <w:t>114°57′1.198′′。建设内容及建设规模：</w:t>
      </w:r>
      <w:r>
        <w:rPr>
          <w:rFonts w:hint="eastAsia" w:ascii="Times New Roman" w:hAnsi="Times New Roman" w:eastAsia="仿宋_GB2312" w:cs="Times New Roman"/>
          <w:w w:val="100"/>
          <w:sz w:val="32"/>
          <w:szCs w:val="32"/>
          <w:lang w:eastAsia="zh-CN"/>
        </w:rPr>
        <w:t>本项目租用河北省邯郸市魏县绿环循环经济产业园厂房及空地,总占地面积 9028.68㎡，建筑面积 2666.68㎡，建设 8 条塑料颗粒生产线，购置粉碎机、清洗机、挤出机、切粒机等设备。项目建成后，年生产废塑料再生颗粒 24000 吨。</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400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40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10</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河北百翼环境科技有限公司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cstheme="minorEastAsia"/>
          <w:w w:val="100"/>
          <w:sz w:val="32"/>
          <w:szCs w:val="32"/>
          <w:lang w:val="en-US" w:eastAsia="zh-CN"/>
        </w:rPr>
        <w:t>1</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为熔融挤出工序废气以及未收集的无组织废气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熔融挤出工序废气，其中熔融过程产生的废气经集气管道收集+水喷淋塔预处理；挤出废气经集气罩(加软帘)收集,收集的废气与预处理后的熔融废气共同引入车间总管，后经 1 套“水喷淋塔(塔顶设水雾分离)+静电除油+过滤棉+二级活性炭吸附装置”处理后经排气筒排放，满足《合成树脂工业污染物排放标准》(GB31572-2015,含 2024 年修改单)表 5 排放限值和《工业企业挥发性有机物排放控制标准》(DB13/2322-2025)表 1排放限值。</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满足《合成树脂工业污染物排放标准》(GB31572-2015,含 2024 年修改单)表 9 浓度限值要求和《工业企业挥发性有机物排放控制标准》(DB13/2322-2025)表 2 排放限值要求。</w:t>
      </w:r>
      <w:bookmarkStart w:id="0" w:name="_GoBack"/>
      <w:bookmarkEnd w:id="0"/>
    </w:p>
    <w:p>
      <w:pPr>
        <w:keepNext w:val="0"/>
        <w:keepLines w:val="0"/>
        <w:pageBreakBefore w:val="0"/>
        <w:widowControl w:val="0"/>
        <w:suppressLineNumbers w:val="0"/>
        <w:kinsoku/>
        <w:wordWrap/>
        <w:overflowPunct w:val="0"/>
        <w:topLinePunct w:val="0"/>
        <w:autoSpaceDE/>
        <w:autoSpaceDN/>
        <w:bidi w:val="0"/>
        <w:spacing w:line="550" w:lineRule="exact"/>
        <w:ind w:right="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eastAsia" w:ascii="Times New Roman" w:hAnsi="Times New Roman" w:eastAsia="仿宋_GB2312" w:cs="Times New Roman"/>
          <w:w w:val="100"/>
          <w:sz w:val="32"/>
          <w:szCs w:val="32"/>
          <w:lang w:eastAsia="zh-CN"/>
        </w:rPr>
        <w:t>项目生产废水经沉淀池沉淀循环使用,定期排入绿环循环经济产业园污水处理站处理,外排废水执行《污水综合排放标准》(GB8978-1996)表 4 中三级标准及绿环循环经济产业园污水处理厂进水水质标准。冷却水循环使用,不外排;生活盥洗废水水质简单,用于厂区泼洒抑尘,厂区内不设旱厕,依托园区公用厕所</w:t>
      </w:r>
      <w:r>
        <w:rPr>
          <w:rFonts w:hint="eastAsia" w:ascii="Times New Roman" w:hAnsi="Times New Roman" w:eastAsia="仿宋_GB2312" w:cs="Times New Roman"/>
          <w:w w:val="1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spacing w:line="550" w:lineRule="exact"/>
        <w:ind w:right="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w:t>
      </w:r>
      <w:r>
        <w:rPr>
          <w:rFonts w:hint="eastAsia" w:ascii="Times New Roman" w:hAnsi="Times New Roman" w:eastAsia="仿宋_GB2312" w:cs="Times New Roman"/>
          <w:w w:val="100"/>
          <w:sz w:val="32"/>
          <w:szCs w:val="32"/>
          <w:lang w:val="en-US" w:eastAsia="zh-CN"/>
        </w:rPr>
        <w:t>来源于生产设备等运行时产生的噪声</w:t>
      </w:r>
      <w:r>
        <w:rPr>
          <w:rFonts w:hint="default" w:ascii="Times New Roman" w:hAnsi="Times New Roman" w:eastAsia="仿宋_GB2312" w:cs="Times New Roman"/>
          <w:w w:val="100"/>
          <w:sz w:val="32"/>
          <w:szCs w:val="32"/>
          <w:lang w:val="en-US" w:eastAsia="zh-CN"/>
        </w:rPr>
        <w:t>，设备通过选用低噪声设备，采取基础减振，风机设置软连接、厂房隔声等措施，满足《工业企业厂界环境噪声排放标准》(GB12348.2008)3类标准。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right="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分拣杂质、沉淀池底泥、清洗杂质、底泥、不合格品、废过滤网。其中分拣杂质、沉淀池底泥、清洗杂质、底泥</w:t>
      </w:r>
      <w:r>
        <w:rPr>
          <w:rFonts w:hint="eastAsia" w:ascii="Times New Roman" w:hAnsi="Times New Roman" w:eastAsia="仿宋_GB2312" w:cs="Times New Roman"/>
          <w:color w:val="auto"/>
          <w:w w:val="100"/>
          <w:sz w:val="32"/>
          <w:szCs w:val="32"/>
          <w:lang w:val="en-US" w:eastAsia="zh-CN"/>
        </w:rPr>
        <w:t>均</w:t>
      </w:r>
      <w:r>
        <w:rPr>
          <w:rFonts w:hint="eastAsia" w:ascii="Times New Roman" w:hAnsi="Times New Roman" w:eastAsia="仿宋_GB2312" w:cs="Times New Roman"/>
          <w:w w:val="100"/>
          <w:sz w:val="32"/>
          <w:szCs w:val="32"/>
          <w:lang w:val="en-US" w:eastAsia="zh-CN"/>
        </w:rPr>
        <w:t>收集后外售综合利用，不合格品集中收集后回用于生产工序，废过滤网集中收集后由厂家回收。</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废活性炭、废过滤棉、废油、废润滑油、废润滑油桶均</w:t>
      </w:r>
      <w:r>
        <w:rPr>
          <w:rFonts w:hint="default" w:ascii="Times New Roman" w:hAnsi="Times New Roman" w:eastAsia="仿宋_GB2312" w:cs="Times New Roman"/>
          <w:w w:val="100"/>
          <w:sz w:val="32"/>
          <w:szCs w:val="32"/>
          <w:lang w:val="en-US" w:eastAsia="zh-CN"/>
        </w:rPr>
        <w:t>分类收集后，暂存于危废间内，定期交有资质单位处置</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eastAsia" w:ascii="Times New Roman" w:hAnsi="Times New Roman" w:eastAsia="仿宋_GB2312" w:cs="Times New Roman"/>
          <w:w w:val="100"/>
          <w:sz w:val="32"/>
          <w:szCs w:val="32"/>
          <w:lang w:val="en-US" w:eastAsia="zh-CN"/>
        </w:rPr>
        <w:t>四</w:t>
      </w:r>
      <w:r>
        <w:rPr>
          <w:rFonts w:hint="default" w:ascii="Times New Roman" w:hAnsi="Times New Roman" w:eastAsia="仿宋_GB2312" w:cs="Times New Roman"/>
          <w:w w:val="100"/>
          <w:sz w:val="32"/>
          <w:szCs w:val="32"/>
          <w:lang w:val="en-US" w:eastAsia="zh-CN"/>
        </w:rPr>
        <w:t>、项目建设必须严格执行配套建设的环境保护设施与主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五</w:t>
      </w:r>
      <w:r>
        <w:rPr>
          <w:rFonts w:hint="default" w:ascii="Times New Roman" w:hAnsi="Times New Roman" w:eastAsia="仿宋_GB2312" w:cs="Times New Roman"/>
          <w:w w:val="100"/>
          <w:sz w:val="32"/>
          <w:szCs w:val="32"/>
        </w:rPr>
        <w:t>、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六</w:t>
      </w:r>
      <w:r>
        <w:rPr>
          <w:rFonts w:hint="default" w:ascii="Times New Roman" w:hAnsi="Times New Roman" w:eastAsia="仿宋_GB2312" w:cs="Times New Roman"/>
          <w:w w:val="100"/>
          <w:sz w:val="32"/>
          <w:szCs w:val="32"/>
        </w:rPr>
        <w:t>、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eastAsia="zh-CN"/>
        </w:rPr>
        <w:t>七</w:t>
      </w:r>
      <w:r>
        <w:rPr>
          <w:rFonts w:hint="default" w:ascii="Times New Roman" w:hAnsi="Times New Roman" w:eastAsia="仿宋_GB2312" w:cs="Times New Roman"/>
          <w:w w:val="100"/>
          <w:sz w:val="32"/>
          <w:szCs w:val="32"/>
        </w:rPr>
        <w:t>、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0.096</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0.009</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十四</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14</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A568A6"/>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7FD8F52"/>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BED91F"/>
    <w:rsid w:val="6BC41409"/>
    <w:rsid w:val="6C6E6699"/>
    <w:rsid w:val="6CB5251A"/>
    <w:rsid w:val="6CD52274"/>
    <w:rsid w:val="6CEB1A97"/>
    <w:rsid w:val="6D036DE1"/>
    <w:rsid w:val="6D260D22"/>
    <w:rsid w:val="6DD4077E"/>
    <w:rsid w:val="6DDB5FB0"/>
    <w:rsid w:val="6DF6ED89"/>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1F4B60"/>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9FE6134"/>
    <w:rsid w:val="7A295A6E"/>
    <w:rsid w:val="7A4A24F3"/>
    <w:rsid w:val="7A4EC276"/>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B75E84"/>
    <w:rsid w:val="7DC03599"/>
    <w:rsid w:val="7DCE6E56"/>
    <w:rsid w:val="7DDD0B1A"/>
    <w:rsid w:val="7E030AED"/>
    <w:rsid w:val="7E355268"/>
    <w:rsid w:val="7E39544D"/>
    <w:rsid w:val="7E5C45A3"/>
    <w:rsid w:val="7E69EECB"/>
    <w:rsid w:val="7E6B0C8A"/>
    <w:rsid w:val="7E9F3091"/>
    <w:rsid w:val="7EB77A2B"/>
    <w:rsid w:val="7F0A587D"/>
    <w:rsid w:val="7F5F024F"/>
    <w:rsid w:val="7F9922F7"/>
    <w:rsid w:val="7FB34697"/>
    <w:rsid w:val="7FC05006"/>
    <w:rsid w:val="7FC40652"/>
    <w:rsid w:val="7FDC1EDA"/>
    <w:rsid w:val="7FE789ED"/>
    <w:rsid w:val="7FEF0464"/>
    <w:rsid w:val="7FF22B3C"/>
    <w:rsid w:val="7FFF3E6E"/>
    <w:rsid w:val="9C3B2DDE"/>
    <w:rsid w:val="9F91B3F9"/>
    <w:rsid w:val="9FEF04B4"/>
    <w:rsid w:val="BFDF3EB1"/>
    <w:rsid w:val="BFDFB3FC"/>
    <w:rsid w:val="BFEF58B8"/>
    <w:rsid w:val="D6DE0F29"/>
    <w:rsid w:val="E81362F8"/>
    <w:rsid w:val="EDF9CC66"/>
    <w:rsid w:val="EEBF7C0F"/>
    <w:rsid w:val="F977A930"/>
    <w:rsid w:val="FA7BBE83"/>
    <w:rsid w:val="FE76207E"/>
    <w:rsid w:val="FEF560DA"/>
    <w:rsid w:val="FF770519"/>
    <w:rsid w:val="FFD9355A"/>
    <w:rsid w:val="FFF43431"/>
    <w:rsid w:val="FFFE79A2"/>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6</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ZWFWTYSL03</dc:creator>
  <cp:lastModifiedBy>thtf</cp:lastModifiedBy>
  <cp:lastPrinted>2025-11-17T22:03:00Z</cp:lastPrinted>
  <dcterms:modified xsi:type="dcterms:W3CDTF">2026-02-13T13:38:06Z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