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6</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03</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关于安贝智能(河北)物流装备制造有限公司年产 60 万块高端立库钢托盘项目环境影响报告表的批复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安贝智能(河北)物流装备制造有限公司：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安贝智能(河北)物流装备制造有限公司年产 60 万块高端立库钢托盘项目环境影响报告表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河北省魏县开发区建业大街南段路东(自来水公司南邻)。</w:t>
      </w:r>
      <w:r>
        <w:rPr>
          <w:rFonts w:hint="default" w:ascii="Times New Roman" w:hAnsi="Times New Roman" w:eastAsia="仿宋_GB2312" w:cs="Times New Roman"/>
          <w:w w:val="100"/>
          <w:sz w:val="32"/>
          <w:szCs w:val="32"/>
          <w:lang w:eastAsia="zh-CN"/>
        </w:rPr>
        <w:t>厂址中心地理坐标为北纬36°19′29.116"，</w:t>
      </w:r>
      <w:r>
        <w:rPr>
          <w:rFonts w:hint="default" w:ascii="Times New Roman" w:hAnsi="Times New Roman" w:eastAsia="仿宋_GB2312" w:cs="Times New Roman"/>
          <w:w w:val="100"/>
          <w:sz w:val="32"/>
          <w:szCs w:val="32"/>
          <w:lang w:val="en-US" w:eastAsia="zh-CN"/>
        </w:rPr>
        <w:t>东经</w:t>
      </w:r>
      <w:r>
        <w:rPr>
          <w:rFonts w:hint="default" w:ascii="Times New Roman" w:hAnsi="Times New Roman" w:eastAsia="仿宋_GB2312" w:cs="Times New Roman"/>
          <w:w w:val="100"/>
          <w:sz w:val="32"/>
          <w:szCs w:val="32"/>
          <w:lang w:eastAsia="zh-CN"/>
        </w:rPr>
        <w:t xml:space="preserve"> 114°59′14.925"。建设内容及建设规模：</w:t>
      </w:r>
      <w:r>
        <w:rPr>
          <w:rFonts w:hint="eastAsia" w:ascii="Times New Roman" w:hAnsi="Times New Roman" w:eastAsia="仿宋_GB2312" w:cs="Times New Roman"/>
          <w:w w:val="100"/>
          <w:sz w:val="32"/>
          <w:szCs w:val="32"/>
          <w:lang w:eastAsia="zh-CN"/>
        </w:rPr>
        <w:t>本项目总占地面积 19999.98㎡,建设生产车间、办公楼及公辅设施,总建筑面积 12845 ㎡。购置激光切割、数控剪板机、自动化喷塑线等设备,项目建成后年产钢托盘 60 万块。</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11000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200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1.8</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河北百翼环境科技有限公司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cstheme="minorEastAsia"/>
          <w:w w:val="100"/>
          <w:sz w:val="32"/>
          <w:szCs w:val="32"/>
          <w:lang w:val="en-US" w:eastAsia="zh-CN"/>
        </w:rPr>
        <w:t>1</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为钢材加工、木板加工废气，静电喷涂工序废气，固化工序和天然气燃烧废气以及未收集的无组织废气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钢材加工、木板加工废气，静电喷涂工序废气，固化工序和天然气燃烧废气。其中钢材加工、木板加工废气由集气系统收集+滤筒除尘器处理后经排气筒排放，满足《大气污染物综合排放标准》（GB16297-1996）表2限值要求，静电喷涂工序废气经密闭负压收集后+旋风回收系统+脉冲滤芯除尘器处理后经排气筒排放，满足《表面涂装工序大气污染物</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jc w:val="both"/>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排放标准》(DB13/6187-2025)表 1 标准要求；固化工序和天然气燃烧废气经密闭负压收集后+二级活性炭处理，后经排气筒排放，满足《表面涂装工序大气污染物排放标准》(DB13/6187-2025)表 1 标准要求和《工业炉窑大气污染物排放标准》(DB13/1640-2012)表1 及表 2 中限值要求同时满足《关于印发〈河北省工业炉窑综合治理实施方案〉的通知》(冀环大气(2019)607 号)的相关要求。</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满足《大气污染物综合排放标准》（GB16297-1996）表2限值要求和《表面涂装工序大气污染物排放标准》(DB13/6187-2025)表 2标准要求。</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项目无生产废水产生;生活污水经化粪池处理后排入魏县经济开发区污水处理厂进一步处理。废水污染物排放需满足《污水综合排放标准》(GB8978-1996)表 4 三级排放标准及魏县经济开发区污水处理厂进水指标要求</w:t>
      </w:r>
      <w:r>
        <w:rPr>
          <w:rFonts w:hint="eastAsia" w:ascii="Times New Roman" w:hAnsi="Times New Roman" w:eastAsia="仿宋_GB2312" w:cs="Times New Roman"/>
          <w:w w:val="1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w:t>
      </w:r>
      <w:r>
        <w:rPr>
          <w:rFonts w:hint="eastAsia" w:ascii="Times New Roman" w:hAnsi="Times New Roman" w:eastAsia="仿宋_GB2312" w:cs="Times New Roman"/>
          <w:w w:val="100"/>
          <w:sz w:val="32"/>
          <w:szCs w:val="32"/>
          <w:lang w:val="en-US" w:eastAsia="zh-CN"/>
        </w:rPr>
        <w:t>来源于抛丸除锈机、激光除锈机等设备运行时产生的噪声</w:t>
      </w:r>
      <w:r>
        <w:rPr>
          <w:rFonts w:hint="default" w:ascii="Times New Roman" w:hAnsi="Times New Roman" w:eastAsia="仿宋_GB2312" w:cs="Times New Roman"/>
          <w:w w:val="100"/>
          <w:sz w:val="32"/>
          <w:szCs w:val="32"/>
          <w:lang w:val="en-US" w:eastAsia="zh-CN"/>
        </w:rPr>
        <w:t>，设备通过选用低噪声设备，采取基础减振，风机设置软连接、厂房隔声等措施，满足《工业企业厂界环境噪声排放标准》(GB12348.2008)3类标准。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废钢丸、钢材加工下脚料、废焊丝、废百叶片、不合格品、木板加工下脚料、除尘灰、废滤筒、废滤芯、静电粉末除尘灰</w:t>
      </w:r>
      <w:r>
        <w:rPr>
          <w:rFonts w:hint="eastAsia" w:ascii="Times New Roman" w:hAnsi="Times New Roman" w:eastAsia="仿宋_GB2312" w:cs="Times New Roman"/>
          <w:color w:val="auto"/>
          <w:w w:val="100"/>
          <w:sz w:val="32"/>
          <w:szCs w:val="32"/>
          <w:lang w:val="en-US" w:eastAsia="zh-CN"/>
        </w:rPr>
        <w:t>。</w:t>
      </w:r>
      <w:r>
        <w:rPr>
          <w:rFonts w:hint="eastAsia" w:ascii="Times New Roman" w:hAnsi="Times New Roman" w:eastAsia="仿宋_GB2312" w:cs="Times New Roman"/>
          <w:w w:val="100"/>
          <w:sz w:val="32"/>
          <w:szCs w:val="32"/>
          <w:lang w:val="en-US" w:eastAsia="zh-CN"/>
        </w:rPr>
        <w:t>其中废钢丸、钢材加工下脚料、废焊丝、废百叶片、不合格品、木板加工下脚料、除尘灰、废滤筒、废滤芯集中收集后外售综合利用，静电粉末除尘灰集中收集后回用于生产工序。</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废活性炭、废乳化液、废乳化液桶、含乳化液金属下脚料、废液压油、废液压油桶、废润滑油、废润滑油桶。其中废活性炭、废乳化液、废乳化液桶、废液压油、废液压油桶、废润滑油、废润滑油桶</w:t>
      </w:r>
      <w:r>
        <w:rPr>
          <w:rFonts w:hint="default" w:ascii="Times New Roman" w:hAnsi="Times New Roman" w:eastAsia="仿宋_GB2312" w:cs="Times New Roman"/>
          <w:w w:val="100"/>
          <w:sz w:val="32"/>
          <w:szCs w:val="32"/>
          <w:lang w:val="en-US" w:eastAsia="zh-CN"/>
        </w:rPr>
        <w:t>分类收集后，暂存于危废间内，定期交有资质单位处置</w:t>
      </w:r>
      <w:r>
        <w:rPr>
          <w:rFonts w:hint="eastAsia" w:ascii="Times New Roman" w:hAnsi="Times New Roman" w:eastAsia="仿宋_GB2312" w:cs="Times New Roman"/>
          <w:w w:val="100"/>
          <w:sz w:val="32"/>
          <w:szCs w:val="32"/>
          <w:lang w:val="en-US" w:eastAsia="zh-CN"/>
        </w:rPr>
        <w:t>；含乳化液金属下脚料经压榨、压滤、过滤除油达到静置无滴漏后打包压块外售用</w:t>
      </w:r>
    </w:p>
    <w:p>
      <w:pPr>
        <w:keepNext w:val="0"/>
        <w:keepLines w:val="0"/>
        <w:pageBreakBefore w:val="0"/>
        <w:widowControl w:val="0"/>
        <w:suppressLineNumbers w:val="0"/>
        <w:kinsoku/>
        <w:wordWrap/>
        <w:overflowPunct w:val="0"/>
        <w:topLinePunct w:val="0"/>
        <w:autoSpaceDE/>
        <w:autoSpaceDN/>
        <w:bidi w:val="0"/>
        <w:spacing w:line="550" w:lineRule="exact"/>
        <w:ind w:right="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于金属冶炼。</w:t>
      </w:r>
      <w:r>
        <w:rPr>
          <w:rFonts w:hint="default" w:ascii="Times New Roman" w:hAnsi="Times New Roman" w:eastAsia="仿宋_GB2312" w:cs="Times New Roman"/>
          <w:w w:val="100"/>
          <w:sz w:val="32"/>
          <w:szCs w:val="32"/>
          <w:lang w:val="en-US" w:eastAsia="zh-CN"/>
        </w:rPr>
        <w:t>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eastAsia" w:ascii="Times New Roman" w:hAnsi="Times New Roman" w:eastAsia="仿宋_GB2312" w:cs="Times New Roman"/>
          <w:w w:val="100"/>
          <w:sz w:val="32"/>
          <w:szCs w:val="32"/>
          <w:lang w:val="en-US" w:eastAsia="zh-CN"/>
        </w:rPr>
        <w:t>四</w:t>
      </w:r>
      <w:r>
        <w:rPr>
          <w:rFonts w:hint="default" w:ascii="Times New Roman" w:hAnsi="Times New Roman" w:eastAsia="仿宋_GB2312" w:cs="Times New Roman"/>
          <w:w w:val="100"/>
          <w:sz w:val="32"/>
          <w:szCs w:val="32"/>
          <w:lang w:val="en-US" w:eastAsia="zh-CN"/>
        </w:rPr>
        <w:t>、项目建设必须严格执行配套建设的环境保护设施与主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五</w:t>
      </w:r>
      <w:r>
        <w:rPr>
          <w:rFonts w:hint="default" w:ascii="Times New Roman" w:hAnsi="Times New Roman" w:eastAsia="仿宋_GB2312" w:cs="Times New Roman"/>
          <w:w w:val="100"/>
          <w:sz w:val="32"/>
          <w:szCs w:val="32"/>
        </w:rPr>
        <w:t>、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六</w:t>
      </w:r>
      <w:r>
        <w:rPr>
          <w:rFonts w:hint="default" w:ascii="Times New Roman" w:hAnsi="Times New Roman" w:eastAsia="仿宋_GB2312" w:cs="Times New Roman"/>
          <w:w w:val="100"/>
          <w:sz w:val="32"/>
          <w:szCs w:val="32"/>
        </w:rPr>
        <w:t>、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eastAsia="zh-CN"/>
        </w:rPr>
        <w:t>七</w:t>
      </w:r>
      <w:r>
        <w:rPr>
          <w:rFonts w:hint="default" w:ascii="Times New Roman" w:hAnsi="Times New Roman" w:eastAsia="仿宋_GB2312" w:cs="Times New Roman"/>
          <w:w w:val="100"/>
          <w:sz w:val="32"/>
          <w:szCs w:val="32"/>
        </w:rPr>
        <w:t>、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0.038</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1.803</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1.803</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二六</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2</w:t>
      </w:r>
      <w:bookmarkStart w:id="0" w:name="_GoBack"/>
      <w:bookmarkEnd w:id="0"/>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A568A6"/>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1F4B60"/>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4EC276"/>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EF0464"/>
    <w:rsid w:val="7FF22B3C"/>
    <w:rsid w:val="9C3B2DDE"/>
    <w:rsid w:val="9F91B3F9"/>
    <w:rsid w:val="BFDF3EB1"/>
    <w:rsid w:val="BFDFB3FC"/>
    <w:rsid w:val="BFEF58B8"/>
    <w:rsid w:val="D6DE0F29"/>
    <w:rsid w:val="E81362F8"/>
    <w:rsid w:val="EDF9CC66"/>
    <w:rsid w:val="EEBF7C0F"/>
    <w:rsid w:val="F977A930"/>
    <w:rsid w:val="FA7BBE83"/>
    <w:rsid w:val="FE76207E"/>
    <w:rsid w:val="FEF560DA"/>
    <w:rsid w:val="FF770519"/>
    <w:rsid w:val="FFD9355A"/>
    <w:rsid w:val="FFF43431"/>
    <w:rsid w:val="FFFE79A2"/>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1</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ZWFWTYSL03</dc:creator>
  <cp:lastModifiedBy>thtf</cp:lastModifiedBy>
  <cp:lastPrinted>2025-11-15T06:03:00Z</cp:lastPrinted>
  <dcterms:modified xsi:type="dcterms:W3CDTF">2026-01-23T12:58:43Z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