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560"/>
        </w:tabs>
        <w:adjustRightInd w:val="0"/>
        <w:snapToGrid w:val="0"/>
        <w:spacing w:line="576" w:lineRule="exact"/>
        <w:jc w:val="center"/>
        <w:textAlignment w:val="baseline"/>
        <w:rPr>
          <w:rFonts w:ascii="宋体" w:cs="仿宋"/>
          <w:b/>
          <w:color w:val="000000"/>
          <w:sz w:val="44"/>
          <w:szCs w:val="44"/>
        </w:rPr>
      </w:pPr>
      <w:r>
        <w:rPr>
          <w:rFonts w:hint="eastAsia" w:ascii="仿宋" w:hAnsi="仿宋" w:eastAsia="仿宋"/>
          <w:color w:val="000000"/>
          <w:sz w:val="32"/>
          <w:szCs w:val="32"/>
          <w:lang w:eastAsia="zh-CN"/>
        </w:rPr>
        <w:t xml:space="preserve"> </w:t>
      </w:r>
    </w:p>
    <w:p>
      <w:pPr>
        <w:keepNext w:val="0"/>
        <w:keepLines w:val="0"/>
        <w:pageBreakBefore w:val="0"/>
        <w:widowControl/>
        <w:tabs>
          <w:tab w:val="left" w:pos="7560"/>
        </w:tabs>
        <w:kinsoku/>
        <w:wordWrap/>
        <w:overflowPunct/>
        <w:topLinePunct w:val="0"/>
        <w:autoSpaceDE/>
        <w:autoSpaceDN/>
        <w:bidi w:val="0"/>
        <w:adjustRightInd w:val="0"/>
        <w:snapToGrid w:val="0"/>
        <w:spacing w:before="492" w:beforeLines="150" w:after="0"/>
        <w:jc w:val="center"/>
        <w:textAlignment w:val="baseline"/>
        <w:rPr>
          <w:rFonts w:ascii="方正大标宋简体" w:hAnsi="宋体" w:eastAsia="方正大标宋简体" w:cs="仿宋"/>
          <w:color w:val="FF3737"/>
          <w:w w:val="80"/>
          <w:sz w:val="90"/>
          <w:szCs w:val="90"/>
        </w:rPr>
      </w:pPr>
      <w:r>
        <w:rPr>
          <w:rFonts w:hint="eastAsia" w:ascii="方正大标宋简体" w:hAnsi="宋体" w:eastAsia="方正大标宋简体" w:cs="仿宋"/>
          <w:color w:val="FF3737"/>
          <w:w w:val="80"/>
          <w:sz w:val="90"/>
          <w:szCs w:val="90"/>
        </w:rPr>
        <w:t>魏县经济开发区管理委员会</w:t>
      </w:r>
    </w:p>
    <w:p>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仿宋_GB2312" w:hAnsi="宋体" w:eastAsia="仿宋_GB2312" w:cs="仿宋"/>
          <w:b/>
          <w:color w:val="000000"/>
          <w:sz w:val="32"/>
          <w:szCs w:val="32"/>
        </w:rPr>
      </w:pPr>
    </w:p>
    <w:p>
      <w:pPr>
        <w:keepNext w:val="0"/>
        <w:keepLines w:val="0"/>
        <w:pageBreakBefore w:val="0"/>
        <w:widowControl/>
        <w:tabs>
          <w:tab w:val="left" w:pos="7560"/>
        </w:tabs>
        <w:kinsoku/>
        <w:wordWrap/>
        <w:overflowPunct/>
        <w:topLinePunct w:val="0"/>
        <w:autoSpaceDE/>
        <w:autoSpaceDN/>
        <w:bidi w:val="0"/>
        <w:adjustRightInd w:val="0"/>
        <w:snapToGrid w:val="0"/>
        <w:spacing w:after="0" w:line="576" w:lineRule="exact"/>
        <w:jc w:val="center"/>
        <w:textAlignment w:val="baseline"/>
        <w:rPr>
          <w:rFonts w:ascii="Times New Roman" w:hAnsi="Times New Roman" w:eastAsia="仿宋_GB2312"/>
          <w:b w:val="0"/>
          <w:bCs/>
          <w:color w:val="000000" w:themeColor="text1"/>
          <w:sz w:val="32"/>
          <w:szCs w:val="32"/>
          <w14:textFill>
            <w14:solidFill>
              <w14:schemeClr w14:val="tx1"/>
            </w14:solidFill>
          </w14:textFill>
        </w:rPr>
      </w:pP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魏经开审批环表</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14:textFill>
            <w14:solidFill>
              <w14:schemeClr w14:val="tx1"/>
            </w14:solidFill>
          </w14:textFill>
        </w:rPr>
        <w:t>202</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6</w:t>
      </w:r>
      <w:r>
        <w:rPr>
          <w:rFonts w:ascii="Times New Roman" w:hAnsi="Times New Roman" w:eastAsia="仿宋" w:cs="Times New Roman"/>
          <w:b w:val="0"/>
          <w:bCs/>
          <w:color w:val="000000" w:themeColor="text1"/>
          <w:w w:val="100"/>
          <w:sz w:val="32"/>
          <w:szCs w:val="32"/>
          <w14:textFill>
            <w14:solidFill>
              <w14:schemeClr w14:val="tx1"/>
            </w14:solidFill>
          </w14:textFill>
        </w:rPr>
        <w:t>〕</w:t>
      </w:r>
      <w:r>
        <w:rPr>
          <w:rFonts w:hint="eastAsia" w:ascii="Times New Roman" w:hAnsi="Times New Roman" w:eastAsia="仿宋" w:cs="Times New Roman"/>
          <w:b w:val="0"/>
          <w:bCs/>
          <w:color w:val="000000" w:themeColor="text1"/>
          <w:w w:val="100"/>
          <w:sz w:val="32"/>
          <w:szCs w:val="32"/>
          <w:lang w:val="en-US" w:eastAsia="zh-CN"/>
          <w14:textFill>
            <w14:solidFill>
              <w14:schemeClr w14:val="tx1"/>
            </w14:solidFill>
          </w14:textFill>
        </w:rPr>
        <w:t>01</w:t>
      </w:r>
      <w:r>
        <w:rPr>
          <w:rFonts w:ascii="Times New Roman" w:hAnsi="Times New Roman" w:eastAsia="仿宋" w:cs="Times New Roman"/>
          <w:b w:val="0"/>
          <w:bCs/>
          <w:color w:val="000000" w:themeColor="text1"/>
          <w:w w:val="100"/>
          <w:sz w:val="32"/>
          <w:szCs w:val="32"/>
          <w14:textFill>
            <w14:solidFill>
              <w14:schemeClr w14:val="tx1"/>
            </w14:solidFill>
          </w14:textFill>
        </w:rPr>
        <w:t>号</w:t>
      </w:r>
    </w:p>
    <w:p>
      <w:pPr>
        <w:tabs>
          <w:tab w:val="left" w:pos="7560"/>
        </w:tabs>
        <w:adjustRightInd w:val="0"/>
        <w:snapToGrid w:val="0"/>
        <w:spacing w:line="570" w:lineRule="exact"/>
        <w:jc w:val="center"/>
        <w:textAlignment w:val="baseline"/>
        <w:rPr>
          <w:rFonts w:ascii="仿宋_GB2312" w:hAnsi="宋体" w:eastAsia="仿宋_GB2312" w:cs="仿宋"/>
          <w:b/>
          <w:color w:val="FFFFFF" w:themeColor="background1"/>
          <w:sz w:val="32"/>
          <w:szCs w:val="32"/>
          <w14:textFill>
            <w14:solidFill>
              <w14:schemeClr w14:val="bg1"/>
            </w14:solidFill>
          </w14:textFill>
        </w:rPr>
      </w:pPr>
      <w:r>
        <w:rPr>
          <w:color w:val="FFFFFF" w:themeColor="background1"/>
          <w14:textFill>
            <w14:solidFill>
              <w14:schemeClr w14:val="bg1"/>
            </w14:solidFill>
          </w14:textFill>
        </w:rPr>
        <mc:AlternateContent>
          <mc:Choice Requires="wps">
            <w:drawing>
              <wp:anchor distT="0" distB="0" distL="114300" distR="114300" simplePos="0" relativeHeight="251661312" behindDoc="0" locked="0" layoutInCell="1" allowOverlap="1">
                <wp:simplePos x="0" y="0"/>
                <wp:positionH relativeFrom="column">
                  <wp:posOffset>7620</wp:posOffset>
                </wp:positionH>
                <wp:positionV relativeFrom="paragraph">
                  <wp:posOffset>51435</wp:posOffset>
                </wp:positionV>
                <wp:extent cx="5600700" cy="0"/>
                <wp:effectExtent l="0" t="12700" r="0" b="1587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5400">
                          <a:solidFill>
                            <a:srgbClr val="FF3737"/>
                          </a:solidFill>
                          <a:round/>
                        </a:ln>
                        <a:effectLst/>
                      </wps:spPr>
                      <wps:bodyPr/>
                    </wps:wsp>
                  </a:graphicData>
                </a:graphic>
              </wp:anchor>
            </w:drawing>
          </mc:Choice>
          <mc:Fallback>
            <w:pict>
              <v:line id="_x0000_s1026" o:spid="_x0000_s1026" o:spt="20" style="position:absolute;left:0pt;margin-left:0.6pt;margin-top:4.05pt;height:0pt;width:441pt;z-index:251661312;mso-width-relative:page;mso-height-relative:page;" filled="f" stroked="t" coordsize="21600,21600" o:gfxdata="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FgAAAGRycy9QSwEC&#10;FAAUAAAACACHTuJAytSOTtAAAAAFAQAADwAAAAAAAAABACAAAAA4AAAAZHJzL2Rvd25yZXYueG1s&#10;UEsBAhQAFAAAAAgAh07iQJdzQobqAQAAuQMAAA4AAAAAAAAAAQAgAAAANQEAAGRycy9lMm9Eb2Mu&#10;eG1sUEsFBgAAAAAGAAYAWQEAAJEFAAAAAA==&#10;">
                <v:fill on="f" focussize="0,0"/>
                <v:stroke weight="2pt" color="#FF3737" joinstyle="round"/>
                <v:imagedata o:title=""/>
                <o:lock v:ext="edit" aspectratio="f"/>
              </v:line>
            </w:pict>
          </mc:Fallback>
        </mc:AlternateContent>
      </w:r>
    </w:p>
    <w:p>
      <w:pPr>
        <w:keepNext w:val="0"/>
        <w:keepLines w:val="0"/>
        <w:pageBreakBefore w:val="0"/>
        <w:widowControl w:val="0"/>
        <w:kinsoku/>
        <w:wordWrap/>
        <w:overflowPunct w:val="0"/>
        <w:topLinePunct w:val="0"/>
        <w:autoSpaceDE/>
        <w:autoSpaceDN/>
        <w:bidi w:val="0"/>
        <w:adjustRightInd/>
        <w:snapToGrid/>
        <w:spacing w:before="360" w:line="576" w:lineRule="exact"/>
        <w:ind w:left="0" w:leftChars="0" w:right="0"/>
        <w:jc w:val="center"/>
        <w:textAlignment w:val="auto"/>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lang w:val="en-US" w:eastAsia="zh-CN"/>
          <w14:textFill>
            <w14:solidFill>
              <w14:schemeClr w14:val="tx1"/>
            </w14:solidFill>
          </w14:textFill>
        </w:rPr>
        <w:t>河北魏县经济开发区管理委员会</w:t>
      </w:r>
    </w:p>
    <w:p>
      <w:pPr>
        <w:keepNext w:val="0"/>
        <w:keepLines w:val="0"/>
        <w:pageBreakBefore w:val="0"/>
        <w:widowControl w:val="0"/>
        <w:suppressLineNumbers w:val="0"/>
        <w:kinsoku/>
        <w:wordWrap/>
        <w:overflowPunct w:val="0"/>
        <w:topLinePunct w:val="0"/>
        <w:autoSpaceDE/>
        <w:autoSpaceDN/>
        <w:bidi w:val="0"/>
        <w:spacing w:beforeAutospacing="0" w:afterAutospacing="0" w:line="576" w:lineRule="exact"/>
        <w:ind w:left="0" w:leftChars="0" w:right="0"/>
        <w:jc w:val="center"/>
        <w:rPr>
          <w:rFonts w:ascii="Times New Roman" w:hAnsi="Times New Roman" w:eastAsia="宋体" w:cs="Times New Roman"/>
          <w:b/>
          <w:color w:val="000000" w:themeColor="text1"/>
          <w:w w:val="100"/>
          <w:sz w:val="44"/>
          <w:szCs w:val="44"/>
          <w14:textFill>
            <w14:solidFill>
              <w14:schemeClr w14:val="tx1"/>
            </w14:solidFill>
          </w14:textFill>
        </w:rPr>
      </w:pPr>
      <w:r>
        <w:rPr>
          <w:rFonts w:hint="eastAsia" w:ascii="方正小标宋简体" w:hAnsi="方正小标宋简体" w:eastAsia="方正小标宋简体" w:cs="方正小标宋简体"/>
          <w:b w:val="0"/>
          <w:bCs/>
          <w:color w:val="000000" w:themeColor="text1"/>
          <w:w w:val="100"/>
          <w:sz w:val="44"/>
          <w:szCs w:val="44"/>
          <w14:textFill>
            <w14:solidFill>
              <w14:schemeClr w14:val="tx1"/>
            </w14:solidFill>
          </w14:textFill>
        </w:rPr>
        <w:t>关于</w:t>
      </w:r>
      <w:r>
        <w:rPr>
          <w:rFonts w:hint="eastAsia" w:ascii="方正小标宋简体" w:hAnsi="方正小标宋简体" w:eastAsia="方正小标宋简体" w:cs="方正小标宋简体"/>
          <w:b w:val="0"/>
          <w:bCs/>
          <w:color w:val="000000" w:themeColor="text1"/>
          <w:w w:val="100"/>
          <w:sz w:val="44"/>
          <w:szCs w:val="44"/>
          <w:lang w:eastAsia="zh-CN"/>
          <w14:textFill>
            <w14:solidFill>
              <w14:schemeClr w14:val="tx1"/>
            </w14:solidFill>
          </w14:textFill>
        </w:rPr>
        <w:t>河北中瑞汽车制造有限公司氢燃料电池及新能源专用车项目</w:t>
      </w:r>
      <w:r>
        <w:rPr>
          <w:rFonts w:hint="eastAsia" w:ascii="方正小标宋简体" w:hAnsi="方正小标宋简体" w:eastAsia="方正小标宋简体" w:cs="方正小标宋简体"/>
          <w:b w:val="0"/>
          <w:bCs/>
          <w:color w:val="000000" w:themeColor="text1"/>
          <w:w w:val="100"/>
          <w:sz w:val="44"/>
          <w:szCs w:val="44"/>
          <w14:textFill>
            <w14:solidFill>
              <w14:schemeClr w14:val="tx1"/>
            </w14:solidFill>
          </w14:textFill>
        </w:rPr>
        <w:t>环境影响报告表的批复</w:t>
      </w:r>
    </w:p>
    <w:p>
      <w:pPr>
        <w:keepNext w:val="0"/>
        <w:keepLines w:val="0"/>
        <w:pageBreakBefore w:val="0"/>
        <w:widowControl w:val="0"/>
        <w:suppressLineNumbers w:val="0"/>
        <w:kinsoku/>
        <w:wordWrap/>
        <w:overflowPunct w:val="0"/>
        <w:topLinePunct w:val="0"/>
        <w:autoSpaceDE/>
        <w:autoSpaceDN/>
        <w:bidi w:val="0"/>
        <w:adjustRightInd/>
        <w:snapToGrid/>
        <w:spacing w:line="400" w:lineRule="exact"/>
        <w:ind w:left="0" w:leftChars="0" w:right="0"/>
        <w:jc w:val="center"/>
        <w:textAlignment w:val="auto"/>
        <w:rPr>
          <w:rFonts w:hint="default" w:ascii="Times New Roman" w:hAnsi="Times New Roman" w:eastAsia="仿宋_GB2312" w:cs="Times New Roman"/>
          <w:w w:val="100"/>
          <w:sz w:val="32"/>
          <w:szCs w:val="32"/>
          <w:lang w:val="en-US" w:eastAsia="zh-CN"/>
        </w:rPr>
      </w:pP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河北中瑞汽车制造有限公司：</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lang w:eastAsia="zh-CN"/>
        </w:rPr>
        <w:t>你公司所报《</w:t>
      </w:r>
      <w:r>
        <w:rPr>
          <w:rFonts w:hint="default" w:ascii="Times New Roman" w:hAnsi="Times New Roman" w:eastAsia="仿宋_GB2312" w:cs="Times New Roman"/>
          <w:w w:val="100"/>
          <w:sz w:val="32"/>
          <w:szCs w:val="32"/>
          <w:lang w:val="en-US" w:eastAsia="zh-CN"/>
        </w:rPr>
        <w:t>河北中瑞汽车制造有限公司氢燃料电池及新能源专用车项目环境影响报告表</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以下简称《报告表》</w:t>
      </w:r>
      <w:r>
        <w:rPr>
          <w:rFonts w:hint="default" w:ascii="Times New Roman" w:hAnsi="Times New Roman" w:eastAsia="仿宋_GB2312" w:cs="Times New Roman"/>
          <w:w w:val="100"/>
          <w:sz w:val="32"/>
          <w:szCs w:val="32"/>
          <w:lang w:eastAsia="zh-CN"/>
        </w:rPr>
        <w:t>）收悉。经研究，批复如下：</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eastAsia" w:ascii="Times New Roman" w:hAnsi="Times New Roman" w:eastAsia="仿宋_GB2312" w:cs="Times New Roman"/>
          <w:w w:val="100"/>
          <w:sz w:val="32"/>
          <w:szCs w:val="32"/>
          <w:lang w:eastAsia="zh-CN"/>
        </w:rPr>
      </w:pPr>
      <w:r>
        <w:rPr>
          <w:rFonts w:hint="default" w:ascii="Times New Roman" w:hAnsi="Times New Roman" w:eastAsia="仿宋_GB2312" w:cs="Times New Roman"/>
          <w:w w:val="100"/>
          <w:sz w:val="32"/>
          <w:szCs w:val="32"/>
          <w:lang w:eastAsia="zh-CN"/>
        </w:rPr>
        <w:t>一、项目位于</w:t>
      </w:r>
      <w:r>
        <w:rPr>
          <w:rFonts w:hint="eastAsia" w:ascii="Times New Roman" w:hAnsi="Times New Roman" w:eastAsia="仿宋_GB2312" w:cs="Times New Roman"/>
          <w:w w:val="100"/>
          <w:sz w:val="32"/>
          <w:szCs w:val="32"/>
          <w:lang w:val="en-US" w:eastAsia="zh-CN"/>
        </w:rPr>
        <w:t>河北省邯郸市魏县经济开发区万泉大街以西、南环路以南。</w:t>
      </w:r>
      <w:r>
        <w:rPr>
          <w:rFonts w:hint="default" w:ascii="Times New Roman" w:hAnsi="Times New Roman" w:eastAsia="仿宋_GB2312" w:cs="Times New Roman"/>
          <w:w w:val="100"/>
          <w:sz w:val="32"/>
          <w:szCs w:val="32"/>
          <w:lang w:eastAsia="zh-CN"/>
        </w:rPr>
        <w:t>厂址中心地理坐标为北纬36°18′1.862′′，</w:t>
      </w:r>
      <w:r>
        <w:rPr>
          <w:rFonts w:hint="default" w:ascii="Times New Roman" w:hAnsi="Times New Roman" w:eastAsia="仿宋_GB2312" w:cs="Times New Roman"/>
          <w:w w:val="100"/>
          <w:sz w:val="32"/>
          <w:szCs w:val="32"/>
          <w:lang w:val="en-US" w:eastAsia="zh-CN"/>
        </w:rPr>
        <w:t>东经114°57′23.706′′</w:t>
      </w:r>
      <w:r>
        <w:rPr>
          <w:rFonts w:hint="default" w:ascii="Times New Roman" w:hAnsi="Times New Roman" w:eastAsia="仿宋_GB2312" w:cs="Times New Roman"/>
          <w:w w:val="100"/>
          <w:sz w:val="32"/>
          <w:szCs w:val="32"/>
          <w:lang w:eastAsia="zh-CN"/>
        </w:rPr>
        <w:t>。建设内容及建设规模：</w:t>
      </w:r>
      <w:r>
        <w:rPr>
          <w:rFonts w:hint="eastAsia" w:ascii="Times New Roman" w:hAnsi="Times New Roman" w:eastAsia="仿宋_GB2312" w:cs="Times New Roman"/>
          <w:w w:val="100"/>
          <w:sz w:val="32"/>
          <w:szCs w:val="32"/>
          <w:lang w:eastAsia="zh-CN"/>
        </w:rPr>
        <w:t>扩建项目新增用地110亩(73333.33㎡),新建生产、研发厂房等总建筑面积52009.55㎡,购置氢燃料电池生产线、新能源专用车辆生产线等生产设备。项目建成后,预计年产氢燃料电池6000台套、新</w:t>
      </w:r>
    </w:p>
    <w:p>
      <w:pPr>
        <w:keepNext w:val="0"/>
        <w:keepLines w:val="0"/>
        <w:pageBreakBefore w:val="0"/>
        <w:widowControl w:val="0"/>
        <w:suppressLineNumbers w:val="0"/>
        <w:kinsoku/>
        <w:wordWrap/>
        <w:overflowPunct w:val="0"/>
        <w:topLinePunct w:val="0"/>
        <w:autoSpaceDE/>
        <w:autoSpaceDN/>
        <w:bidi w:val="0"/>
        <w:spacing w:line="550" w:lineRule="exact"/>
        <w:ind w:right="0"/>
        <w:jc w:val="both"/>
        <w:textAlignment w:val="auto"/>
        <w:rPr>
          <w:rFonts w:hint="default" w:ascii="Times New Roman" w:hAnsi="Times New Roman" w:eastAsia="仿宋_GB2312" w:cs="Times New Roman"/>
          <w:color w:val="auto"/>
          <w:w w:val="100"/>
          <w:sz w:val="32"/>
          <w:szCs w:val="32"/>
          <w:lang w:val="en-US" w:eastAsia="zh-CN"/>
        </w:rPr>
      </w:pPr>
      <w:r>
        <w:rPr>
          <w:rFonts w:hint="eastAsia" w:ascii="Times New Roman" w:hAnsi="Times New Roman" w:eastAsia="仿宋_GB2312" w:cs="Times New Roman"/>
          <w:w w:val="100"/>
          <w:sz w:val="32"/>
          <w:szCs w:val="32"/>
          <w:lang w:eastAsia="zh-CN"/>
        </w:rPr>
        <w:t>能源专用车3000台。</w:t>
      </w:r>
      <w:r>
        <w:rPr>
          <w:rFonts w:hint="default" w:ascii="Times New Roman" w:hAnsi="Times New Roman" w:eastAsia="仿宋_GB2312" w:cs="Times New Roman"/>
          <w:w w:val="100"/>
          <w:sz w:val="32"/>
          <w:szCs w:val="32"/>
          <w:lang w:val="en-US" w:eastAsia="zh-CN"/>
        </w:rPr>
        <w:t>项目总投</w:t>
      </w:r>
      <w:r>
        <w:rPr>
          <w:rFonts w:hint="default" w:ascii="Times New Roman" w:hAnsi="Times New Roman" w:eastAsia="仿宋_GB2312" w:cs="Times New Roman"/>
          <w:color w:val="auto"/>
          <w:w w:val="100"/>
          <w:sz w:val="32"/>
          <w:szCs w:val="32"/>
          <w:lang w:val="en-US" w:eastAsia="zh-CN"/>
        </w:rPr>
        <w:t>资</w:t>
      </w:r>
      <w:r>
        <w:rPr>
          <w:rFonts w:hint="eastAsia" w:ascii="Times New Roman" w:hAnsi="Times New Roman" w:eastAsia="仿宋_GB2312" w:cs="Times New Roman"/>
          <w:color w:val="auto"/>
          <w:w w:val="100"/>
          <w:sz w:val="32"/>
          <w:szCs w:val="32"/>
          <w:lang w:val="en-US" w:eastAsia="zh-CN"/>
        </w:rPr>
        <w:t>50000</w:t>
      </w:r>
      <w:r>
        <w:rPr>
          <w:rFonts w:hint="default" w:ascii="Times New Roman" w:hAnsi="Times New Roman" w:eastAsia="仿宋_GB2312" w:cs="Times New Roman"/>
          <w:color w:val="auto"/>
          <w:w w:val="100"/>
          <w:sz w:val="32"/>
          <w:szCs w:val="32"/>
          <w:lang w:val="en-US" w:eastAsia="zh-CN"/>
        </w:rPr>
        <w:t>万元，其中环保投资</w:t>
      </w:r>
      <w:r>
        <w:rPr>
          <w:rFonts w:hint="eastAsia" w:ascii="Times New Roman" w:hAnsi="Times New Roman" w:eastAsia="仿宋_GB2312" w:cs="Times New Roman"/>
          <w:color w:val="auto"/>
          <w:w w:val="100"/>
          <w:sz w:val="32"/>
          <w:szCs w:val="32"/>
          <w:lang w:val="en-US" w:eastAsia="zh-CN"/>
        </w:rPr>
        <w:t>50</w:t>
      </w:r>
      <w:r>
        <w:rPr>
          <w:rFonts w:hint="default" w:ascii="Times New Roman" w:hAnsi="Times New Roman" w:eastAsia="仿宋_GB2312" w:cs="Times New Roman"/>
          <w:color w:val="auto"/>
          <w:w w:val="100"/>
          <w:sz w:val="32"/>
          <w:szCs w:val="32"/>
          <w:lang w:val="en-US" w:eastAsia="zh-CN"/>
        </w:rPr>
        <w:t>万元，占总投资</w:t>
      </w:r>
      <w:r>
        <w:rPr>
          <w:rFonts w:hint="eastAsia" w:ascii="Times New Roman" w:hAnsi="Times New Roman" w:eastAsia="仿宋_GB2312" w:cs="Times New Roman"/>
          <w:color w:val="auto"/>
          <w:w w:val="100"/>
          <w:sz w:val="32"/>
          <w:szCs w:val="32"/>
          <w:lang w:val="en-US" w:eastAsia="zh-CN"/>
        </w:rPr>
        <w:t>0.1</w:t>
      </w:r>
      <w:r>
        <w:rPr>
          <w:rFonts w:hint="default" w:ascii="Times New Roman" w:hAnsi="Times New Roman" w:eastAsia="仿宋_GB2312" w:cs="Times New Roman"/>
          <w:color w:val="auto"/>
          <w:w w:val="100"/>
          <w:sz w:val="32"/>
          <w:szCs w:val="32"/>
          <w:lang w:val="en-US" w:eastAsia="zh-CN"/>
        </w:rPr>
        <w:t>%。</w:t>
      </w:r>
      <w:bookmarkStart w:id="0" w:name="_GoBack"/>
      <w:bookmarkEnd w:id="0"/>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根据你公司委托</w:t>
      </w:r>
      <w:r>
        <w:rPr>
          <w:rFonts w:hint="eastAsia" w:ascii="Times New Roman" w:hAnsi="Times New Roman" w:eastAsia="仿宋_GB2312" w:cs="Times New Roman"/>
          <w:w w:val="100"/>
          <w:sz w:val="32"/>
          <w:szCs w:val="32"/>
          <w:lang w:val="en-US" w:eastAsia="zh-CN"/>
        </w:rPr>
        <w:t>河北卫顺环保科技有限公司</w:t>
      </w:r>
      <w:r>
        <w:rPr>
          <w:rFonts w:hint="default" w:ascii="Times New Roman" w:hAnsi="Times New Roman" w:eastAsia="仿宋_GB2312" w:cs="Times New Roman"/>
          <w:w w:val="100"/>
          <w:sz w:val="32"/>
          <w:szCs w:val="32"/>
          <w:lang w:eastAsia="zh-CN"/>
        </w:rPr>
        <w:t>编制的《</w:t>
      </w:r>
      <w:r>
        <w:rPr>
          <w:rFonts w:hint="default" w:ascii="Times New Roman" w:hAnsi="Times New Roman" w:eastAsia="仿宋_GB2312" w:cs="Times New Roman"/>
          <w:w w:val="100"/>
          <w:sz w:val="32"/>
          <w:szCs w:val="32"/>
          <w:lang w:val="en-US" w:eastAsia="zh-CN"/>
        </w:rPr>
        <w:t>报告表</w:t>
      </w:r>
      <w:r>
        <w:rPr>
          <w:rFonts w:hint="default" w:ascii="Times New Roman" w:hAnsi="Times New Roman" w:eastAsia="仿宋_GB2312" w:cs="Times New Roman"/>
          <w:w w:val="100"/>
          <w:sz w:val="32"/>
          <w:szCs w:val="32"/>
          <w:lang w:eastAsia="zh-CN"/>
        </w:rPr>
        <w:t>》，在项目符合产业政策与产业发展规划、选址符合区域土地利用规划等前提下，原则同意《报告表》结论，</w:t>
      </w:r>
      <w:r>
        <w:rPr>
          <w:rFonts w:hint="default" w:ascii="Times New Roman" w:hAnsi="Times New Roman" w:eastAsia="仿宋_GB2312" w:cs="Times New Roman"/>
          <w:w w:val="100"/>
          <w:sz w:val="32"/>
          <w:szCs w:val="32"/>
          <w:lang w:val="en-US" w:eastAsia="zh-CN"/>
        </w:rPr>
        <w:t>后续应满足相关要求。</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项目须严格按照《报告表》规定进行建设，采用先进的技术和设备，</w:t>
      </w:r>
      <w:r>
        <w:rPr>
          <w:rFonts w:hint="default" w:ascii="Times New Roman" w:hAnsi="Times New Roman" w:eastAsia="仿宋_GB2312" w:cs="Times New Roman"/>
          <w:w w:val="100"/>
          <w:sz w:val="32"/>
          <w:szCs w:val="32"/>
          <w:lang w:val="en-US" w:eastAsia="zh-CN"/>
        </w:rPr>
        <w:t>提高自动化控制水平。各项环保设施设计应当由具有环保设施工程设计资质的单位承担，并重点做好以下工作：</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eastAsia"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eastAsia="zh-CN"/>
        </w:rPr>
        <w:t>⑴废气：该项目</w:t>
      </w:r>
      <w:r>
        <w:rPr>
          <w:rFonts w:hint="default" w:ascii="Times New Roman" w:hAnsi="Times New Roman" w:eastAsia="仿宋_GB2312" w:cs="Times New Roman"/>
          <w:w w:val="100"/>
          <w:sz w:val="32"/>
          <w:szCs w:val="32"/>
          <w:lang w:val="en-US" w:eastAsia="zh-CN"/>
        </w:rPr>
        <w:t>产生的废气污染物主要</w:t>
      </w:r>
      <w:r>
        <w:rPr>
          <w:rFonts w:hint="eastAsia" w:ascii="Times New Roman" w:hAnsi="Times New Roman" w:eastAsia="仿宋_GB2312" w:cs="Times New Roman"/>
          <w:w w:val="100"/>
          <w:sz w:val="32"/>
          <w:szCs w:val="32"/>
          <w:lang w:val="en-US" w:eastAsia="zh-CN"/>
        </w:rPr>
        <w:t>为切割、焊接、</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jc w:val="both"/>
        <w:textAlignment w:val="auto"/>
        <w:rPr>
          <w:rFonts w:hint="default"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val="en-US" w:eastAsia="zh-CN"/>
        </w:rPr>
        <w:t>打磨、抛丸废气，涂装废气以及未收集的无组织废气</w:t>
      </w:r>
      <w:r>
        <w:rPr>
          <w:rFonts w:hint="default" w:ascii="Times New Roman" w:hAnsi="Times New Roman" w:eastAsia="仿宋_GB2312" w:cs="Times New Roman"/>
          <w:w w:val="100"/>
          <w:sz w:val="32"/>
          <w:szCs w:val="32"/>
          <w:lang w:val="en-US" w:eastAsia="zh-CN"/>
        </w:rPr>
        <w:t>等。</w:t>
      </w:r>
    </w:p>
    <w:p>
      <w:pPr>
        <w:keepNext w:val="0"/>
        <w:keepLines w:val="0"/>
        <w:pageBreakBefore w:val="0"/>
        <w:widowControl w:val="0"/>
        <w:numPr>
          <w:ilvl w:val="0"/>
          <w:numId w:val="2"/>
        </w:numPr>
        <w:suppressLineNumbers w:val="0"/>
        <w:kinsoku/>
        <w:wordWrap/>
        <w:overflowPunct w:val="0"/>
        <w:topLinePunct w:val="0"/>
        <w:autoSpaceDE/>
        <w:autoSpaceDN/>
        <w:bidi w:val="0"/>
        <w:spacing w:line="550" w:lineRule="exact"/>
        <w:ind w:left="0" w:leftChars="0" w:right="0" w:firstLine="640" w:firstLineChars="200"/>
        <w:jc w:val="both"/>
        <w:textAlignment w:val="auto"/>
        <w:rPr>
          <w:rFonts w:hint="eastAsia"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有组织废气主要为</w:t>
      </w:r>
      <w:r>
        <w:rPr>
          <w:rFonts w:hint="eastAsia" w:ascii="Times New Roman" w:hAnsi="Times New Roman" w:eastAsia="仿宋_GB2312" w:cs="Times New Roman"/>
          <w:w w:val="100"/>
          <w:sz w:val="32"/>
          <w:szCs w:val="32"/>
          <w:lang w:val="en-US" w:eastAsia="zh-CN"/>
        </w:rPr>
        <w:t>切割、焊接、打磨、抛丸废气和涂装废气</w:t>
      </w:r>
      <w:r>
        <w:rPr>
          <w:rFonts w:hint="default" w:ascii="Times New Roman" w:hAnsi="Times New Roman" w:eastAsia="仿宋_GB2312" w:cs="Times New Roman"/>
          <w:w w:val="100"/>
          <w:sz w:val="32"/>
          <w:szCs w:val="32"/>
          <w:highlight w:val="none"/>
          <w:lang w:val="en-US" w:eastAsia="zh-CN"/>
        </w:rPr>
        <w:t>。</w:t>
      </w:r>
      <w:r>
        <w:rPr>
          <w:rFonts w:hint="eastAsia" w:ascii="Times New Roman" w:hAnsi="Times New Roman" w:eastAsia="仿宋_GB2312" w:cs="Times New Roman"/>
          <w:w w:val="100"/>
          <w:sz w:val="32"/>
          <w:szCs w:val="32"/>
          <w:highlight w:val="none"/>
          <w:lang w:val="en-US" w:eastAsia="zh-CN"/>
        </w:rPr>
        <w:t>其中</w:t>
      </w:r>
      <w:r>
        <w:rPr>
          <w:rFonts w:hint="eastAsia" w:ascii="Times New Roman" w:hAnsi="Times New Roman" w:eastAsia="仿宋_GB2312" w:cs="Times New Roman"/>
          <w:w w:val="100"/>
          <w:sz w:val="32"/>
          <w:szCs w:val="32"/>
          <w:lang w:val="en-US" w:eastAsia="zh-CN"/>
        </w:rPr>
        <w:t>切割、焊接、打磨、抛丸废气经集气罩/集气管道收集后由布袋除尘器处理后经排气筒排放，满足执行《大气污染物综合排放标准》(GB16297-1996)表 2 二级标准；涂装废气由密闭收集+水旋式漆雾净化器+干式漆雾过滤器+活性炭吸附/脱附+催化燃烧装置处理后经排气筒排放，满足执行《表面涂装</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jc w:val="both"/>
        <w:textAlignment w:val="auto"/>
        <w:rPr>
          <w:rFonts w:hint="eastAsia"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val="en-US" w:eastAsia="zh-CN"/>
        </w:rPr>
        <w:t>工序大气污染物排放标准》(DB13/6187-2025)表 1 排放限值，《工业炉窑大气污染物排放标准》(DB13/1640-2012)及《工业炉窑大气污染综合治理方案》限值。</w:t>
      </w:r>
    </w:p>
    <w:p>
      <w:pPr>
        <w:keepNext w:val="0"/>
        <w:keepLines w:val="0"/>
        <w:pageBreakBefore w:val="0"/>
        <w:widowControl w:val="0"/>
        <w:numPr>
          <w:ilvl w:val="0"/>
          <w:numId w:val="0"/>
        </w:numPr>
        <w:suppressLineNumbers w:val="0"/>
        <w:kinsoku/>
        <w:wordWrap/>
        <w:overflowPunct w:val="0"/>
        <w:topLinePunct w:val="0"/>
        <w:autoSpaceDE/>
        <w:autoSpaceDN/>
        <w:bidi w:val="0"/>
        <w:spacing w:line="550" w:lineRule="exact"/>
        <w:ind w:right="0" w:rightChars="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imes New Roman" w:hAnsi="Times New Roman" w:eastAsia="仿宋_GB2312" w:cs="Times New Roman"/>
          <w:w w:val="100"/>
          <w:sz w:val="32"/>
          <w:szCs w:val="32"/>
          <w:lang w:val="en-US" w:eastAsia="zh-CN"/>
        </w:rPr>
        <w:t>无组织废气主要</w:t>
      </w:r>
      <w:r>
        <w:rPr>
          <w:rFonts w:hint="eastAsia" w:ascii="Times New Roman" w:hAnsi="Times New Roman" w:eastAsia="仿宋_GB2312" w:cs="Times New Roman"/>
          <w:w w:val="100"/>
          <w:sz w:val="32"/>
          <w:szCs w:val="32"/>
          <w:lang w:val="en-US" w:eastAsia="zh-CN"/>
        </w:rPr>
        <w:t>为无组织颗粒物，非甲烷总烃</w:t>
      </w:r>
      <w:r>
        <w:rPr>
          <w:rFonts w:hint="default" w:ascii="Times New Roman" w:hAnsi="Times New Roman" w:eastAsia="仿宋_GB2312" w:cs="Times New Roman"/>
          <w:w w:val="100"/>
          <w:sz w:val="32"/>
          <w:szCs w:val="32"/>
          <w:lang w:val="en-US" w:eastAsia="zh-CN"/>
        </w:rPr>
        <w:t>以及未收集的无组织废气等。通过采取加强有组织收集、车间密闭、加强管理等措施降低废气无组织排放。</w:t>
      </w:r>
      <w:r>
        <w:rPr>
          <w:rFonts w:hint="eastAsia" w:ascii="Times New Roman" w:hAnsi="Times New Roman" w:eastAsia="仿宋_GB2312" w:cs="Times New Roman"/>
          <w:w w:val="100"/>
          <w:sz w:val="32"/>
          <w:szCs w:val="32"/>
          <w:lang w:val="en-US" w:eastAsia="zh-CN"/>
        </w:rPr>
        <w:t>满足《大气污染物综合排放标准》(GB16297-1996)表 2限值，《工业炉窑大气排放标准》(GB9078-1996)表 3 最高允许浓度以及《工业企业挥发性有机物排放控制标准》(DB13/2322-2025)表 2 排放限值。</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eastAsia" w:asciiTheme="minorEastAsia" w:hAnsiTheme="minorEastAsia" w:eastAsiaTheme="minorEastAsia" w:cstheme="minorEastAsia"/>
          <w:w w:val="100"/>
          <w:sz w:val="32"/>
          <w:szCs w:val="32"/>
          <w:lang w:eastAsia="zh-CN"/>
        </w:rPr>
        <w:t>（</w:t>
      </w:r>
      <w:r>
        <w:rPr>
          <w:rFonts w:hint="eastAsia" w:asciiTheme="minorEastAsia" w:hAnsiTheme="minorEastAsia" w:eastAsiaTheme="minorEastAsia" w:cstheme="minorEastAsia"/>
          <w:w w:val="100"/>
          <w:sz w:val="32"/>
          <w:szCs w:val="32"/>
          <w:lang w:val="en-US" w:eastAsia="zh-CN"/>
        </w:rPr>
        <w:t>2</w:t>
      </w:r>
      <w:r>
        <w:rPr>
          <w:rFonts w:hint="eastAsia"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eastAsia="zh-CN"/>
        </w:rPr>
        <w:t>废水：</w:t>
      </w:r>
      <w:r>
        <w:rPr>
          <w:rFonts w:hint="default" w:ascii="Times New Roman" w:hAnsi="Times New Roman" w:eastAsia="仿宋_GB2312" w:cs="Times New Roman"/>
          <w:w w:val="100"/>
          <w:sz w:val="32"/>
          <w:szCs w:val="32"/>
          <w:lang w:val="en-US" w:eastAsia="zh-CN"/>
        </w:rPr>
        <w:t>本项目废水主要为生活废水、纯水制备浓水,喷漆室水旋漆雾处理装置废水</w:t>
      </w:r>
      <w:r>
        <w:rPr>
          <w:rFonts w:hint="eastAsia" w:ascii="Times New Roman" w:hAnsi="Times New Roman" w:eastAsia="仿宋_GB2312" w:cs="Times New Roman"/>
          <w:w w:val="100"/>
          <w:sz w:val="32"/>
          <w:szCs w:val="32"/>
          <w:lang w:val="en-US" w:eastAsia="zh-CN"/>
        </w:rPr>
        <w:t>。其中</w:t>
      </w:r>
      <w:r>
        <w:rPr>
          <w:rFonts w:hint="default" w:ascii="Times New Roman" w:hAnsi="Times New Roman" w:eastAsia="仿宋_GB2312" w:cs="Times New Roman"/>
          <w:w w:val="100"/>
          <w:sz w:val="32"/>
          <w:szCs w:val="32"/>
          <w:lang w:val="en-US" w:eastAsia="zh-CN"/>
        </w:rPr>
        <w:t>喷漆室水旋漆雾处理装置废水</w:t>
      </w:r>
      <w:r>
        <w:rPr>
          <w:rFonts w:hint="eastAsia" w:ascii="Times New Roman" w:hAnsi="Times New Roman" w:eastAsia="仿宋_GB2312" w:cs="Times New Roman"/>
          <w:w w:val="100"/>
          <w:sz w:val="32"/>
          <w:szCs w:val="32"/>
          <w:lang w:val="en-US" w:eastAsia="zh-CN"/>
        </w:rPr>
        <w:t>经过滤处理后循环使用不外排；纯水制备浓水排入魏县经济开发区污水处理厂；生活废水经化粪池处理后排入魏县经济开发区污水处理厂</w:t>
      </w:r>
      <w:r>
        <w:rPr>
          <w:rFonts w:hint="default" w:ascii="Times New Roman" w:hAnsi="Times New Roman" w:eastAsia="仿宋_GB2312" w:cs="Times New Roman"/>
          <w:w w:val="100"/>
          <w:sz w:val="32"/>
          <w:szCs w:val="32"/>
          <w:lang w:val="en-US" w:eastAsia="zh-CN"/>
        </w:rPr>
        <w:t>满足《污水综合排放标准》</w:t>
      </w:r>
      <w:r>
        <w:rPr>
          <w:rFonts w:hint="eastAsia" w:ascii="Times New Roman" w:hAnsi="Times New Roman" w:eastAsia="仿宋_GB2312" w:cs="Times New Roman"/>
          <w:w w:val="100"/>
          <w:sz w:val="32"/>
          <w:szCs w:val="32"/>
          <w:lang w:val="en-US" w:eastAsia="zh-CN"/>
        </w:rPr>
        <w:t xml:space="preserve"> </w:t>
      </w:r>
      <w:r>
        <w:rPr>
          <w:rFonts w:hint="default" w:ascii="Times New Roman" w:hAnsi="Times New Roman" w:eastAsia="仿宋_GB2312" w:cs="Times New Roman"/>
          <w:w w:val="100"/>
          <w:sz w:val="32"/>
          <w:szCs w:val="32"/>
          <w:lang w:val="en-US" w:eastAsia="zh-CN"/>
        </w:rPr>
        <w:t>（GB 8978-1996）中三级标准，同时满足魏县经济开发区污水处理厂进水指标要求</w:t>
      </w:r>
      <w:r>
        <w:rPr>
          <w:rFonts w:hint="eastAsia" w:ascii="Times New Roman" w:hAnsi="Times New Roman" w:eastAsia="仿宋_GB2312" w:cs="Times New Roman"/>
          <w:w w:val="100"/>
          <w:sz w:val="32"/>
          <w:szCs w:val="32"/>
          <w:lang w:val="en-US" w:eastAsia="zh-CN"/>
        </w:rPr>
        <w:t>。</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heme="minorEastAsia" w:hAnsiTheme="minorEastAsia" w:eastAsiaTheme="minorEastAsia" w:cstheme="minorEastAsia"/>
          <w:w w:val="100"/>
          <w:sz w:val="32"/>
          <w:szCs w:val="32"/>
          <w:lang w:eastAsia="zh-CN"/>
        </w:rPr>
        <w:t>（</w:t>
      </w:r>
      <w:r>
        <w:rPr>
          <w:rFonts w:hint="default" w:asciiTheme="minorEastAsia" w:hAnsiTheme="minorEastAsia" w:eastAsiaTheme="minorEastAsia" w:cstheme="minorEastAsia"/>
          <w:w w:val="100"/>
          <w:sz w:val="32"/>
          <w:szCs w:val="32"/>
          <w:lang w:val="en-US" w:eastAsia="zh-CN"/>
        </w:rPr>
        <w:t>3</w:t>
      </w:r>
      <w:r>
        <w:rPr>
          <w:rFonts w:hint="default" w:asciiTheme="minorEastAsia" w:hAnsiTheme="minorEastAsia" w:eastAsiaTheme="minorEastAsia" w:cstheme="minorEastAsia"/>
          <w:w w:val="100"/>
          <w:sz w:val="32"/>
          <w:szCs w:val="32"/>
          <w:lang w:eastAsia="zh-CN"/>
        </w:rPr>
        <w:t>）</w:t>
      </w:r>
      <w:r>
        <w:rPr>
          <w:rFonts w:hint="default" w:ascii="Times New Roman" w:hAnsi="Times New Roman" w:eastAsia="仿宋_GB2312" w:cs="Times New Roman"/>
          <w:w w:val="100"/>
          <w:sz w:val="32"/>
          <w:szCs w:val="32"/>
          <w:lang w:val="en-US" w:eastAsia="zh-CN"/>
        </w:rPr>
        <w:t>噪声：本项目噪声主要为</w:t>
      </w:r>
      <w:r>
        <w:rPr>
          <w:rFonts w:hint="eastAsia" w:ascii="Times New Roman" w:hAnsi="Times New Roman" w:eastAsia="仿宋_GB2312" w:cs="Times New Roman"/>
          <w:w w:val="100"/>
          <w:sz w:val="32"/>
          <w:szCs w:val="32"/>
          <w:lang w:val="en-US" w:eastAsia="zh-CN"/>
        </w:rPr>
        <w:t>生产设备及风机</w:t>
      </w:r>
      <w:r>
        <w:rPr>
          <w:rFonts w:hint="default" w:ascii="Times New Roman" w:hAnsi="Times New Roman" w:eastAsia="仿宋_GB2312" w:cs="Times New Roman"/>
          <w:w w:val="100"/>
          <w:sz w:val="32"/>
          <w:szCs w:val="32"/>
          <w:lang w:val="en-US" w:eastAsia="zh-CN"/>
        </w:rPr>
        <w:t>等设备运行时产生的噪声，设备通过选用低噪声设备，采取基础减振，风机设置软连接、厂房隔声等措施，满足《工业企业厂界环境噪声排放标准》(GB12348.2008)3类标准。</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default" w:asciiTheme="minorEastAsia" w:hAnsiTheme="minorEastAsia" w:eastAsiaTheme="minorEastAsia" w:cstheme="minorEastAsia"/>
          <w:w w:val="100"/>
          <w:sz w:val="32"/>
          <w:szCs w:val="32"/>
          <w:lang w:eastAsia="zh-CN"/>
        </w:rPr>
        <w:t>（4）</w:t>
      </w:r>
      <w:r>
        <w:rPr>
          <w:rFonts w:hint="default" w:ascii="Times New Roman" w:hAnsi="Times New Roman" w:eastAsia="仿宋_GB2312" w:cs="Times New Roman"/>
          <w:w w:val="100"/>
          <w:sz w:val="32"/>
          <w:szCs w:val="32"/>
          <w:lang w:eastAsia="zh-CN"/>
        </w:rPr>
        <w:t>固体废物：该</w:t>
      </w:r>
      <w:r>
        <w:rPr>
          <w:rFonts w:hint="default" w:ascii="Times New Roman" w:hAnsi="Times New Roman" w:eastAsia="仿宋_GB2312" w:cs="Times New Roman"/>
          <w:w w:val="100"/>
          <w:sz w:val="32"/>
          <w:szCs w:val="32"/>
          <w:lang w:val="en-US" w:eastAsia="zh-CN"/>
        </w:rPr>
        <w:t>项目</w:t>
      </w:r>
      <w:r>
        <w:rPr>
          <w:rFonts w:hint="default" w:ascii="Times New Roman" w:hAnsi="Times New Roman" w:eastAsia="仿宋_GB2312" w:cs="Times New Roman"/>
          <w:w w:val="100"/>
          <w:sz w:val="32"/>
          <w:szCs w:val="32"/>
          <w:lang w:val="zh-CN" w:eastAsia="zh-CN"/>
        </w:rPr>
        <w:t>固体废物</w:t>
      </w:r>
      <w:r>
        <w:rPr>
          <w:rFonts w:hint="default" w:ascii="Times New Roman" w:hAnsi="Times New Roman" w:eastAsia="仿宋_GB2312" w:cs="Times New Roman"/>
          <w:w w:val="100"/>
          <w:sz w:val="32"/>
          <w:szCs w:val="32"/>
          <w:lang w:val="en-US" w:eastAsia="zh-CN"/>
        </w:rPr>
        <w:t>主要包括一般工业固体废物、危险废物和生活垃圾。一般工业固体废物包括</w:t>
      </w:r>
      <w:r>
        <w:rPr>
          <w:rFonts w:hint="eastAsia" w:ascii="Times New Roman" w:hAnsi="Times New Roman" w:eastAsia="仿宋_GB2312" w:cs="Times New Roman"/>
          <w:w w:val="100"/>
          <w:sz w:val="32"/>
          <w:szCs w:val="32"/>
          <w:lang w:val="en-US" w:eastAsia="zh-CN"/>
        </w:rPr>
        <w:t>金属废料、焊渣、废钢砂、废水性漆桶、废除尘灰、废布袋、废砂轮、废包装袋、废滤材和损坏零件。其中金属废料、焊渣、废钢砂、废水性漆桶、废除尘灰、废布袋、废砂轮、废包装袋、废滤材分类收集，外售综合利用，损坏零件分类收集后交由供应商回收再利用</w:t>
      </w:r>
      <w:r>
        <w:rPr>
          <w:rFonts w:hint="default" w:ascii="Times New Roman" w:hAnsi="Times New Roman" w:eastAsia="仿宋_GB2312" w:cs="Times New Roman"/>
          <w:w w:val="100"/>
          <w:sz w:val="32"/>
          <w:szCs w:val="32"/>
          <w:lang w:val="en-US" w:eastAsia="zh-CN"/>
        </w:rPr>
        <w:t>。危险废物包括</w:t>
      </w:r>
      <w:r>
        <w:rPr>
          <w:rFonts w:hint="eastAsia" w:ascii="Times New Roman" w:hAnsi="Times New Roman" w:eastAsia="仿宋_GB2312" w:cs="Times New Roman"/>
          <w:w w:val="100"/>
          <w:sz w:val="32"/>
          <w:szCs w:val="32"/>
          <w:lang w:val="en-US" w:eastAsia="zh-CN"/>
        </w:rPr>
        <w:t>废机油、废液压油、废油桶、含油抹布、废切削液、漆渣、废过滤棉、废催化剂、废活性炭。</w:t>
      </w:r>
      <w:r>
        <w:rPr>
          <w:rFonts w:hint="default" w:ascii="Times New Roman" w:hAnsi="Times New Roman" w:eastAsia="仿宋_GB2312" w:cs="Times New Roman"/>
          <w:w w:val="100"/>
          <w:sz w:val="32"/>
          <w:szCs w:val="32"/>
          <w:lang w:val="en-US" w:eastAsia="zh-CN"/>
        </w:rPr>
        <w:t>分类收集后，暂存于危废间内，定期交有资质单位处置</w:t>
      </w:r>
      <w:r>
        <w:rPr>
          <w:rFonts w:hint="eastAsia" w:ascii="Times New Roman" w:hAnsi="Times New Roman" w:eastAsia="仿宋_GB2312" w:cs="Times New Roman"/>
          <w:w w:val="100"/>
          <w:sz w:val="32"/>
          <w:szCs w:val="32"/>
          <w:lang w:val="en-US" w:eastAsia="zh-CN"/>
        </w:rPr>
        <w:t>。</w:t>
      </w:r>
      <w:r>
        <w:rPr>
          <w:rFonts w:hint="default" w:ascii="Times New Roman" w:hAnsi="Times New Roman" w:eastAsia="仿宋_GB2312" w:cs="Times New Roman"/>
          <w:w w:val="100"/>
          <w:sz w:val="32"/>
          <w:szCs w:val="32"/>
          <w:lang w:val="en-US" w:eastAsia="zh-CN"/>
        </w:rPr>
        <w:t>生活垃圾由环卫部门定期清运。</w:t>
      </w:r>
    </w:p>
    <w:p>
      <w:pPr>
        <w:keepNext w:val="0"/>
        <w:keepLines w:val="0"/>
        <w:pageBreakBefore w:val="0"/>
        <w:widowControl w:val="0"/>
        <w:suppressLineNumbers w:val="0"/>
        <w:kinsoku/>
        <w:wordWrap/>
        <w:overflowPunct w:val="0"/>
        <w:topLinePunct w:val="0"/>
        <w:autoSpaceDE/>
        <w:autoSpaceDN/>
        <w:bidi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eastAsia="zh-CN"/>
        </w:rPr>
      </w:pPr>
      <w:r>
        <w:rPr>
          <w:rFonts w:hint="eastAsia" w:ascii="Times New Roman" w:hAnsi="Times New Roman" w:eastAsia="仿宋_GB2312" w:cs="Times New Roman"/>
          <w:w w:val="100"/>
          <w:sz w:val="32"/>
          <w:szCs w:val="32"/>
          <w:lang w:val="en-US" w:eastAsia="zh-CN"/>
        </w:rPr>
        <w:t>五</w:t>
      </w:r>
      <w:r>
        <w:rPr>
          <w:rFonts w:hint="default" w:ascii="Times New Roman" w:hAnsi="Times New Roman" w:eastAsia="仿宋_GB2312" w:cs="Times New Roman"/>
          <w:w w:val="100"/>
          <w:sz w:val="32"/>
          <w:szCs w:val="32"/>
          <w:lang w:val="en-US" w:eastAsia="zh-CN"/>
        </w:rPr>
        <w:t>、项目建设必须严格执行配套建设的环境保护设施与主</w:t>
      </w:r>
      <w:r>
        <w:rPr>
          <w:rFonts w:hint="default" w:ascii="Times New Roman" w:hAnsi="Times New Roman" w:eastAsia="仿宋_GB2312" w:cs="Times New Roman"/>
          <w:w w:val="100"/>
          <w:sz w:val="32"/>
          <w:szCs w:val="32"/>
          <w:lang w:eastAsia="zh-CN"/>
        </w:rPr>
        <w:t>体工程同时设计、同时施工、同时投产使用的环境保护“三同时”制度。</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eastAsia" w:ascii="Times New Roman" w:hAnsi="Times New Roman" w:eastAsia="仿宋_GB2312" w:cs="Times New Roman"/>
          <w:w w:val="100"/>
          <w:sz w:val="32"/>
          <w:szCs w:val="32"/>
          <w:lang w:eastAsia="zh-CN"/>
        </w:rPr>
        <w:t>六</w:t>
      </w:r>
      <w:r>
        <w:rPr>
          <w:rFonts w:hint="default" w:ascii="Times New Roman" w:hAnsi="Times New Roman" w:eastAsia="仿宋_GB2312" w:cs="Times New Roman"/>
          <w:w w:val="100"/>
          <w:sz w:val="32"/>
          <w:szCs w:val="32"/>
        </w:rPr>
        <w:t>、该项目如可研审查或设计和施工变化造成项目性质、规模、工艺和选址或者防治生态破坏、防治污染的措施发生重大变动的，应当在调整前重新报批本项目环境影响评价文件。工程自批复之日起五年后方决定开工建设的，需将环评文件报我局重新审核。</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rPr>
      </w:pPr>
      <w:r>
        <w:rPr>
          <w:rFonts w:hint="eastAsia" w:ascii="Times New Roman" w:hAnsi="Times New Roman" w:eastAsia="仿宋_GB2312" w:cs="Times New Roman"/>
          <w:w w:val="100"/>
          <w:sz w:val="32"/>
          <w:szCs w:val="32"/>
          <w:lang w:eastAsia="zh-CN"/>
        </w:rPr>
        <w:t>七</w:t>
      </w:r>
      <w:r>
        <w:rPr>
          <w:rFonts w:hint="default" w:ascii="Times New Roman" w:hAnsi="Times New Roman" w:eastAsia="仿宋_GB2312" w:cs="Times New Roman"/>
          <w:w w:val="100"/>
          <w:sz w:val="32"/>
          <w:szCs w:val="32"/>
        </w:rPr>
        <w:t>、按照关于印发《建设项目环境保护事中事后监督管理办法（试行）》（环发﹝2015﹞163号）及其他文件要求，本项目环保方面的事中事后监督管理由邯郸市生态环境局魏县分局负责。你公司按规定接受各级环境保护行政主管部门的日常监督管理。</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w w:val="100"/>
          <w:sz w:val="32"/>
          <w:szCs w:val="32"/>
          <w:lang w:val="en-US" w:eastAsia="zh-CN"/>
        </w:rPr>
      </w:pPr>
      <w:r>
        <w:rPr>
          <w:rFonts w:hint="eastAsia" w:ascii="Times New Roman" w:hAnsi="Times New Roman" w:eastAsia="仿宋_GB2312" w:cs="Times New Roman"/>
          <w:w w:val="100"/>
          <w:sz w:val="32"/>
          <w:szCs w:val="32"/>
          <w:lang w:eastAsia="zh-CN"/>
        </w:rPr>
        <w:t>八</w:t>
      </w:r>
      <w:r>
        <w:rPr>
          <w:rFonts w:hint="default" w:ascii="Times New Roman" w:hAnsi="Times New Roman" w:eastAsia="仿宋_GB2312" w:cs="Times New Roman"/>
          <w:w w:val="100"/>
          <w:sz w:val="32"/>
          <w:szCs w:val="32"/>
        </w:rPr>
        <w:t>、本批复仅代表环评方面意见，在认真落实环境影响报告表提出的各项污染防治措施的基础上，从环保角度分析，项目建设可行。按照法律规定，项目开工建设和投产使用还需土地、规划等其他方面手续，请你单位尽快到相关部门办理其他相关手续，相关部门出具意见之前不得开工。项</w:t>
      </w:r>
      <w:r>
        <w:rPr>
          <w:rFonts w:hint="default" w:ascii="Times New Roman" w:hAnsi="Times New Roman" w:eastAsia="仿宋_GB2312" w:cs="Times New Roman"/>
          <w:w w:val="100"/>
          <w:sz w:val="32"/>
          <w:szCs w:val="32"/>
          <w:lang w:val="en-US" w:eastAsia="zh-CN"/>
        </w:rPr>
        <w:t>目</w:t>
      </w:r>
      <w:r>
        <w:rPr>
          <w:rFonts w:hint="default" w:ascii="Times New Roman" w:hAnsi="Times New Roman" w:eastAsia="仿宋_GB2312" w:cs="Times New Roman"/>
          <w:w w:val="100"/>
          <w:sz w:val="32"/>
          <w:szCs w:val="32"/>
        </w:rPr>
        <w:t>竣</w:t>
      </w:r>
      <w:r>
        <w:rPr>
          <w:rFonts w:hint="default" w:ascii="Times New Roman" w:hAnsi="Times New Roman" w:eastAsia="仿宋_GB2312" w:cs="Times New Roman"/>
          <w:w w:val="100"/>
          <w:sz w:val="32"/>
          <w:szCs w:val="32"/>
          <w:lang w:val="en-US" w:eastAsia="zh-CN"/>
        </w:rPr>
        <w:t>工</w:t>
      </w:r>
      <w:r>
        <w:rPr>
          <w:rFonts w:hint="default" w:ascii="Times New Roman" w:hAnsi="Times New Roman" w:eastAsia="仿宋_GB2312" w:cs="Times New Roman"/>
          <w:w w:val="100"/>
          <w:sz w:val="32"/>
          <w:szCs w:val="32"/>
        </w:rPr>
        <w:t>后</w:t>
      </w:r>
      <w:r>
        <w:rPr>
          <w:rFonts w:hint="default" w:ascii="Times New Roman" w:hAnsi="Times New Roman" w:eastAsia="仿宋_GB2312" w:cs="Times New Roman"/>
          <w:w w:val="100"/>
          <w:sz w:val="32"/>
          <w:szCs w:val="32"/>
          <w:lang w:val="en-US" w:eastAsia="zh-CN"/>
        </w:rPr>
        <w:t>还</w:t>
      </w:r>
      <w:r>
        <w:rPr>
          <w:rFonts w:hint="default" w:ascii="Times New Roman" w:hAnsi="Times New Roman" w:eastAsia="仿宋_GB2312" w:cs="Times New Roman"/>
          <w:w w:val="100"/>
          <w:sz w:val="32"/>
          <w:szCs w:val="32"/>
        </w:rPr>
        <w:t>需按相关规定开展环保验收</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rPr>
        <w:t>环保验收合格后</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方</w:t>
      </w:r>
      <w:r>
        <w:rPr>
          <w:rFonts w:hint="default" w:ascii="Times New Roman" w:hAnsi="Times New Roman" w:eastAsia="仿宋_GB2312" w:cs="Times New Roman"/>
          <w:w w:val="100"/>
          <w:sz w:val="32"/>
          <w:szCs w:val="32"/>
        </w:rPr>
        <w:t>可正式投</w:t>
      </w:r>
      <w:r>
        <w:rPr>
          <w:rFonts w:hint="default" w:ascii="Times New Roman" w:hAnsi="Times New Roman" w:eastAsia="仿宋_GB2312" w:cs="Times New Roman"/>
          <w:w w:val="100"/>
          <w:sz w:val="32"/>
          <w:szCs w:val="32"/>
          <w:lang w:val="en-US" w:eastAsia="zh-CN"/>
        </w:rPr>
        <w:t>入</w:t>
      </w:r>
      <w:r>
        <w:rPr>
          <w:rFonts w:hint="default" w:ascii="Times New Roman" w:hAnsi="Times New Roman" w:eastAsia="仿宋_GB2312" w:cs="Times New Roman"/>
          <w:w w:val="100"/>
          <w:sz w:val="32"/>
          <w:szCs w:val="32"/>
        </w:rPr>
        <w:t>运</w:t>
      </w:r>
      <w:r>
        <w:rPr>
          <w:rFonts w:hint="default" w:ascii="Times New Roman" w:hAnsi="Times New Roman" w:eastAsia="仿宋_GB2312" w:cs="Times New Roman"/>
          <w:w w:val="100"/>
          <w:sz w:val="32"/>
          <w:szCs w:val="32"/>
          <w:lang w:val="en-US" w:eastAsia="zh-CN"/>
        </w:rPr>
        <w:t>行</w:t>
      </w:r>
      <w:r>
        <w:rPr>
          <w:rFonts w:hint="default" w:ascii="Times New Roman" w:hAnsi="Times New Roman" w:eastAsia="仿宋_GB2312" w:cs="Times New Roman"/>
          <w:w w:val="100"/>
          <w:sz w:val="32"/>
          <w:szCs w:val="32"/>
        </w:rPr>
        <w:t>使</w:t>
      </w:r>
      <w:r>
        <w:rPr>
          <w:rFonts w:hint="default" w:ascii="Times New Roman" w:hAnsi="Times New Roman" w:eastAsia="仿宋_GB2312" w:cs="Times New Roman"/>
          <w:w w:val="100"/>
          <w:sz w:val="32"/>
          <w:szCs w:val="32"/>
          <w:lang w:val="en-US" w:eastAsia="zh-CN"/>
        </w:rPr>
        <w:t>用。</w:t>
      </w:r>
    </w:p>
    <w:p>
      <w:pPr>
        <w:keepNext w:val="0"/>
        <w:keepLines w:val="0"/>
        <w:pageBreakBefore w:val="0"/>
        <w:widowControl w:val="0"/>
        <w:kinsoku/>
        <w:wordWrap/>
        <w:overflowPunct w:val="0"/>
        <w:topLinePunct w:val="0"/>
        <w:autoSpaceDE/>
        <w:autoSpaceDN/>
        <w:bidi w:val="0"/>
        <w:adjustRightInd/>
        <w:snapToGrid w:val="0"/>
        <w:spacing w:line="550" w:lineRule="exact"/>
        <w:ind w:left="0" w:leftChars="0" w:right="0" w:firstLine="640" w:firstLineChars="200"/>
        <w:jc w:val="both"/>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eastAsia" w:ascii="Times New Roman" w:hAnsi="Times New Roman" w:eastAsia="仿宋_GB2312" w:cs="Times New Roman"/>
          <w:w w:val="100"/>
          <w:sz w:val="32"/>
          <w:szCs w:val="32"/>
          <w:lang w:eastAsia="zh-CN"/>
        </w:rPr>
        <w:t>九</w:t>
      </w:r>
      <w:r>
        <w:rPr>
          <w:rFonts w:hint="default" w:ascii="Times New Roman" w:hAnsi="Times New Roman" w:eastAsia="仿宋_GB2312" w:cs="Times New Roman"/>
          <w:w w:val="100"/>
          <w:sz w:val="32"/>
          <w:szCs w:val="32"/>
          <w:lang w:eastAsia="zh-CN"/>
        </w:rPr>
        <w:t>、</w:t>
      </w:r>
      <w:r>
        <w:rPr>
          <w:rFonts w:hint="default" w:ascii="Times New Roman" w:hAnsi="Times New Roman" w:eastAsia="仿宋_GB2312" w:cs="Times New Roman"/>
          <w:w w:val="100"/>
          <w:sz w:val="32"/>
          <w:szCs w:val="32"/>
          <w:lang w:val="en-US" w:eastAsia="zh-CN"/>
        </w:rPr>
        <w:t>本项目主要污染物总量控制指标为:</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COD：</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0.061</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t/a；NH3-N：</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0.006</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t/a；SO2：</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2.720</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t/a；NOx：</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2.720</w:t>
      </w: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t/a。</w:t>
      </w:r>
    </w:p>
    <w:p>
      <w:pPr>
        <w:pStyle w:val="2"/>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val="0"/>
        <w:spacing w:before="360" w:after="240" w:line="550" w:lineRule="exact"/>
        <w:ind w:left="3821" w:leftChars="0" w:right="0" w:firstLine="0" w:firstLineChars="0"/>
        <w:jc w:val="center"/>
        <w:textAlignment w:val="auto"/>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t>河北魏县经济开发区管理委员会</w:t>
      </w:r>
    </w:p>
    <w:p>
      <w:pPr>
        <w:keepNext w:val="0"/>
        <w:keepLines w:val="0"/>
        <w:pageBreakBefore w:val="0"/>
        <w:widowControl w:val="0"/>
        <w:kinsoku/>
        <w:wordWrap/>
        <w:overflowPunct w:val="0"/>
        <w:topLinePunct w:val="0"/>
        <w:autoSpaceDE/>
        <w:autoSpaceDN/>
        <w:bidi w:val="0"/>
        <w:adjustRightInd/>
        <w:snapToGrid w:val="0"/>
        <w:spacing w:before="360" w:after="240" w:line="550" w:lineRule="exact"/>
        <w:ind w:left="3821" w:leftChars="0" w:right="0" w:firstLine="0" w:firstLineChars="0"/>
        <w:jc w:val="center"/>
        <w:textAlignment w:val="auto"/>
        <w:rPr>
          <w:rFonts w:hint="default" w:ascii="Times New Roman" w:hAnsi="Times New Roman" w:eastAsia="仿宋_GB2312" w:cs="Times New Roman"/>
          <w:color w:val="000000" w:themeColor="text1"/>
          <w:w w:val="100"/>
          <w:sz w:val="32"/>
          <w:szCs w:val="32"/>
          <w14:textFill>
            <w14:solidFill>
              <w14:schemeClr w14:val="tx1"/>
            </w14:solidFill>
          </w14:textFill>
        </w:rPr>
      </w:pPr>
      <w:r>
        <w:rPr>
          <w:rFonts w:hint="default" w:ascii="Times New Roman" w:hAnsi="Times New Roman" w:eastAsia="仿宋_GB2312" w:cs="Times New Roman"/>
          <w:color w:val="000000" w:themeColor="text1"/>
          <w:w w:val="100"/>
          <w:sz w:val="32"/>
          <w:szCs w:val="32"/>
          <w:lang w:val="en-US" w:eastAsia="zh-CN"/>
          <w14:textFill>
            <w14:solidFill>
              <w14:schemeClr w14:val="tx1"/>
            </w14:solidFill>
          </w14:textFill>
        </w:rPr>
        <w:br w:type="textWrapping"/>
      </w:r>
      <w:r>
        <w:rPr>
          <w:rFonts w:hint="default" w:ascii="Times New Roman" w:hAnsi="Times New Roman" w:eastAsia="仿宋_GB2312" w:cs="Times New Roman"/>
          <w:color w:val="000000" w:themeColor="text1"/>
          <w:w w:val="100"/>
          <w:sz w:val="32"/>
          <w:szCs w:val="32"/>
          <w14:textFill>
            <w14:solidFill>
              <w14:schemeClr w14:val="tx1"/>
            </w14:solidFill>
          </w14:textFill>
        </w:rPr>
        <w:t>二〇二</w:t>
      </w:r>
      <w:r>
        <w:rPr>
          <w:rFonts w:hint="eastAsia" w:ascii="Times New Roman" w:hAnsi="Times New Roman" w:eastAsia="仿宋_GB2312" w:cs="Times New Roman"/>
          <w:color w:val="000000" w:themeColor="text1"/>
          <w:w w:val="100"/>
          <w:sz w:val="32"/>
          <w:szCs w:val="32"/>
          <w:lang w:val="en-US" w:eastAsia="zh-CN"/>
          <w14:textFill>
            <w14:solidFill>
              <w14:schemeClr w14:val="tx1"/>
            </w14:solidFill>
          </w14:textFill>
        </w:rPr>
        <w:t>六</w:t>
      </w:r>
      <w:r>
        <w:rPr>
          <w:rFonts w:hint="default" w:ascii="Times New Roman" w:hAnsi="Times New Roman" w:eastAsia="仿宋_GB2312" w:cs="Times New Roman"/>
          <w:color w:val="000000" w:themeColor="text1"/>
          <w:w w:val="100"/>
          <w:sz w:val="32"/>
          <w:szCs w:val="32"/>
          <w14:textFill>
            <w14:solidFill>
              <w14:schemeClr w14:val="tx1"/>
            </w14:solidFill>
          </w14:textFill>
        </w:rPr>
        <w:t>年</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一</w:t>
      </w:r>
      <w:r>
        <w:rPr>
          <w:rFonts w:hint="default" w:ascii="Times New Roman" w:hAnsi="Times New Roman" w:eastAsia="仿宋_GB2312" w:cs="Times New Roman"/>
          <w:color w:val="000000" w:themeColor="text1"/>
          <w:w w:val="100"/>
          <w:sz w:val="32"/>
          <w:szCs w:val="32"/>
          <w14:textFill>
            <w14:solidFill>
              <w14:schemeClr w14:val="tx1"/>
            </w14:solidFill>
          </w14:textFill>
        </w:rPr>
        <w:t>月</w:t>
      </w:r>
      <w:r>
        <w:rPr>
          <w:rFonts w:hint="eastAsia" w:ascii="Times New Roman" w:hAnsi="Times New Roman" w:eastAsia="仿宋_GB2312" w:cs="Times New Roman"/>
          <w:color w:val="000000" w:themeColor="text1"/>
          <w:w w:val="100"/>
          <w:sz w:val="32"/>
          <w:szCs w:val="32"/>
          <w:lang w:eastAsia="zh-CN"/>
          <w14:textFill>
            <w14:solidFill>
              <w14:schemeClr w14:val="tx1"/>
            </w14:solidFill>
          </w14:textFill>
        </w:rPr>
        <w:t>九</w:t>
      </w:r>
      <w:r>
        <w:rPr>
          <w:rFonts w:hint="default" w:ascii="Times New Roman" w:hAnsi="Times New Roman" w:eastAsia="仿宋_GB2312" w:cs="Times New Roman"/>
          <w:color w:val="000000" w:themeColor="text1"/>
          <w:w w:val="100"/>
          <w:sz w:val="32"/>
          <w:szCs w:val="32"/>
          <w14:textFill>
            <w14:solidFill>
              <w14:schemeClr w14:val="tx1"/>
            </w14:solidFill>
          </w14:textFill>
        </w:rPr>
        <w:t>日</w:t>
      </w: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pStyle w:val="2"/>
        <w:rPr>
          <w:rFonts w:hint="default" w:ascii="Times New Roman" w:hAnsi="Times New Roman" w:eastAsia="仿宋_GB2312" w:cs="Times New Roman"/>
          <w:color w:val="000000" w:themeColor="text1"/>
          <w:w w:val="100"/>
          <w:sz w:val="32"/>
          <w:szCs w:val="32"/>
          <w14:textFill>
            <w14:solidFill>
              <w14:schemeClr w14:val="tx1"/>
            </w14:solidFill>
          </w14:textFill>
        </w:rPr>
      </w:pPr>
    </w:p>
    <w:p>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w:t>抄送：县大气办、邯郸市生态环境局魏县分局</w:t>
      </w:r>
    </w:p>
    <w:p>
      <w:pPr>
        <w:keepNext w:val="0"/>
        <w:keepLines w:val="0"/>
        <w:pageBreakBefore w:val="0"/>
        <w:widowControl w:val="0"/>
        <w:kinsoku/>
        <w:wordWrap/>
        <w:overflowPunct w:val="0"/>
        <w:topLinePunct w:val="0"/>
        <w:autoSpaceDE/>
        <w:autoSpaceDN/>
        <w:bidi w:val="0"/>
        <w:adjustRightInd/>
        <w:snapToGrid/>
        <w:spacing w:line="550" w:lineRule="exact"/>
        <w:ind w:left="283" w:leftChars="0" w:right="283"/>
        <w:jc w:val="both"/>
        <w:textAlignment w:val="auto"/>
        <w:rPr>
          <w:rFonts w:hint="default" w:ascii="Times New Roman" w:hAnsi="Times New Roman" w:eastAsia="仿宋_GB2312" w:cs="Times New Roman"/>
          <w:color w:val="000000" w:themeColor="text1"/>
          <w:w w:val="100"/>
          <w:sz w:val="28"/>
          <w:szCs w:val="28"/>
          <w14:textFill>
            <w14:solidFill>
              <w14:schemeClr w14:val="tx1"/>
            </w14:solidFill>
          </w14:textFill>
        </w:rPr>
      </w:pPr>
      <w:r>
        <w:rPr>
          <w:rFonts w:hint="default" w:ascii="Times New Roman" w:hAnsi="Times New Roman" w:eastAsia="仿宋_GB2312" w:cs="Times New Roman"/>
          <w:color w:val="000000" w:themeColor="text1"/>
          <w:w w:val="100"/>
          <w:sz w:val="28"/>
          <w:szCs w:val="28"/>
          <w:lang w:val="en-US"/>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15875</wp:posOffset>
                </wp:positionH>
                <wp:positionV relativeFrom="paragraph">
                  <wp:posOffset>38100</wp:posOffset>
                </wp:positionV>
                <wp:extent cx="5600700" cy="0"/>
                <wp:effectExtent l="0" t="4445" r="0" b="5080"/>
                <wp:wrapNone/>
                <wp:docPr id="15" name="直接连接符 15"/>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5pt;margin-top:3pt;height:0pt;width:441pt;z-index:251659264;mso-width-relative:page;mso-height-relative:page;" filled="f" stroked="t" coordsize="21600,21600" o:gfxdata="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GJrcQ7SAAAABQEAAA8AAAAAAAAAAQAgAAAA&#10;OAAAAGRycy9kb3ducmV2LnhtbFBLAQIUABQAAAAIAIdO4kDCfqv0+wEAAPQDAAAOAAAAAAAAAAEA&#10;IAAAAD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000000" w:themeColor="text1"/>
          <w:w w:val="100"/>
          <w:sz w:val="28"/>
          <w:szCs w:val="28"/>
          <w:lang w:val="en-US" w:eastAsia="zh-CN"/>
          <w14:textFill>
            <w14:solidFill>
              <w14:schemeClr w14:val="tx1"/>
            </w14:solidFill>
          </w14:textFill>
        </w:rPr>
        <w:t>河北魏县经济开发区管理委员会</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 xml:space="preserve">                </w:t>
      </w:r>
      <w:r>
        <w:rPr>
          <w:rFonts w:hint="default" w:ascii="Times New Roman" w:hAnsi="Times New Roman" w:eastAsia="仿宋_GB2312" w:cs="Times New Roman"/>
          <w:color w:val="000000" w:themeColor="text1"/>
          <w:w w:val="100"/>
          <w:sz w:val="28"/>
          <w:szCs w:val="28"/>
          <w14:textFill>
            <w14:solidFill>
              <w14:schemeClr w14:val="tx1"/>
            </w14:solidFill>
          </w14:textFill>
        </w:rPr>
        <w:t>202</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6</w:t>
      </w:r>
      <w:r>
        <w:rPr>
          <w:rFonts w:hint="default" w:ascii="Times New Roman" w:hAnsi="Times New Roman" w:eastAsia="仿宋_GB2312" w:cs="Times New Roman"/>
          <w:color w:val="000000" w:themeColor="text1"/>
          <w:w w:val="100"/>
          <w:sz w:val="28"/>
          <w:szCs w:val="28"/>
          <w14:textFill>
            <w14:solidFill>
              <w14:schemeClr w14:val="tx1"/>
            </w14:solidFill>
          </w14:textFill>
        </w:rPr>
        <w:t>年</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1</w:t>
      </w:r>
      <w:r>
        <w:rPr>
          <w:rFonts w:hint="default" w:ascii="Times New Roman" w:hAnsi="Times New Roman" w:eastAsia="仿宋_GB2312" w:cs="Times New Roman"/>
          <w:color w:val="000000" w:themeColor="text1"/>
          <w:w w:val="100"/>
          <w:sz w:val="28"/>
          <w:szCs w:val="28"/>
          <w14:textFill>
            <w14:solidFill>
              <w14:schemeClr w14:val="tx1"/>
            </w14:solidFill>
          </w14:textFill>
        </w:rPr>
        <w:t>月</w:t>
      </w:r>
      <w:r>
        <w:rPr>
          <w:rFonts w:hint="eastAsia" w:ascii="Times New Roman" w:hAnsi="Times New Roman" w:eastAsia="仿宋_GB2312" w:cs="Times New Roman"/>
          <w:color w:val="000000" w:themeColor="text1"/>
          <w:w w:val="100"/>
          <w:sz w:val="28"/>
          <w:szCs w:val="28"/>
          <w:lang w:val="en-US" w:eastAsia="zh-CN"/>
          <w14:textFill>
            <w14:solidFill>
              <w14:schemeClr w14:val="tx1"/>
            </w14:solidFill>
          </w14:textFill>
        </w:rPr>
        <w:t>9</w:t>
      </w:r>
      <w:r>
        <w:rPr>
          <w:rFonts w:hint="default" w:ascii="Times New Roman" w:hAnsi="Times New Roman" w:eastAsia="仿宋_GB2312" w:cs="Times New Roman"/>
          <w:color w:val="000000" w:themeColor="text1"/>
          <w:w w:val="100"/>
          <w:sz w:val="28"/>
          <w:szCs w:val="28"/>
          <w14:textFill>
            <w14:solidFill>
              <w14:schemeClr w14:val="tx1"/>
            </w14:solidFill>
          </w14:textFill>
        </w:rPr>
        <w:t>日</w:t>
      </w:r>
    </w:p>
    <w:p>
      <w:pPr>
        <w:keepNext w:val="0"/>
        <w:keepLines w:val="0"/>
        <w:pageBreakBefore w:val="0"/>
        <w:widowControl w:val="0"/>
        <w:kinsoku/>
        <w:wordWrap/>
        <w:overflowPunct w:val="0"/>
        <w:topLinePunct w:val="0"/>
        <w:autoSpaceDE/>
        <w:autoSpaceDN/>
        <w:bidi w:val="0"/>
        <w:adjustRightInd/>
        <w:snapToGrid/>
        <w:spacing w:line="550" w:lineRule="exact"/>
        <w:ind w:right="283"/>
        <w:jc w:val="right"/>
        <w:textAlignment w:val="auto"/>
        <w:rPr>
          <w:rFonts w:hint="default" w:ascii="Times New Roman" w:hAnsi="Times New Roman" w:eastAsia="仿宋_GB2312" w:cs="Times New Roman"/>
          <w:color w:val="auto"/>
          <w:w w:val="100"/>
          <w:sz w:val="28"/>
          <w:szCs w:val="28"/>
        </w:rPr>
      </w:pPr>
      <w:r>
        <w:rPr>
          <w:rFonts w:hint="default" w:ascii="Times New Roman" w:hAnsi="Times New Roman" w:eastAsia="仿宋_GB2312" w:cs="Times New Roman"/>
          <w:color w:val="auto"/>
          <w:w w:val="100"/>
          <w:sz w:val="28"/>
          <w:szCs w:val="28"/>
        </w:rPr>
        <mc:AlternateContent>
          <mc:Choice Requires="wps">
            <w:drawing>
              <wp:anchor distT="0" distB="0" distL="114300" distR="114300" simplePos="0" relativeHeight="251660288" behindDoc="0" locked="0" layoutInCell="1" allowOverlap="1">
                <wp:simplePos x="0" y="0"/>
                <wp:positionH relativeFrom="column">
                  <wp:posOffset>19685</wp:posOffset>
                </wp:positionH>
                <wp:positionV relativeFrom="paragraph">
                  <wp:posOffset>42545</wp:posOffset>
                </wp:positionV>
                <wp:extent cx="5600700"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55pt;margin-top:3.35pt;height:0pt;width:441pt;z-index:251660288;mso-width-relative:page;mso-height-relative:page;" filled="f" stroked="t" coordsize="21600,21600" o:gfxdata="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BYAAABkcnMvUEsBAhQAFAAAAAgAh07iQI3veK3SAAAABQEAAA8AAAAAAAAAAQAgAAAA&#10;OAAAAGRycy9kb3ducmV2LnhtbFBLAQIUABQAAAAIAIdO4kC2p686+wEAAPQDAAAOAAAAAAAAAAEA&#10;IAAAADcBAABkcnMvZTJvRG9jLnhtbFBLBQYAAAAABgAGAFkBAACk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w w:val="100"/>
          <w:sz w:val="28"/>
          <w:szCs w:val="28"/>
        </w:rPr>
        <w:t>（共印</w:t>
      </w:r>
      <w:r>
        <w:rPr>
          <w:rFonts w:hint="default" w:ascii="Times New Roman" w:hAnsi="Times New Roman" w:eastAsia="仿宋_GB2312" w:cs="Times New Roman"/>
          <w:color w:val="auto"/>
          <w:w w:val="100"/>
          <w:sz w:val="28"/>
          <w:szCs w:val="28"/>
          <w:lang w:val="en-US" w:eastAsia="zh-CN"/>
        </w:rPr>
        <w:t>6</w:t>
      </w:r>
      <w:r>
        <w:rPr>
          <w:rFonts w:hint="default" w:ascii="Times New Roman" w:hAnsi="Times New Roman" w:eastAsia="仿宋_GB2312" w:cs="Times New Roman"/>
          <w:color w:val="auto"/>
          <w:w w:val="100"/>
          <w:sz w:val="28"/>
          <w:szCs w:val="28"/>
        </w:rPr>
        <w:t>份）</w:t>
      </w:r>
    </w:p>
    <w:sectPr>
      <w:footerReference r:id="rId3" w:type="default"/>
      <w:footerReference r:id="rId4" w:type="even"/>
      <w:pgSz w:w="11906" w:h="16838"/>
      <w:pgMar w:top="2098" w:right="1531" w:bottom="1984" w:left="1531" w:header="851" w:footer="1474" w:gutter="0"/>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8"/>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Arial Unicode MS">
    <w:altName w:val="DejaVu Sans"/>
    <w:panose1 w:val="020B0604020202020204"/>
    <w:charset w:val="86"/>
    <w:family w:val="auto"/>
    <w:pitch w:val="default"/>
    <w:sig w:usb0="00000000" w:usb1="00000000" w:usb2="0000003F" w:usb3="00000000" w:csb0="603F01FF" w:csb1="FFFF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2010601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汉仪书宋一简">
    <w:altName w:val="方正书宋_GBK"/>
    <w:panose1 w:val="02010609000101010101"/>
    <w:charset w:val="86"/>
    <w:family w:val="auto"/>
    <w:pitch w:val="default"/>
    <w:sig w:usb0="00000000" w:usb1="00000000" w:usb2="00000002"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bidi w:val="0"/>
      <w:adjustRightInd/>
      <w:snapToGrid w:val="0"/>
      <w:ind w:left="283" w:right="283"/>
      <w:jc w:val="righ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keepNext w:val="0"/>
      <w:keepLines w:val="0"/>
      <w:pageBreakBefore w:val="0"/>
      <w:widowControl/>
      <w:kinsoku/>
      <w:wordWrap/>
      <w:overflowPunct/>
      <w:topLinePunct w:val="0"/>
      <w:bidi w:val="0"/>
      <w:adjustRightInd/>
      <w:snapToGrid w:val="0"/>
      <w:ind w:left="283" w:right="283"/>
      <w:jc w:val="left"/>
      <w:textAlignment w:val="auto"/>
    </w:pPr>
    <w:r>
      <w:rPr>
        <w:rFonts w:hint="eastAsia" w:ascii="汉仪书宋一简" w:hAnsi="汉仪书宋一简" w:eastAsia="汉仪书宋一简" w:cs="汉仪书宋一简"/>
        <w:sz w:val="28"/>
        <w:szCs w:val="28"/>
      </w:rPr>
      <w:fldChar w:fldCharType="begin"/>
    </w:r>
    <w:r>
      <w:rPr>
        <w:rFonts w:hint="eastAsia" w:ascii="汉仪书宋一简" w:hAnsi="汉仪书宋一简" w:eastAsia="汉仪书宋一简" w:cs="汉仪书宋一简"/>
        <w:sz w:val="28"/>
        <w:szCs w:val="28"/>
      </w:rPr>
      <w:instrText xml:space="preserve"> PAGE  \* MERGEFORMAT </w:instrText>
    </w:r>
    <w:r>
      <w:rPr>
        <w:rFonts w:hint="eastAsia" w:ascii="汉仪书宋一简" w:hAnsi="汉仪书宋一简" w:eastAsia="汉仪书宋一简" w:cs="汉仪书宋一简"/>
        <w:sz w:val="28"/>
        <w:szCs w:val="28"/>
      </w:rPr>
      <w:fldChar w:fldCharType="separate"/>
    </w:r>
    <w:r>
      <w:rPr>
        <w:rFonts w:hint="eastAsia" w:ascii="汉仪书宋一简" w:hAnsi="汉仪书宋一简" w:eastAsia="汉仪书宋一简" w:cs="汉仪书宋一简"/>
        <w:sz w:val="28"/>
        <w:szCs w:val="28"/>
      </w:rPr>
      <w:t>- 2 -</w:t>
    </w:r>
    <w:r>
      <w:rPr>
        <w:rFonts w:hint="eastAsia" w:ascii="汉仪书宋一简" w:hAnsi="汉仪书宋一简" w:eastAsia="汉仪书宋一简" w:cs="汉仪书宋一简"/>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space"/>
      <w:lvlText w:val="第%1章"/>
      <w:lvlJc w:val="left"/>
      <w:pPr>
        <w:ind w:left="0" w:firstLine="0"/>
      </w:pPr>
      <w:rPr>
        <w:rFonts w:hint="eastAsia" w:ascii="隶书" w:eastAsia="隶书"/>
        <w:b/>
        <w:i w:val="0"/>
        <w:color w:val="auto"/>
        <w:sz w:val="36"/>
      </w:rPr>
    </w:lvl>
    <w:lvl w:ilvl="1" w:tentative="0">
      <w:start w:val="1"/>
      <w:numFmt w:val="chineseCountingThousand"/>
      <w:suff w:val="nothing"/>
      <w:lvlText w:val="%2."/>
      <w:lvlJc w:val="left"/>
      <w:pPr>
        <w:ind w:left="785" w:hanging="425"/>
      </w:pPr>
      <w:rPr>
        <w:rFonts w:hint="eastAsia"/>
      </w:rPr>
    </w:lvl>
    <w:lvl w:ilvl="2" w:tentative="0">
      <w:start w:val="1"/>
      <w:numFmt w:val="chineseCountingThousand"/>
      <w:suff w:val="nothing"/>
      <w:lvlText w:val="(%3)."/>
      <w:lvlJc w:val="left"/>
      <w:pPr>
        <w:ind w:left="0" w:firstLine="0"/>
      </w:pPr>
      <w:rPr>
        <w:rFonts w:hint="eastAsia" w:ascii="楷体_GB2312" w:eastAsia="楷体_GB2312"/>
      </w:rPr>
    </w:lvl>
    <w:lvl w:ilvl="3" w:tentative="0">
      <w:start w:val="1"/>
      <w:numFmt w:val="decimal"/>
      <w:pStyle w:val="7"/>
      <w:suff w:val="nothing"/>
      <w:lvlText w:val="%4."/>
      <w:lvlJc w:val="left"/>
      <w:pPr>
        <w:ind w:left="0" w:firstLine="0"/>
      </w:pPr>
      <w:rPr>
        <w:rFonts w:hint="eastAsia" w:ascii="宋体" w:eastAsia="宋体"/>
      </w:rPr>
    </w:lvl>
    <w:lvl w:ilvl="4" w:tentative="0">
      <w:start w:val="1"/>
      <w:numFmt w:val="decimal"/>
      <w:suff w:val="nothing"/>
      <w:lvlText w:val="(%5)."/>
      <w:lvlJc w:val="left"/>
      <w:pPr>
        <w:ind w:left="0" w:firstLine="0"/>
      </w:pPr>
      <w:rPr>
        <w:rFonts w:hint="eastAsia" w:ascii="宋体" w:eastAsia="宋体"/>
      </w:rPr>
    </w:lvl>
    <w:lvl w:ilvl="5" w:tentative="0">
      <w:start w:val="1"/>
      <w:numFmt w:val="upperLetter"/>
      <w:lvlText w:val="%6."/>
      <w:lvlJc w:val="left"/>
      <w:pPr>
        <w:tabs>
          <w:tab w:val="left" w:pos="0"/>
        </w:tabs>
        <w:ind w:left="0" w:firstLine="0"/>
      </w:pPr>
      <w:rPr>
        <w:rFonts w:hint="eastAsia" w:ascii="宋体" w:eastAsia="宋体"/>
      </w:rPr>
    </w:lvl>
    <w:lvl w:ilvl="6" w:tentative="0">
      <w:start w:val="1"/>
      <w:numFmt w:val="decimal"/>
      <w:lvlText w:val="%7"/>
      <w:lvlJc w:val="left"/>
      <w:pPr>
        <w:tabs>
          <w:tab w:val="left" w:pos="0"/>
        </w:tabs>
        <w:ind w:left="0" w:firstLine="0"/>
      </w:pPr>
      <w:rPr>
        <w:rFonts w:hint="default" w:ascii="Times New Roman" w:hAnsi="Times New Roman"/>
      </w:rPr>
    </w:lvl>
    <w:lvl w:ilvl="7" w:tentative="0">
      <w:start w:val="1"/>
      <w:numFmt w:val="decimal"/>
      <w:lvlText w:val="%8"/>
      <w:lvlJc w:val="left"/>
      <w:pPr>
        <w:tabs>
          <w:tab w:val="left" w:pos="0"/>
        </w:tabs>
        <w:ind w:left="0" w:firstLine="0"/>
      </w:pPr>
      <w:rPr>
        <w:rFonts w:hint="default" w:ascii="Times New Roman" w:hAnsi="Times New Roman"/>
      </w:rPr>
    </w:lvl>
    <w:lvl w:ilvl="8" w:tentative="0">
      <w:start w:val="1"/>
      <w:numFmt w:val="decimal"/>
      <w:lvlText w:val="%9"/>
      <w:lvlJc w:val="left"/>
      <w:pPr>
        <w:tabs>
          <w:tab w:val="left" w:pos="0"/>
        </w:tabs>
        <w:ind w:left="0" w:firstLine="0"/>
      </w:pPr>
      <w:rPr>
        <w:rFonts w:hint="default" w:ascii="Times New Roman" w:hAnsi="Times New Roman"/>
      </w:rPr>
    </w:lvl>
  </w:abstractNum>
  <w:abstractNum w:abstractNumId="1">
    <w:nsid w:val="76EDAE8F"/>
    <w:multiLevelType w:val="singleLevel"/>
    <w:tmpl w:val="76EDAE8F"/>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evenAndOddHeaders w:val="1"/>
  <w:drawingGridVerticalSpacing w:val="164"/>
  <w:displayHorizontalDrawingGridEvery w:val="1"/>
  <w:displayVerticalDrawingGridEvery w:val="2"/>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NGRlNmY1ZDU5MzI4YTdiM2VlMTcxNmU3ODZiYTMifQ=="/>
    <w:docVar w:name="KSO_WPS_MARK_KEY" w:val="e79ac016-a95e-4bb9-89be-ca0ae29c18f2"/>
  </w:docVars>
  <w:rsids>
    <w:rsidRoot w:val="00472528"/>
    <w:rsid w:val="00004A67"/>
    <w:rsid w:val="001A743A"/>
    <w:rsid w:val="001B658C"/>
    <w:rsid w:val="001C4062"/>
    <w:rsid w:val="002030EC"/>
    <w:rsid w:val="00211894"/>
    <w:rsid w:val="00215AA4"/>
    <w:rsid w:val="002620A0"/>
    <w:rsid w:val="00315DDD"/>
    <w:rsid w:val="00472528"/>
    <w:rsid w:val="007B2F9E"/>
    <w:rsid w:val="009B6EF7"/>
    <w:rsid w:val="009E3169"/>
    <w:rsid w:val="00A42BF5"/>
    <w:rsid w:val="00A55082"/>
    <w:rsid w:val="00B93F2F"/>
    <w:rsid w:val="00C813DA"/>
    <w:rsid w:val="00CC516A"/>
    <w:rsid w:val="00CD1788"/>
    <w:rsid w:val="00CD1AAF"/>
    <w:rsid w:val="00DB7F25"/>
    <w:rsid w:val="00E41DD5"/>
    <w:rsid w:val="00E81A70"/>
    <w:rsid w:val="00F26C4E"/>
    <w:rsid w:val="00F46DFA"/>
    <w:rsid w:val="00F94154"/>
    <w:rsid w:val="013B30FD"/>
    <w:rsid w:val="014557C2"/>
    <w:rsid w:val="015258B8"/>
    <w:rsid w:val="01526B70"/>
    <w:rsid w:val="016A347B"/>
    <w:rsid w:val="01C1789B"/>
    <w:rsid w:val="01F52905"/>
    <w:rsid w:val="0221640D"/>
    <w:rsid w:val="02523FE5"/>
    <w:rsid w:val="026779BA"/>
    <w:rsid w:val="037E6D6A"/>
    <w:rsid w:val="03962305"/>
    <w:rsid w:val="03A10A0E"/>
    <w:rsid w:val="03A73B31"/>
    <w:rsid w:val="03A95C09"/>
    <w:rsid w:val="03AA4003"/>
    <w:rsid w:val="03E12F49"/>
    <w:rsid w:val="0430275A"/>
    <w:rsid w:val="04BC5D9C"/>
    <w:rsid w:val="04CD0E8F"/>
    <w:rsid w:val="052B389D"/>
    <w:rsid w:val="0574733A"/>
    <w:rsid w:val="05810D93"/>
    <w:rsid w:val="05AB7BBE"/>
    <w:rsid w:val="062F6A41"/>
    <w:rsid w:val="06341C63"/>
    <w:rsid w:val="068E5516"/>
    <w:rsid w:val="06A905A2"/>
    <w:rsid w:val="071C536B"/>
    <w:rsid w:val="073F0F06"/>
    <w:rsid w:val="07490707"/>
    <w:rsid w:val="076D5A73"/>
    <w:rsid w:val="0777244E"/>
    <w:rsid w:val="07E31891"/>
    <w:rsid w:val="082E31FF"/>
    <w:rsid w:val="08514A4D"/>
    <w:rsid w:val="088705E1"/>
    <w:rsid w:val="08F030A8"/>
    <w:rsid w:val="09767801"/>
    <w:rsid w:val="09931095"/>
    <w:rsid w:val="09BD7309"/>
    <w:rsid w:val="09F73A01"/>
    <w:rsid w:val="0A4707FD"/>
    <w:rsid w:val="0A9D106A"/>
    <w:rsid w:val="0B4B1C27"/>
    <w:rsid w:val="0BEB340A"/>
    <w:rsid w:val="0BEF4CA9"/>
    <w:rsid w:val="0C1E3C7C"/>
    <w:rsid w:val="0C2A5CE1"/>
    <w:rsid w:val="0C2C7CAB"/>
    <w:rsid w:val="0C654F6B"/>
    <w:rsid w:val="0C68597E"/>
    <w:rsid w:val="0CCD48BE"/>
    <w:rsid w:val="0D5F5E5E"/>
    <w:rsid w:val="0D603871"/>
    <w:rsid w:val="0D6C40D7"/>
    <w:rsid w:val="0E2C21E4"/>
    <w:rsid w:val="0EE859DF"/>
    <w:rsid w:val="0F096081"/>
    <w:rsid w:val="0F1C2311"/>
    <w:rsid w:val="0F256C33"/>
    <w:rsid w:val="0F342781"/>
    <w:rsid w:val="0F4C2412"/>
    <w:rsid w:val="0FA77015"/>
    <w:rsid w:val="0FAE09D7"/>
    <w:rsid w:val="0FE8213B"/>
    <w:rsid w:val="0FF860F6"/>
    <w:rsid w:val="100D1BA1"/>
    <w:rsid w:val="10260EB5"/>
    <w:rsid w:val="10344A2F"/>
    <w:rsid w:val="10FE2936"/>
    <w:rsid w:val="11AB1672"/>
    <w:rsid w:val="11B83D8F"/>
    <w:rsid w:val="12172001"/>
    <w:rsid w:val="122B40DE"/>
    <w:rsid w:val="124666C8"/>
    <w:rsid w:val="12825B19"/>
    <w:rsid w:val="12A62C58"/>
    <w:rsid w:val="12AB7149"/>
    <w:rsid w:val="13001549"/>
    <w:rsid w:val="1300779B"/>
    <w:rsid w:val="13113756"/>
    <w:rsid w:val="13280AA0"/>
    <w:rsid w:val="13385187"/>
    <w:rsid w:val="138E2FF9"/>
    <w:rsid w:val="13A730B3"/>
    <w:rsid w:val="13E56991"/>
    <w:rsid w:val="13E7269C"/>
    <w:rsid w:val="13E946D3"/>
    <w:rsid w:val="13F6294C"/>
    <w:rsid w:val="13FD101A"/>
    <w:rsid w:val="14491426"/>
    <w:rsid w:val="147E4E1C"/>
    <w:rsid w:val="14863CD0"/>
    <w:rsid w:val="14B93139"/>
    <w:rsid w:val="14C60571"/>
    <w:rsid w:val="14D017C6"/>
    <w:rsid w:val="15015A4D"/>
    <w:rsid w:val="155E4FBF"/>
    <w:rsid w:val="157E222F"/>
    <w:rsid w:val="15D920DD"/>
    <w:rsid w:val="16086A06"/>
    <w:rsid w:val="16290DB7"/>
    <w:rsid w:val="163C4A71"/>
    <w:rsid w:val="16A13043"/>
    <w:rsid w:val="16F01DBA"/>
    <w:rsid w:val="16F413C5"/>
    <w:rsid w:val="17017217"/>
    <w:rsid w:val="1706559C"/>
    <w:rsid w:val="1714485B"/>
    <w:rsid w:val="17510115"/>
    <w:rsid w:val="1752258F"/>
    <w:rsid w:val="17555BDC"/>
    <w:rsid w:val="1767603B"/>
    <w:rsid w:val="17873B7F"/>
    <w:rsid w:val="17A70B2D"/>
    <w:rsid w:val="17B46DA6"/>
    <w:rsid w:val="188B7B07"/>
    <w:rsid w:val="189D783A"/>
    <w:rsid w:val="19415BB3"/>
    <w:rsid w:val="195B1BCF"/>
    <w:rsid w:val="19895A0E"/>
    <w:rsid w:val="19F24478"/>
    <w:rsid w:val="1A74443C"/>
    <w:rsid w:val="1A9D6217"/>
    <w:rsid w:val="1AFE2011"/>
    <w:rsid w:val="1B304996"/>
    <w:rsid w:val="1BCA6B98"/>
    <w:rsid w:val="1C185B56"/>
    <w:rsid w:val="1C662D65"/>
    <w:rsid w:val="1CBA0CFD"/>
    <w:rsid w:val="1CBF3692"/>
    <w:rsid w:val="1CE91765"/>
    <w:rsid w:val="1CEB14BC"/>
    <w:rsid w:val="1D073DB7"/>
    <w:rsid w:val="1D414D8B"/>
    <w:rsid w:val="1D4604A0"/>
    <w:rsid w:val="1D4806BC"/>
    <w:rsid w:val="1D5C1A72"/>
    <w:rsid w:val="1D97314A"/>
    <w:rsid w:val="1D9E4570"/>
    <w:rsid w:val="1DC91F08"/>
    <w:rsid w:val="1E002D45"/>
    <w:rsid w:val="1E02178A"/>
    <w:rsid w:val="1E0349E4"/>
    <w:rsid w:val="1E4F7829"/>
    <w:rsid w:val="1E890F8D"/>
    <w:rsid w:val="1EB44536"/>
    <w:rsid w:val="1EC56ACD"/>
    <w:rsid w:val="1EDFC21B"/>
    <w:rsid w:val="1EE7180F"/>
    <w:rsid w:val="1EFB6E81"/>
    <w:rsid w:val="1F325180"/>
    <w:rsid w:val="1F4743B1"/>
    <w:rsid w:val="1F5350F7"/>
    <w:rsid w:val="1F877955"/>
    <w:rsid w:val="1FC102B2"/>
    <w:rsid w:val="1FF468DA"/>
    <w:rsid w:val="1FF71F26"/>
    <w:rsid w:val="207356D7"/>
    <w:rsid w:val="207A7848"/>
    <w:rsid w:val="208A4B48"/>
    <w:rsid w:val="208E288A"/>
    <w:rsid w:val="209F6845"/>
    <w:rsid w:val="20B107AA"/>
    <w:rsid w:val="20BE4F05"/>
    <w:rsid w:val="20C91B14"/>
    <w:rsid w:val="20D64231"/>
    <w:rsid w:val="20E03FCA"/>
    <w:rsid w:val="20F621DE"/>
    <w:rsid w:val="20F90A4D"/>
    <w:rsid w:val="217A2E0F"/>
    <w:rsid w:val="21AF7885"/>
    <w:rsid w:val="21B225A8"/>
    <w:rsid w:val="21CB71C6"/>
    <w:rsid w:val="21E6121E"/>
    <w:rsid w:val="221C2118"/>
    <w:rsid w:val="222B6522"/>
    <w:rsid w:val="22364F87"/>
    <w:rsid w:val="22456F79"/>
    <w:rsid w:val="22857CBD"/>
    <w:rsid w:val="22A00659"/>
    <w:rsid w:val="2335534E"/>
    <w:rsid w:val="235528F3"/>
    <w:rsid w:val="23A81EB5"/>
    <w:rsid w:val="23CF475F"/>
    <w:rsid w:val="23EF1892"/>
    <w:rsid w:val="245636BF"/>
    <w:rsid w:val="24961D0D"/>
    <w:rsid w:val="24A5483D"/>
    <w:rsid w:val="25087382"/>
    <w:rsid w:val="250C6474"/>
    <w:rsid w:val="252136E2"/>
    <w:rsid w:val="252372E9"/>
    <w:rsid w:val="252F5CBE"/>
    <w:rsid w:val="255F47F5"/>
    <w:rsid w:val="25645A32"/>
    <w:rsid w:val="266320C3"/>
    <w:rsid w:val="266A0264"/>
    <w:rsid w:val="26720558"/>
    <w:rsid w:val="268A2C2C"/>
    <w:rsid w:val="26C07516"/>
    <w:rsid w:val="271D64A4"/>
    <w:rsid w:val="273566E0"/>
    <w:rsid w:val="27703DC3"/>
    <w:rsid w:val="27B32BD6"/>
    <w:rsid w:val="27FA25B3"/>
    <w:rsid w:val="28EB63A0"/>
    <w:rsid w:val="28EC3676"/>
    <w:rsid w:val="2902261B"/>
    <w:rsid w:val="29121B7F"/>
    <w:rsid w:val="29295A6E"/>
    <w:rsid w:val="29567CBD"/>
    <w:rsid w:val="295D729E"/>
    <w:rsid w:val="2967011C"/>
    <w:rsid w:val="2996630C"/>
    <w:rsid w:val="2A24600D"/>
    <w:rsid w:val="2A900FAD"/>
    <w:rsid w:val="2B393102"/>
    <w:rsid w:val="2B395AE8"/>
    <w:rsid w:val="2B6F32B8"/>
    <w:rsid w:val="2B944ACD"/>
    <w:rsid w:val="2BD15D21"/>
    <w:rsid w:val="2C412EA7"/>
    <w:rsid w:val="2C5254A5"/>
    <w:rsid w:val="2C761C34"/>
    <w:rsid w:val="2C9C632F"/>
    <w:rsid w:val="2CB573F1"/>
    <w:rsid w:val="2D1D3C71"/>
    <w:rsid w:val="2D371BB4"/>
    <w:rsid w:val="2D621C05"/>
    <w:rsid w:val="2D7D5B52"/>
    <w:rsid w:val="2D946C24"/>
    <w:rsid w:val="2DA03BFD"/>
    <w:rsid w:val="2DBB0A37"/>
    <w:rsid w:val="2DBE22D5"/>
    <w:rsid w:val="2E2D6C30"/>
    <w:rsid w:val="2E434E08"/>
    <w:rsid w:val="2E5A3DAC"/>
    <w:rsid w:val="2E921798"/>
    <w:rsid w:val="2EF56638"/>
    <w:rsid w:val="2F7C7165"/>
    <w:rsid w:val="2F854862"/>
    <w:rsid w:val="2F862100"/>
    <w:rsid w:val="2FA8323D"/>
    <w:rsid w:val="2FBC45F2"/>
    <w:rsid w:val="302D7D87"/>
    <w:rsid w:val="307153DD"/>
    <w:rsid w:val="30871C3F"/>
    <w:rsid w:val="308E4E9E"/>
    <w:rsid w:val="30C65728"/>
    <w:rsid w:val="311A5A74"/>
    <w:rsid w:val="31692558"/>
    <w:rsid w:val="31C61758"/>
    <w:rsid w:val="31CA749A"/>
    <w:rsid w:val="31E16592"/>
    <w:rsid w:val="31ED4F37"/>
    <w:rsid w:val="31FE7144"/>
    <w:rsid w:val="330D2415"/>
    <w:rsid w:val="331704BD"/>
    <w:rsid w:val="33376092"/>
    <w:rsid w:val="33386686"/>
    <w:rsid w:val="334F68F9"/>
    <w:rsid w:val="33705E1F"/>
    <w:rsid w:val="33D60378"/>
    <w:rsid w:val="3445105A"/>
    <w:rsid w:val="344C4197"/>
    <w:rsid w:val="345614B9"/>
    <w:rsid w:val="346C65E7"/>
    <w:rsid w:val="34733E19"/>
    <w:rsid w:val="349F0D57"/>
    <w:rsid w:val="34A30F22"/>
    <w:rsid w:val="34C05684"/>
    <w:rsid w:val="34F8431E"/>
    <w:rsid w:val="34F87862"/>
    <w:rsid w:val="35131158"/>
    <w:rsid w:val="357A11D7"/>
    <w:rsid w:val="35AE5EF3"/>
    <w:rsid w:val="35B62865"/>
    <w:rsid w:val="36213401"/>
    <w:rsid w:val="364D41F6"/>
    <w:rsid w:val="36BC2C7D"/>
    <w:rsid w:val="36C546D4"/>
    <w:rsid w:val="37054AD1"/>
    <w:rsid w:val="37060F75"/>
    <w:rsid w:val="370E7FAF"/>
    <w:rsid w:val="372633C5"/>
    <w:rsid w:val="374455F9"/>
    <w:rsid w:val="37695060"/>
    <w:rsid w:val="37AB2093"/>
    <w:rsid w:val="37FF6C2C"/>
    <w:rsid w:val="3810372D"/>
    <w:rsid w:val="382F0057"/>
    <w:rsid w:val="38B24769"/>
    <w:rsid w:val="38F17A02"/>
    <w:rsid w:val="3932390E"/>
    <w:rsid w:val="399D5494"/>
    <w:rsid w:val="39B20F40"/>
    <w:rsid w:val="39BD32BB"/>
    <w:rsid w:val="39CE35B2"/>
    <w:rsid w:val="39E473B2"/>
    <w:rsid w:val="3A2D4078"/>
    <w:rsid w:val="3A395BB9"/>
    <w:rsid w:val="3A5913BB"/>
    <w:rsid w:val="3AAC1E33"/>
    <w:rsid w:val="3AB111F7"/>
    <w:rsid w:val="3B0E71CE"/>
    <w:rsid w:val="3B6E30B9"/>
    <w:rsid w:val="3BC211E2"/>
    <w:rsid w:val="3BC57EFE"/>
    <w:rsid w:val="3BD62901"/>
    <w:rsid w:val="3BE13D5E"/>
    <w:rsid w:val="3C1421C6"/>
    <w:rsid w:val="3C236125"/>
    <w:rsid w:val="3C326368"/>
    <w:rsid w:val="3C4D6CFE"/>
    <w:rsid w:val="3C6B53FF"/>
    <w:rsid w:val="3C8E4303"/>
    <w:rsid w:val="3C94492D"/>
    <w:rsid w:val="3CBF5058"/>
    <w:rsid w:val="3CFC0C01"/>
    <w:rsid w:val="3D37175C"/>
    <w:rsid w:val="3E0A2CD6"/>
    <w:rsid w:val="3E1302DE"/>
    <w:rsid w:val="3E7120FF"/>
    <w:rsid w:val="3E80645C"/>
    <w:rsid w:val="3E973002"/>
    <w:rsid w:val="3EAB2402"/>
    <w:rsid w:val="3EB017C6"/>
    <w:rsid w:val="3F156297"/>
    <w:rsid w:val="3F4D5B19"/>
    <w:rsid w:val="3F852C53"/>
    <w:rsid w:val="3F8C5D8F"/>
    <w:rsid w:val="401F6C03"/>
    <w:rsid w:val="40AD420F"/>
    <w:rsid w:val="40F1749A"/>
    <w:rsid w:val="41127513"/>
    <w:rsid w:val="413C37E5"/>
    <w:rsid w:val="418D5DEE"/>
    <w:rsid w:val="41F8770C"/>
    <w:rsid w:val="420B5DF7"/>
    <w:rsid w:val="423C1CEE"/>
    <w:rsid w:val="42823479"/>
    <w:rsid w:val="42F528F0"/>
    <w:rsid w:val="42F97BDF"/>
    <w:rsid w:val="4311484D"/>
    <w:rsid w:val="43942C39"/>
    <w:rsid w:val="43A7763B"/>
    <w:rsid w:val="43FA431A"/>
    <w:rsid w:val="44110F59"/>
    <w:rsid w:val="444E7AB7"/>
    <w:rsid w:val="448415FC"/>
    <w:rsid w:val="44980645"/>
    <w:rsid w:val="44A973E3"/>
    <w:rsid w:val="44C4421D"/>
    <w:rsid w:val="452847AC"/>
    <w:rsid w:val="45743A7E"/>
    <w:rsid w:val="45835E86"/>
    <w:rsid w:val="45921C25"/>
    <w:rsid w:val="45943BEF"/>
    <w:rsid w:val="459B4F7E"/>
    <w:rsid w:val="45A85219"/>
    <w:rsid w:val="45AA51C1"/>
    <w:rsid w:val="45C2075D"/>
    <w:rsid w:val="45C67123"/>
    <w:rsid w:val="45DE32CC"/>
    <w:rsid w:val="45E306D3"/>
    <w:rsid w:val="45EA380F"/>
    <w:rsid w:val="45FF57F2"/>
    <w:rsid w:val="462E7BA0"/>
    <w:rsid w:val="464D7AD2"/>
    <w:rsid w:val="4694586B"/>
    <w:rsid w:val="46AB7443"/>
    <w:rsid w:val="46AE2A8F"/>
    <w:rsid w:val="46C422B2"/>
    <w:rsid w:val="474F4272"/>
    <w:rsid w:val="47746782"/>
    <w:rsid w:val="47AD2D46"/>
    <w:rsid w:val="47BF2A01"/>
    <w:rsid w:val="481A5414"/>
    <w:rsid w:val="482A5495"/>
    <w:rsid w:val="489E2F22"/>
    <w:rsid w:val="48D367DD"/>
    <w:rsid w:val="48FD2A6B"/>
    <w:rsid w:val="49380D36"/>
    <w:rsid w:val="493A5F72"/>
    <w:rsid w:val="495C67D2"/>
    <w:rsid w:val="4A462A9A"/>
    <w:rsid w:val="4A8F5C2D"/>
    <w:rsid w:val="4AB132DC"/>
    <w:rsid w:val="4AE01685"/>
    <w:rsid w:val="4AF55130"/>
    <w:rsid w:val="4B323DF0"/>
    <w:rsid w:val="4C4646E8"/>
    <w:rsid w:val="4C473D74"/>
    <w:rsid w:val="4C5440D8"/>
    <w:rsid w:val="4C7107E7"/>
    <w:rsid w:val="4C854292"/>
    <w:rsid w:val="4CB701C3"/>
    <w:rsid w:val="4CC60E28"/>
    <w:rsid w:val="4CDD4C2C"/>
    <w:rsid w:val="4D16138E"/>
    <w:rsid w:val="4D267823"/>
    <w:rsid w:val="4D3F08E5"/>
    <w:rsid w:val="4D6B3488"/>
    <w:rsid w:val="4D72570D"/>
    <w:rsid w:val="4DB211AD"/>
    <w:rsid w:val="4DF0EAE4"/>
    <w:rsid w:val="4DF3347D"/>
    <w:rsid w:val="4DF87C25"/>
    <w:rsid w:val="4E50267E"/>
    <w:rsid w:val="4E573A0C"/>
    <w:rsid w:val="4E5A52AA"/>
    <w:rsid w:val="4E610056"/>
    <w:rsid w:val="4E8567CB"/>
    <w:rsid w:val="4EA07BA7"/>
    <w:rsid w:val="4EDE412D"/>
    <w:rsid w:val="4EF474AD"/>
    <w:rsid w:val="4EF63225"/>
    <w:rsid w:val="4EF77B4F"/>
    <w:rsid w:val="4F1418FD"/>
    <w:rsid w:val="4F2A2ECF"/>
    <w:rsid w:val="4F764366"/>
    <w:rsid w:val="4F7E4DB9"/>
    <w:rsid w:val="4F9405D8"/>
    <w:rsid w:val="4FBA6948"/>
    <w:rsid w:val="4FEE72E9"/>
    <w:rsid w:val="502D711A"/>
    <w:rsid w:val="505428F9"/>
    <w:rsid w:val="508F3EE3"/>
    <w:rsid w:val="50D9596A"/>
    <w:rsid w:val="520420FD"/>
    <w:rsid w:val="52675F4B"/>
    <w:rsid w:val="527A0EDB"/>
    <w:rsid w:val="52990A97"/>
    <w:rsid w:val="53837051"/>
    <w:rsid w:val="53E73A84"/>
    <w:rsid w:val="53E73FF6"/>
    <w:rsid w:val="53F046E7"/>
    <w:rsid w:val="53F72BDF"/>
    <w:rsid w:val="54091C4C"/>
    <w:rsid w:val="54417AF7"/>
    <w:rsid w:val="54436F0C"/>
    <w:rsid w:val="54462559"/>
    <w:rsid w:val="54574766"/>
    <w:rsid w:val="54584518"/>
    <w:rsid w:val="54AD64CE"/>
    <w:rsid w:val="54D97871"/>
    <w:rsid w:val="553C3160"/>
    <w:rsid w:val="5572737D"/>
    <w:rsid w:val="55ED402C"/>
    <w:rsid w:val="56051FA0"/>
    <w:rsid w:val="56197C92"/>
    <w:rsid w:val="5641747C"/>
    <w:rsid w:val="56765F37"/>
    <w:rsid w:val="56951575"/>
    <w:rsid w:val="56B51C18"/>
    <w:rsid w:val="56ED315F"/>
    <w:rsid w:val="56ED558D"/>
    <w:rsid w:val="56FB3ACE"/>
    <w:rsid w:val="57364B06"/>
    <w:rsid w:val="57636D42"/>
    <w:rsid w:val="57A52ED3"/>
    <w:rsid w:val="57B162CD"/>
    <w:rsid w:val="57FB52F4"/>
    <w:rsid w:val="58102F39"/>
    <w:rsid w:val="586B41A9"/>
    <w:rsid w:val="58A9755A"/>
    <w:rsid w:val="58B008E9"/>
    <w:rsid w:val="58BE1257"/>
    <w:rsid w:val="59103135"/>
    <w:rsid w:val="59126EAD"/>
    <w:rsid w:val="59232E69"/>
    <w:rsid w:val="59590F80"/>
    <w:rsid w:val="599D5C82"/>
    <w:rsid w:val="59CC1752"/>
    <w:rsid w:val="5A4237C2"/>
    <w:rsid w:val="5A47527D"/>
    <w:rsid w:val="5A70032F"/>
    <w:rsid w:val="5ACC6324"/>
    <w:rsid w:val="5AF251E8"/>
    <w:rsid w:val="5B0F5D9A"/>
    <w:rsid w:val="5B3E042E"/>
    <w:rsid w:val="5B5B0FE0"/>
    <w:rsid w:val="5B5F4DF6"/>
    <w:rsid w:val="5B913E3F"/>
    <w:rsid w:val="5BBC447C"/>
    <w:rsid w:val="5BBC6D3C"/>
    <w:rsid w:val="5BC56459"/>
    <w:rsid w:val="5C3C477A"/>
    <w:rsid w:val="5C9D2F32"/>
    <w:rsid w:val="5C9D73D6"/>
    <w:rsid w:val="5CAC7619"/>
    <w:rsid w:val="5D041EC4"/>
    <w:rsid w:val="5D7C523D"/>
    <w:rsid w:val="5D8451DF"/>
    <w:rsid w:val="5D8772F7"/>
    <w:rsid w:val="5DA116F6"/>
    <w:rsid w:val="5DB9023F"/>
    <w:rsid w:val="5E1831B8"/>
    <w:rsid w:val="5E3F25D8"/>
    <w:rsid w:val="5E4959C9"/>
    <w:rsid w:val="5E8171A1"/>
    <w:rsid w:val="5E965440"/>
    <w:rsid w:val="5E9B6682"/>
    <w:rsid w:val="5ED82947"/>
    <w:rsid w:val="5F24793A"/>
    <w:rsid w:val="5F6E3C7C"/>
    <w:rsid w:val="5F7563E8"/>
    <w:rsid w:val="5FB21779"/>
    <w:rsid w:val="5FB835D1"/>
    <w:rsid w:val="5FC26607"/>
    <w:rsid w:val="6014175D"/>
    <w:rsid w:val="602E1D2E"/>
    <w:rsid w:val="604A517F"/>
    <w:rsid w:val="606A3A73"/>
    <w:rsid w:val="606E7CD5"/>
    <w:rsid w:val="60A26D69"/>
    <w:rsid w:val="60B701F1"/>
    <w:rsid w:val="60CA4511"/>
    <w:rsid w:val="60F670B5"/>
    <w:rsid w:val="611C590E"/>
    <w:rsid w:val="612C5144"/>
    <w:rsid w:val="615D0EE2"/>
    <w:rsid w:val="61CD42B9"/>
    <w:rsid w:val="62015D11"/>
    <w:rsid w:val="62040243"/>
    <w:rsid w:val="622F287E"/>
    <w:rsid w:val="628F77C1"/>
    <w:rsid w:val="62A212A2"/>
    <w:rsid w:val="62B92A90"/>
    <w:rsid w:val="62F92E8C"/>
    <w:rsid w:val="62FB09B2"/>
    <w:rsid w:val="636020F8"/>
    <w:rsid w:val="63655EDA"/>
    <w:rsid w:val="636F67E9"/>
    <w:rsid w:val="63780255"/>
    <w:rsid w:val="637B22CE"/>
    <w:rsid w:val="6381535B"/>
    <w:rsid w:val="63CA359B"/>
    <w:rsid w:val="63E655E8"/>
    <w:rsid w:val="64095351"/>
    <w:rsid w:val="64550596"/>
    <w:rsid w:val="6488096B"/>
    <w:rsid w:val="64A532CB"/>
    <w:rsid w:val="64F25DE5"/>
    <w:rsid w:val="64FB2CC2"/>
    <w:rsid w:val="65222343"/>
    <w:rsid w:val="653D52B2"/>
    <w:rsid w:val="654B3E73"/>
    <w:rsid w:val="65811B40"/>
    <w:rsid w:val="658D21DE"/>
    <w:rsid w:val="659A2704"/>
    <w:rsid w:val="65FA13F5"/>
    <w:rsid w:val="661B486E"/>
    <w:rsid w:val="66212257"/>
    <w:rsid w:val="663C37BC"/>
    <w:rsid w:val="66591D64"/>
    <w:rsid w:val="66624CC8"/>
    <w:rsid w:val="66692B11"/>
    <w:rsid w:val="66703465"/>
    <w:rsid w:val="66A7176F"/>
    <w:rsid w:val="66C64EC5"/>
    <w:rsid w:val="66E4190D"/>
    <w:rsid w:val="670F6580"/>
    <w:rsid w:val="672C1A82"/>
    <w:rsid w:val="67397CFB"/>
    <w:rsid w:val="678D2B87"/>
    <w:rsid w:val="67A1616C"/>
    <w:rsid w:val="67D53EC8"/>
    <w:rsid w:val="67D87514"/>
    <w:rsid w:val="67DF08A2"/>
    <w:rsid w:val="67F02AB0"/>
    <w:rsid w:val="67F21A05"/>
    <w:rsid w:val="68237BCA"/>
    <w:rsid w:val="68464DC5"/>
    <w:rsid w:val="68A45648"/>
    <w:rsid w:val="68D45F2D"/>
    <w:rsid w:val="68F410D0"/>
    <w:rsid w:val="68FB170C"/>
    <w:rsid w:val="68FD3A45"/>
    <w:rsid w:val="690031C6"/>
    <w:rsid w:val="69236EB5"/>
    <w:rsid w:val="69362744"/>
    <w:rsid w:val="69407A67"/>
    <w:rsid w:val="69492A51"/>
    <w:rsid w:val="69867649"/>
    <w:rsid w:val="69BF6BDD"/>
    <w:rsid w:val="69CB5582"/>
    <w:rsid w:val="69D12417"/>
    <w:rsid w:val="6A10568B"/>
    <w:rsid w:val="6AC32B30"/>
    <w:rsid w:val="6AF1726A"/>
    <w:rsid w:val="6B244066"/>
    <w:rsid w:val="6B3E1D84"/>
    <w:rsid w:val="6BB838E4"/>
    <w:rsid w:val="6BC41409"/>
    <w:rsid w:val="6C6E6699"/>
    <w:rsid w:val="6CB5251A"/>
    <w:rsid w:val="6CD52274"/>
    <w:rsid w:val="6CEB1A97"/>
    <w:rsid w:val="6D036DE1"/>
    <w:rsid w:val="6D260D22"/>
    <w:rsid w:val="6DD4077E"/>
    <w:rsid w:val="6DDB5FB0"/>
    <w:rsid w:val="6E1A0886"/>
    <w:rsid w:val="6E3A2CD6"/>
    <w:rsid w:val="6E8548FA"/>
    <w:rsid w:val="6E9E39D6"/>
    <w:rsid w:val="6EF47329"/>
    <w:rsid w:val="6F15211F"/>
    <w:rsid w:val="6F5B1156"/>
    <w:rsid w:val="6F74881E"/>
    <w:rsid w:val="6FBD009A"/>
    <w:rsid w:val="701F03D6"/>
    <w:rsid w:val="7060454A"/>
    <w:rsid w:val="70817FDC"/>
    <w:rsid w:val="70903082"/>
    <w:rsid w:val="70967F6C"/>
    <w:rsid w:val="70AD6ED1"/>
    <w:rsid w:val="70B2124A"/>
    <w:rsid w:val="70B34FC2"/>
    <w:rsid w:val="70B95F05"/>
    <w:rsid w:val="70B969B4"/>
    <w:rsid w:val="70C932BA"/>
    <w:rsid w:val="70E5575F"/>
    <w:rsid w:val="71155335"/>
    <w:rsid w:val="71305D91"/>
    <w:rsid w:val="71535E5D"/>
    <w:rsid w:val="718928E9"/>
    <w:rsid w:val="71980CFA"/>
    <w:rsid w:val="7231799F"/>
    <w:rsid w:val="72504F95"/>
    <w:rsid w:val="725C293B"/>
    <w:rsid w:val="7312139A"/>
    <w:rsid w:val="73234838"/>
    <w:rsid w:val="734C0DB6"/>
    <w:rsid w:val="7363395E"/>
    <w:rsid w:val="738E13CF"/>
    <w:rsid w:val="739F6935"/>
    <w:rsid w:val="742F2BB2"/>
    <w:rsid w:val="74363F40"/>
    <w:rsid w:val="743E2DF5"/>
    <w:rsid w:val="74DB6895"/>
    <w:rsid w:val="74DF1EE2"/>
    <w:rsid w:val="74FD05BA"/>
    <w:rsid w:val="750E27C7"/>
    <w:rsid w:val="75292FF9"/>
    <w:rsid w:val="75475CD9"/>
    <w:rsid w:val="756B19C7"/>
    <w:rsid w:val="756D573F"/>
    <w:rsid w:val="757A1C03"/>
    <w:rsid w:val="75A31161"/>
    <w:rsid w:val="75ED4AD2"/>
    <w:rsid w:val="760211F2"/>
    <w:rsid w:val="76037E52"/>
    <w:rsid w:val="7631241E"/>
    <w:rsid w:val="76312C11"/>
    <w:rsid w:val="763149BF"/>
    <w:rsid w:val="763F6D25"/>
    <w:rsid w:val="766D79C1"/>
    <w:rsid w:val="76A35191"/>
    <w:rsid w:val="76A41635"/>
    <w:rsid w:val="76D67314"/>
    <w:rsid w:val="772B3B04"/>
    <w:rsid w:val="77387F1B"/>
    <w:rsid w:val="77514BED"/>
    <w:rsid w:val="77905715"/>
    <w:rsid w:val="77CE623E"/>
    <w:rsid w:val="77DA1086"/>
    <w:rsid w:val="783562BD"/>
    <w:rsid w:val="784939F7"/>
    <w:rsid w:val="78AF606F"/>
    <w:rsid w:val="78B35C18"/>
    <w:rsid w:val="78B541A0"/>
    <w:rsid w:val="78F9553C"/>
    <w:rsid w:val="79444A09"/>
    <w:rsid w:val="79531210"/>
    <w:rsid w:val="79A67472"/>
    <w:rsid w:val="79C67B14"/>
    <w:rsid w:val="79F20909"/>
    <w:rsid w:val="7A295A6E"/>
    <w:rsid w:val="7A4A24F3"/>
    <w:rsid w:val="7A6C2B0B"/>
    <w:rsid w:val="7A6D77BE"/>
    <w:rsid w:val="7A8F43AA"/>
    <w:rsid w:val="7AB57A3E"/>
    <w:rsid w:val="7AE665D2"/>
    <w:rsid w:val="7B3047B5"/>
    <w:rsid w:val="7B4C229B"/>
    <w:rsid w:val="7C014E34"/>
    <w:rsid w:val="7C273A6C"/>
    <w:rsid w:val="7C322B50"/>
    <w:rsid w:val="7CC3033B"/>
    <w:rsid w:val="7CF6426C"/>
    <w:rsid w:val="7D290CA7"/>
    <w:rsid w:val="7D403AF7"/>
    <w:rsid w:val="7D6F401F"/>
    <w:rsid w:val="7D722603"/>
    <w:rsid w:val="7DA755D6"/>
    <w:rsid w:val="7DC03599"/>
    <w:rsid w:val="7DCE6E56"/>
    <w:rsid w:val="7DDD0B1A"/>
    <w:rsid w:val="7E030AED"/>
    <w:rsid w:val="7E355268"/>
    <w:rsid w:val="7E39544D"/>
    <w:rsid w:val="7E5C45A3"/>
    <w:rsid w:val="7E6B0C8A"/>
    <w:rsid w:val="7E9F3091"/>
    <w:rsid w:val="7EB77A2B"/>
    <w:rsid w:val="7F0A587D"/>
    <w:rsid w:val="7F5F024F"/>
    <w:rsid w:val="7F9922F7"/>
    <w:rsid w:val="7FB34697"/>
    <w:rsid w:val="7FC05006"/>
    <w:rsid w:val="7FC40652"/>
    <w:rsid w:val="7FDC1EDA"/>
    <w:rsid w:val="7FE789ED"/>
    <w:rsid w:val="7FEF0464"/>
    <w:rsid w:val="7FF22B3C"/>
    <w:rsid w:val="9C3B2DDE"/>
    <w:rsid w:val="9F91B3F9"/>
    <w:rsid w:val="BFDF3EB1"/>
    <w:rsid w:val="BFDFB3FC"/>
    <w:rsid w:val="BFEF58B8"/>
    <w:rsid w:val="D6DE0F29"/>
    <w:rsid w:val="E81362F8"/>
    <w:rsid w:val="EEBF7C0F"/>
    <w:rsid w:val="F977A930"/>
    <w:rsid w:val="FE76207E"/>
    <w:rsid w:val="FEF560DA"/>
    <w:rsid w:val="FF770519"/>
    <w:rsid w:val="FFD9355A"/>
    <w:rsid w:val="FFF43431"/>
    <w:rsid w:val="FFFE79A2"/>
    <w:rsid w:val="FFFFFE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left"/>
    </w:pPr>
    <w:rPr>
      <w:rFonts w:asciiTheme="minorHAnsi" w:hAnsiTheme="minorHAnsi" w:eastAsiaTheme="minorEastAsia" w:cstheme="minorBidi"/>
      <w:kern w:val="0"/>
      <w:sz w:val="24"/>
      <w:szCs w:val="24"/>
      <w:lang w:val="en-US" w:eastAsia="zh-CN" w:bidi="ar"/>
    </w:rPr>
  </w:style>
  <w:style w:type="paragraph" w:styleId="5">
    <w:name w:val="heading 1"/>
    <w:basedOn w:val="1"/>
    <w:next w:val="1"/>
    <w:qFormat/>
    <w:uiPriority w:val="0"/>
    <w:pPr>
      <w:keepNext/>
      <w:keepLines/>
      <w:adjustRightInd w:val="0"/>
      <w:spacing w:before="240" w:line="480" w:lineRule="atLeast"/>
      <w:jc w:val="left"/>
      <w:textAlignment w:val="baseline"/>
      <w:outlineLvl w:val="0"/>
    </w:pPr>
    <w:rPr>
      <w:rFonts w:eastAsia="黑体"/>
      <w:kern w:val="44"/>
      <w:sz w:val="28"/>
    </w:rPr>
  </w:style>
  <w:style w:type="paragraph" w:styleId="6">
    <w:name w:val="heading 3"/>
    <w:basedOn w:val="1"/>
    <w:next w:val="1"/>
    <w:semiHidden/>
    <w:unhideWhenUsed/>
    <w:qFormat/>
    <w:uiPriority w:val="0"/>
    <w:pPr>
      <w:spacing w:beforeAutospacing="1" w:afterAutospacing="1"/>
      <w:outlineLvl w:val="2"/>
    </w:pPr>
    <w:rPr>
      <w:rFonts w:hint="eastAsia" w:cs="Times New Roman"/>
      <w:b/>
      <w:bCs/>
      <w:sz w:val="27"/>
      <w:szCs w:val="27"/>
      <w:lang w:val="en-US" w:bidi="ar-SA"/>
    </w:rPr>
  </w:style>
  <w:style w:type="paragraph" w:styleId="7">
    <w:name w:val="heading 4"/>
    <w:basedOn w:val="1"/>
    <w:next w:val="1"/>
    <w:qFormat/>
    <w:uiPriority w:val="0"/>
    <w:pPr>
      <w:numPr>
        <w:ilvl w:val="3"/>
        <w:numId w:val="1"/>
      </w:numPr>
      <w:autoSpaceDE w:val="0"/>
      <w:autoSpaceDN w:val="0"/>
      <w:adjustRightInd w:val="0"/>
      <w:spacing w:before="120" w:after="120"/>
      <w:textAlignment w:val="baseline"/>
      <w:outlineLvl w:val="3"/>
    </w:pPr>
    <w:rPr>
      <w:rFonts w:ascii="宋体" w:hAnsi="Arial" w:eastAsia="楷体_GB2312"/>
      <w:b/>
      <w:kern w:val="24"/>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customStyle="1" w:styleId="2">
    <w:name w:val="样式 样式 样式 四号 左侧:  1.53 厘米 + 首行缩进:  2 字符 + 居中 左侧:  2 字符 首行缩进:  2..."/>
    <w:basedOn w:val="3"/>
    <w:qFormat/>
    <w:uiPriority w:val="0"/>
    <w:pPr>
      <w:jc w:val="center"/>
    </w:pPr>
  </w:style>
  <w:style w:type="paragraph" w:customStyle="1" w:styleId="3">
    <w:name w:val="样式 样式 四号 左侧:  1.53 厘米 + 首行缩进:  2 字符"/>
    <w:basedOn w:val="4"/>
    <w:qFormat/>
    <w:uiPriority w:val="0"/>
    <w:pPr>
      <w:ind w:left="200" w:leftChars="200"/>
    </w:pPr>
    <w:rPr>
      <w:szCs w:val="20"/>
    </w:rPr>
  </w:style>
  <w:style w:type="paragraph" w:customStyle="1" w:styleId="4">
    <w:name w:val="样式 四号 左侧:  1.53 厘米"/>
    <w:basedOn w:val="1"/>
    <w:qFormat/>
    <w:uiPriority w:val="0"/>
    <w:pPr>
      <w:adjustRightInd w:val="0"/>
    </w:pPr>
    <w:rPr>
      <w:w w:val="90"/>
      <w:sz w:val="28"/>
      <w:szCs w:val="28"/>
    </w:rPr>
  </w:style>
  <w:style w:type="paragraph" w:styleId="8">
    <w:name w:val="Normal Indent"/>
    <w:basedOn w:val="1"/>
    <w:next w:val="7"/>
    <w:qFormat/>
    <w:uiPriority w:val="0"/>
    <w:pPr>
      <w:adjustRightInd w:val="0"/>
      <w:spacing w:line="360" w:lineRule="atLeast"/>
      <w:ind w:firstLine="420"/>
      <w:jc w:val="left"/>
      <w:textAlignment w:val="baseline"/>
    </w:pPr>
    <w:rPr>
      <w:kern w:val="0"/>
      <w:sz w:val="24"/>
    </w:rPr>
  </w:style>
  <w:style w:type="paragraph" w:styleId="9">
    <w:name w:val="Body Text"/>
    <w:basedOn w:val="1"/>
    <w:next w:val="1"/>
    <w:qFormat/>
    <w:uiPriority w:val="0"/>
    <w:pPr>
      <w:widowControl/>
      <w:snapToGrid w:val="0"/>
      <w:spacing w:before="60" w:after="160" w:line="259" w:lineRule="auto"/>
      <w:ind w:right="113"/>
    </w:pPr>
    <w:rPr>
      <w:kern w:val="0"/>
      <w:sz w:val="18"/>
      <w:szCs w:val="20"/>
    </w:rPr>
  </w:style>
  <w:style w:type="paragraph" w:styleId="10">
    <w:name w:val="Body Text Indent"/>
    <w:basedOn w:val="1"/>
    <w:next w:val="11"/>
    <w:qFormat/>
    <w:uiPriority w:val="0"/>
    <w:pPr>
      <w:spacing w:line="340" w:lineRule="exact"/>
      <w:ind w:firstLine="522"/>
    </w:pPr>
    <w:rPr>
      <w:color w:val="000000"/>
      <w:sz w:val="28"/>
    </w:rPr>
  </w:style>
  <w:style w:type="paragraph" w:styleId="11">
    <w:name w:val="envelope return"/>
    <w:basedOn w:val="1"/>
    <w:qFormat/>
    <w:uiPriority w:val="0"/>
    <w:pPr>
      <w:snapToGrid w:val="0"/>
    </w:pPr>
    <w:rPr>
      <w:rFonts w:ascii="Arial" w:hAnsi="Arial"/>
    </w:rPr>
  </w:style>
  <w:style w:type="paragraph" w:styleId="12">
    <w:name w:val="Block Text"/>
    <w:basedOn w:val="1"/>
    <w:next w:val="1"/>
    <w:qFormat/>
    <w:uiPriority w:val="0"/>
    <w:pPr>
      <w:ind w:left="113" w:right="113" w:firstLine="595"/>
      <w:jc w:val="left"/>
    </w:pPr>
    <w:rPr>
      <w:sz w:val="28"/>
    </w:rPr>
  </w:style>
  <w:style w:type="paragraph" w:styleId="13">
    <w:name w:val="Plain Text"/>
    <w:basedOn w:val="1"/>
    <w:qFormat/>
    <w:uiPriority w:val="0"/>
    <w:rPr>
      <w:rFonts w:ascii="宋体" w:hAnsi="Courier New" w:eastAsia="宋体" w:cs="宋体"/>
      <w:sz w:val="24"/>
    </w:rPr>
  </w:style>
  <w:style w:type="paragraph" w:styleId="14">
    <w:name w:val="Body Text Indent 2"/>
    <w:basedOn w:val="1"/>
    <w:next w:val="15"/>
    <w:qFormat/>
    <w:uiPriority w:val="0"/>
    <w:pPr>
      <w:spacing w:line="480" w:lineRule="exact"/>
      <w:ind w:firstLine="570"/>
    </w:pPr>
    <w:rPr>
      <w:sz w:val="28"/>
    </w:rPr>
  </w:style>
  <w:style w:type="paragraph" w:customStyle="1" w:styleId="15">
    <w:name w:val="reader-word-layer reader-word-s46-2"/>
    <w:basedOn w:val="1"/>
    <w:next w:val="16"/>
    <w:qFormat/>
    <w:uiPriority w:val="0"/>
    <w:pPr>
      <w:widowControl/>
      <w:spacing w:before="280" w:after="280" w:line="240" w:lineRule="auto"/>
    </w:pPr>
    <w:rPr>
      <w:rFonts w:ascii="宋体"/>
    </w:rPr>
  </w:style>
  <w:style w:type="paragraph" w:customStyle="1" w:styleId="16">
    <w:name w:val="xl35"/>
    <w:basedOn w:val="1"/>
    <w:next w:val="1"/>
    <w:qFormat/>
    <w:uiPriority w:val="0"/>
    <w:pPr>
      <w:widowControl/>
      <w:pBdr>
        <w:left w:val="single" w:color="auto" w:sz="12" w:space="0"/>
      </w:pBdr>
      <w:spacing w:before="100" w:beforeAutospacing="1" w:after="100" w:afterAutospacing="1"/>
      <w:jc w:val="center"/>
      <w:textAlignment w:val="center"/>
    </w:pPr>
    <w:rPr>
      <w:rFonts w:ascii="Arial Unicode MS" w:hAnsi="Arial Unicode MS"/>
      <w:kern w:val="0"/>
      <w:sz w:val="16"/>
      <w:szCs w:val="16"/>
    </w:rPr>
  </w:style>
  <w:style w:type="paragraph" w:styleId="17">
    <w:name w:val="Balloon Text"/>
    <w:basedOn w:val="1"/>
    <w:link w:val="31"/>
    <w:qFormat/>
    <w:uiPriority w:val="0"/>
    <w:rPr>
      <w:sz w:val="18"/>
      <w:szCs w:val="18"/>
    </w:rPr>
  </w:style>
  <w:style w:type="paragraph" w:styleId="18">
    <w:name w:val="footer"/>
    <w:basedOn w:val="1"/>
    <w:qFormat/>
    <w:uiPriority w:val="0"/>
    <w:pPr>
      <w:tabs>
        <w:tab w:val="center" w:pos="4153"/>
        <w:tab w:val="right" w:pos="8306"/>
      </w:tabs>
      <w:snapToGrid w:val="0"/>
      <w:jc w:val="left"/>
    </w:pPr>
    <w:rPr>
      <w:sz w:val="18"/>
      <w:szCs w:val="18"/>
    </w:rPr>
  </w:style>
  <w:style w:type="paragraph" w:styleId="19">
    <w:name w:val="header"/>
    <w:basedOn w:val="1"/>
    <w:next w:val="20"/>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20">
    <w:name w:val="样式5"/>
    <w:basedOn w:val="21"/>
    <w:qFormat/>
    <w:uiPriority w:val="0"/>
    <w:pPr>
      <w:keepNext/>
      <w:spacing w:line="240" w:lineRule="auto"/>
      <w:jc w:val="left"/>
      <w:outlineLvl w:val="0"/>
    </w:pPr>
    <w:rPr>
      <w:rFonts w:ascii="黑体" w:hAnsi="黑体"/>
      <w:spacing w:val="5"/>
      <w:sz w:val="25"/>
      <w:szCs w:val="25"/>
    </w:rPr>
  </w:style>
  <w:style w:type="paragraph" w:customStyle="1" w:styleId="21">
    <w:name w:val="正文1"/>
    <w:basedOn w:val="1"/>
    <w:qFormat/>
    <w:uiPriority w:val="0"/>
    <w:pPr>
      <w:adjustRightInd w:val="0"/>
      <w:snapToGrid w:val="0"/>
      <w:spacing w:line="480" w:lineRule="exact"/>
      <w:ind w:firstLine="200"/>
    </w:pPr>
    <w:rPr>
      <w:szCs w:val="20"/>
    </w:rPr>
  </w:style>
  <w:style w:type="paragraph" w:styleId="22">
    <w:name w:val="toc 2"/>
    <w:basedOn w:val="1"/>
    <w:next w:val="1"/>
    <w:qFormat/>
    <w:uiPriority w:val="0"/>
    <w:pPr>
      <w:ind w:left="420" w:leftChars="200"/>
    </w:pPr>
  </w:style>
  <w:style w:type="paragraph" w:styleId="23">
    <w:name w:val="Normal (Web)"/>
    <w:basedOn w:val="1"/>
    <w:qFormat/>
    <w:uiPriority w:val="0"/>
    <w:pPr>
      <w:widowControl/>
      <w:spacing w:before="100" w:beforeAutospacing="1" w:after="100" w:afterAutospacing="1"/>
    </w:pPr>
    <w:rPr>
      <w:sz w:val="24"/>
      <w:szCs w:val="20"/>
    </w:rPr>
  </w:style>
  <w:style w:type="paragraph" w:styleId="24">
    <w:name w:val="Body Text First Indent 2"/>
    <w:basedOn w:val="10"/>
    <w:next w:val="1"/>
    <w:qFormat/>
    <w:uiPriority w:val="0"/>
    <w:pPr>
      <w:spacing w:line="240" w:lineRule="auto"/>
      <w:ind w:left="420" w:leftChars="200" w:firstLine="420" w:firstLineChars="200"/>
    </w:pPr>
    <w:rPr>
      <w:sz w:val="21"/>
    </w:rPr>
  </w:style>
  <w:style w:type="table" w:styleId="26">
    <w:name w:val="Table Grid"/>
    <w:basedOn w:val="2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page number"/>
    <w:basedOn w:val="27"/>
    <w:qFormat/>
    <w:uiPriority w:val="0"/>
  </w:style>
  <w:style w:type="paragraph" w:customStyle="1" w:styleId="29">
    <w:name w:val="样式 正文文本 + 首行缩进:  2 字符"/>
    <w:basedOn w:val="9"/>
    <w:qFormat/>
    <w:uiPriority w:val="0"/>
    <w:pPr>
      <w:spacing w:line="480" w:lineRule="exact"/>
      <w:ind w:firstLine="480" w:firstLineChars="200"/>
    </w:pPr>
    <w:rPr>
      <w:rFonts w:ascii="宋体" w:hAnsi="宋体" w:eastAsia="宋体" w:cs="宋体"/>
      <w:sz w:val="24"/>
      <w:szCs w:val="20"/>
    </w:rPr>
  </w:style>
  <w:style w:type="paragraph" w:customStyle="1" w:styleId="30">
    <w:name w:val="表格文字"/>
    <w:basedOn w:val="10"/>
    <w:next w:val="1"/>
    <w:qFormat/>
    <w:uiPriority w:val="0"/>
    <w:pPr>
      <w:spacing w:line="400" w:lineRule="exact"/>
      <w:jc w:val="center"/>
    </w:pPr>
    <w:rPr>
      <w:szCs w:val="24"/>
      <w:u w:color="000000"/>
    </w:rPr>
  </w:style>
  <w:style w:type="character" w:customStyle="1" w:styleId="31">
    <w:name w:val="批注框文本 Char"/>
    <w:basedOn w:val="27"/>
    <w:link w:val="17"/>
    <w:qFormat/>
    <w:uiPriority w:val="0"/>
    <w:rPr>
      <w:rFonts w:asciiTheme="minorHAnsi" w:hAnsiTheme="minorHAnsi" w:eastAsiaTheme="minorEastAsia" w:cstheme="minorBidi"/>
      <w:kern w:val="2"/>
      <w:sz w:val="18"/>
      <w:szCs w:val="18"/>
    </w:rPr>
  </w:style>
  <w:style w:type="paragraph" w:customStyle="1" w:styleId="32">
    <w:name w:val="_Style 632"/>
    <w:basedOn w:val="1"/>
    <w:qFormat/>
    <w:uiPriority w:val="0"/>
    <w:pPr>
      <w:adjustRightInd w:val="0"/>
      <w:snapToGrid w:val="0"/>
      <w:spacing w:line="360" w:lineRule="auto"/>
      <w:ind w:firstLine="200" w:firstLineChars="200"/>
    </w:pPr>
    <w:rPr>
      <w:rFonts w:ascii="Calibri" w:hAnsi="Calibri" w:eastAsia="宋体" w:cs="Times New Roman"/>
    </w:rPr>
  </w:style>
  <w:style w:type="paragraph" w:styleId="33">
    <w:name w:val="List Paragraph"/>
    <w:basedOn w:val="1"/>
    <w:unhideWhenUsed/>
    <w:qFormat/>
    <w:uiPriority w:val="99"/>
    <w:pPr>
      <w:ind w:firstLine="420" w:firstLineChars="200"/>
    </w:pPr>
  </w:style>
  <w:style w:type="paragraph" w:customStyle="1" w:styleId="34">
    <w:name w:val="表"/>
    <w:qFormat/>
    <w:uiPriority w:val="0"/>
    <w:pPr>
      <w:spacing w:line="440" w:lineRule="exact"/>
      <w:ind w:firstLine="200" w:firstLineChars="200"/>
      <w:jc w:val="both"/>
    </w:pPr>
    <w:rPr>
      <w:rFonts w:ascii="Calibri" w:hAnsi="Calibri" w:eastAsia="宋体" w:cs="Times New Roman"/>
      <w:sz w:val="24"/>
      <w:lang w:val="en-US" w:eastAsia="zh-CN" w:bidi="ar-SA"/>
    </w:rPr>
  </w:style>
  <w:style w:type="paragraph" w:customStyle="1" w:styleId="35">
    <w:name w:val="Default"/>
    <w:next w:val="1"/>
    <w:qFormat/>
    <w:uiPriority w:val="0"/>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customStyle="1" w:styleId="36">
    <w:name w:val="Normal Indent1"/>
    <w:basedOn w:val="1"/>
    <w:next w:val="1"/>
    <w:qFormat/>
    <w:uiPriority w:val="0"/>
    <w:pPr>
      <w:adjustRightInd w:val="0"/>
      <w:snapToGrid w:val="0"/>
      <w:spacing w:line="460" w:lineRule="atLeast"/>
      <w:ind w:firstLine="200" w:firstLineChars="200"/>
    </w:pPr>
    <w:rPr>
      <w:rFonts w:eastAsia="宋体"/>
      <w:kern w:val="2"/>
      <w:sz w:val="28"/>
      <w:lang w:val="en-US" w:eastAsia="zh-CN"/>
    </w:rPr>
  </w:style>
  <w:style w:type="paragraph" w:customStyle="1" w:styleId="37">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2198</Words>
  <Characters>2425</Characters>
  <Lines>9</Lines>
  <Paragraphs>2</Paragraphs>
  <TotalTime>7</TotalTime>
  <ScaleCrop>false</ScaleCrop>
  <LinksUpToDate>false</LinksUpToDate>
  <CharactersWithSpaces>2442</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2014-11-03T12:08:00Z</dcterms:created>
  <dc:creator>ZWFWTYSL03</dc:creator>
  <cp:lastModifiedBy>thtf</cp:lastModifiedBy>
  <cp:lastPrinted>2025-11-14T14:03:00Z</cp:lastPrinted>
  <dcterms:modified xsi:type="dcterms:W3CDTF">2026-01-08T16:00:43Z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F10B24D9A1C24241A7391453FB1F7AED_13</vt:lpwstr>
  </property>
  <property fmtid="{D5CDD505-2E9C-101B-9397-08002B2CF9AE}" pid="4" name="KSOTemplateDocerSaveRecord">
    <vt:lpwstr>eyJoZGlkIjoiN2Q5NGRlNmY1ZDU5MzI4YTdiM2VlMTcxNmU3ODZiYTMiLCJ1c2VySWQiOiI5Njg5OTkxODAifQ==</vt:lpwstr>
  </property>
</Properties>
</file>