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5</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10</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河北鑫正橡胶制品有限公司橡胶制品运动安全装修地垫生产项目</w:t>
      </w: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河北鑫正橡胶制品有限公司：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河北鑫正橡胶制品有限公司橡胶制品运动安全装修地垫生产项目环境影响报告表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河北省邯郸市魏县经济开发区创业大街7号</w:t>
      </w:r>
      <w:r>
        <w:rPr>
          <w:rFonts w:hint="default" w:ascii="Times New Roman" w:hAnsi="Times New Roman" w:eastAsia="仿宋_GB2312" w:cs="Times New Roman"/>
          <w:w w:val="100"/>
          <w:sz w:val="32"/>
          <w:szCs w:val="32"/>
          <w:lang w:eastAsia="zh-CN"/>
        </w:rPr>
        <w:t>，厂址中心地理坐标为北纬36°</w:t>
      </w:r>
      <w:r>
        <w:rPr>
          <w:rFonts w:hint="eastAsia" w:ascii="Times New Roman" w:hAnsi="Times New Roman" w:eastAsia="仿宋_GB2312" w:cs="Times New Roman"/>
          <w:w w:val="100"/>
          <w:sz w:val="32"/>
          <w:szCs w:val="32"/>
          <w:lang w:val="en-US" w:eastAsia="zh-CN"/>
        </w:rPr>
        <w:t>19</w:t>
      </w:r>
      <w:r>
        <w:rPr>
          <w:rFonts w:hint="default"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val="en-US" w:eastAsia="zh-CN"/>
        </w:rPr>
        <w:t>51.443</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东经114°5</w:t>
      </w:r>
      <w:r>
        <w:rPr>
          <w:rFonts w:hint="eastAsia" w:ascii="Times New Roman" w:hAnsi="Times New Roman" w:eastAsia="仿宋_GB2312" w:cs="Times New Roman"/>
          <w:w w:val="100"/>
          <w:sz w:val="32"/>
          <w:szCs w:val="32"/>
          <w:lang w:val="en-US" w:eastAsia="zh-CN"/>
        </w:rPr>
        <w:t>9</w:t>
      </w:r>
      <w:r>
        <w:rPr>
          <w:rFonts w:hint="default"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w w:val="100"/>
          <w:sz w:val="32"/>
          <w:szCs w:val="32"/>
          <w:lang w:val="en-US" w:eastAsia="zh-CN"/>
        </w:rPr>
        <w:t>49.185</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eastAsia="zh-CN"/>
        </w:rPr>
        <w:t>。建设内容及建设规模：</w:t>
      </w:r>
      <w:r>
        <w:rPr>
          <w:rFonts w:hint="eastAsia" w:ascii="Times New Roman" w:hAnsi="Times New Roman" w:eastAsia="仿宋_GB2312" w:cs="Times New Roman"/>
          <w:w w:val="100"/>
          <w:sz w:val="32"/>
          <w:szCs w:val="32"/>
          <w:lang w:eastAsia="zh-CN"/>
        </w:rPr>
        <w:t>本项目租赁场地建筑面积2500㎡，主要建设内容包括对现有车间改造并购置自动化成型设备10套、全自动搅拌机7台、卷材成型压力机2台、恒温温室1台、卷材旋切机2台、震动刀1套、复合机1台、复卷机1台、自动化打包机1套、导热油发生器1台，项目建成后年产橡胶地垫9000吨。</w:t>
      </w:r>
      <w:r>
        <w:rPr>
          <w:rFonts w:hint="default" w:ascii="Times New Roman" w:hAnsi="Times New Roman" w:eastAsia="仿宋_GB2312" w:cs="Times New Roman"/>
          <w:w w:val="100"/>
          <w:sz w:val="32"/>
          <w:szCs w:val="32"/>
          <w:lang w:val="en-US" w:eastAsia="zh-CN"/>
        </w:rPr>
        <w:t>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1020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50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4.9</w:t>
      </w:r>
      <w:r>
        <w:rPr>
          <w:rFonts w:hint="default" w:ascii="Times New Roman" w:hAnsi="Times New Roman" w:eastAsia="仿宋_GB2312" w:cs="Times New Roman"/>
          <w:color w:val="auto"/>
          <w:w w:val="100"/>
          <w:sz w:val="32"/>
          <w:szCs w:val="32"/>
          <w:lang w:val="en-US" w:eastAsia="zh-CN"/>
        </w:rPr>
        <w:t>%。</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河北卓耀环境科技有限公司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⑴废气：该项目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为上料、人工解包废气；成型、冷却废气；未收集的无组织废气</w:t>
      </w:r>
      <w:r>
        <w:rPr>
          <w:rFonts w:hint="default" w:ascii="Times New Roman" w:hAnsi="Times New Roman" w:eastAsia="仿宋_GB2312" w:cs="Times New Roman"/>
          <w:w w:val="100"/>
          <w:sz w:val="32"/>
          <w:szCs w:val="32"/>
          <w:lang w:val="en-US" w:eastAsia="zh-CN"/>
        </w:rPr>
        <w:t>等。</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w:t>
      </w:r>
      <w:r>
        <w:rPr>
          <w:rFonts w:hint="eastAsia" w:ascii="Times New Roman" w:hAnsi="Times New Roman" w:eastAsia="仿宋_GB2312" w:cs="Times New Roman"/>
          <w:w w:val="100"/>
          <w:sz w:val="32"/>
          <w:szCs w:val="32"/>
          <w:lang w:val="en-US" w:eastAsia="zh-CN"/>
        </w:rPr>
        <w:t>上料、人工解包废气；成型、冷却废气</w:t>
      </w:r>
      <w:r>
        <w:rPr>
          <w:rFonts w:hint="default"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w w:val="100"/>
          <w:sz w:val="32"/>
          <w:szCs w:val="32"/>
          <w:lang w:val="en-US" w:eastAsia="zh-CN"/>
        </w:rPr>
        <w:t>其中上料、人工解包废气经过</w:t>
      </w:r>
      <w:r>
        <w:rPr>
          <w:rFonts w:hint="default" w:ascii="Times New Roman" w:hAnsi="Times New Roman" w:eastAsia="仿宋_GB2312" w:cs="Times New Roman"/>
          <w:w w:val="100"/>
          <w:sz w:val="32"/>
          <w:szCs w:val="32"/>
          <w:lang w:val="en-US" w:eastAsia="zh-CN"/>
        </w:rPr>
        <w:t>集气罩+罐顶集气管道收集</w:t>
      </w:r>
      <w:r>
        <w:rPr>
          <w:rFonts w:hint="eastAsia" w:ascii="Times New Roman" w:hAnsi="Times New Roman" w:eastAsia="仿宋_GB2312" w:cs="Times New Roman"/>
          <w:w w:val="100"/>
          <w:sz w:val="32"/>
          <w:szCs w:val="32"/>
          <w:lang w:val="en-US" w:eastAsia="zh-CN"/>
        </w:rPr>
        <w:t>后</w:t>
      </w:r>
      <w:r>
        <w:rPr>
          <w:rFonts w:hint="default" w:ascii="Times New Roman" w:hAnsi="Times New Roman" w:eastAsia="仿宋_GB2312" w:cs="Times New Roman"/>
          <w:w w:val="100"/>
          <w:sz w:val="32"/>
          <w:szCs w:val="32"/>
          <w:lang w:val="en-US" w:eastAsia="zh-CN"/>
        </w:rPr>
        <w:t>通过袋式除尘器处理</w:t>
      </w:r>
      <w:r>
        <w:rPr>
          <w:rFonts w:hint="eastAsia" w:ascii="Times New Roman" w:hAnsi="Times New Roman" w:eastAsia="仿宋_GB2312" w:cs="Times New Roman"/>
          <w:w w:val="100"/>
          <w:sz w:val="32"/>
          <w:szCs w:val="32"/>
          <w:lang w:val="en-US" w:eastAsia="zh-CN"/>
        </w:rPr>
        <w:t>，后经排气筒排放；符合《橡胶制品工业污染物排放标准》(GB 27632-2011 )表5要求；成型、冷却废气经集气罩收集后通过碱液喷淋塔+二级活性炭吸附处理后经排气筒排放。满足《橡胶制品工业污染物排放标准》 （GB27632-2011）表 5 要求和《恶臭污染物排放标准》（GB 14554-1993）表2限值。</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为无组织颗粒物，非甲烷总烃</w:t>
      </w:r>
      <w:r>
        <w:rPr>
          <w:rFonts w:hint="default" w:ascii="Times New Roman" w:hAnsi="Times New Roman" w:eastAsia="仿宋_GB2312" w:cs="Times New Roman"/>
          <w:w w:val="100"/>
          <w:sz w:val="32"/>
          <w:szCs w:val="32"/>
          <w:lang w:val="en-US" w:eastAsia="zh-CN"/>
        </w:rPr>
        <w:t>以及未收集的无组织废气等。通过采取加强有组织收集、车间密闭、加强管理等措施降低废气无组织排放。</w:t>
      </w:r>
      <w:r>
        <w:rPr>
          <w:rFonts w:hint="eastAsia" w:ascii="Times New Roman" w:hAnsi="Times New Roman" w:eastAsia="仿宋_GB2312" w:cs="Times New Roman"/>
          <w:w w:val="100"/>
          <w:sz w:val="32"/>
          <w:szCs w:val="32"/>
          <w:lang w:val="en-US" w:eastAsia="zh-CN"/>
        </w:rPr>
        <w:t>满足</w:t>
      </w:r>
      <w:r>
        <w:rPr>
          <w:rFonts w:hint="default" w:ascii="Times New Roman" w:hAnsi="Times New Roman" w:eastAsia="仿宋_GB2312" w:cs="Times New Roman"/>
          <w:w w:val="100"/>
          <w:sz w:val="32"/>
          <w:szCs w:val="32"/>
          <w:lang w:val="en-US" w:eastAsia="zh-CN"/>
        </w:rPr>
        <w:t>《橡胶制品工业污染物排放标准》(GB 27632-2011 )表6限值</w:t>
      </w:r>
      <w:r>
        <w:rPr>
          <w:rFonts w:hint="eastAsia" w:ascii="Times New Roman" w:hAnsi="Times New Roman" w:eastAsia="仿宋_GB2312" w:cs="Times New Roman"/>
          <w:w w:val="100"/>
          <w:sz w:val="32"/>
          <w:szCs w:val="32"/>
          <w:lang w:val="en-US" w:eastAsia="zh-CN"/>
        </w:rPr>
        <w:t>，《工业企业挥发性有机物排放控制标准》(DB13/2322-2025)表2要求和《挥发性有机物无组织排放控制标准》（GB 37822-2019）要求。</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本项目废水主要为职工生活废水，经化粪池处理后排入魏县开发区污水处理厂处理，满足《污水综合排放标准》</w:t>
      </w:r>
      <w:r>
        <w:rPr>
          <w:rFonts w:hint="eastAsia"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lang w:val="en-US" w:eastAsia="zh-CN"/>
        </w:rPr>
        <w:t>（GB 8978-1996）中三级标准，同时满足魏县经济开发区污水处理厂进水指标要求</w:t>
      </w:r>
      <w:r>
        <w:rPr>
          <w:rFonts w:hint="eastAsia" w:ascii="Times New Roman" w:hAnsi="Times New Roman" w:eastAsia="仿宋_GB2312" w:cs="Times New Roman"/>
          <w:w w:val="100"/>
          <w:sz w:val="32"/>
          <w:szCs w:val="32"/>
          <w:lang w:val="en-US" w:eastAsia="zh-CN"/>
        </w:rPr>
        <w:t>。</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为自动化成型机、全自动搅拌机、卷材裁切机、自动化裁边机等设备运行时产生的噪声，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w:t>
      </w:r>
      <w:r>
        <w:rPr>
          <w:rFonts w:hint="default" w:ascii="Times New Roman" w:hAnsi="Times New Roman" w:eastAsia="仿宋_GB2312" w:cs="Times New Roman"/>
          <w:w w:val="100"/>
          <w:sz w:val="32"/>
          <w:szCs w:val="32"/>
          <w:lang w:val="en-US" w:eastAsia="zh-CN"/>
        </w:rPr>
        <w:t>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废包装桶、废包装袋、不合格品、</w:t>
      </w:r>
      <w:r>
        <w:rPr>
          <w:rFonts w:hint="default" w:ascii="Times New Roman" w:hAnsi="Times New Roman" w:eastAsia="仿宋_GB2312" w:cs="Times New Roman"/>
          <w:w w:val="100"/>
          <w:sz w:val="32"/>
          <w:szCs w:val="32"/>
          <w:lang w:val="en-US" w:eastAsia="zh-CN"/>
        </w:rPr>
        <w:t>地垫边角料</w:t>
      </w:r>
      <w:r>
        <w:rPr>
          <w:rFonts w:hint="eastAsia" w:ascii="Times New Roman" w:hAnsi="Times New Roman" w:eastAsia="仿宋_GB2312" w:cs="Times New Roman"/>
          <w:w w:val="100"/>
          <w:sz w:val="32"/>
          <w:szCs w:val="32"/>
          <w:lang w:val="en-US" w:eastAsia="zh-CN"/>
        </w:rPr>
        <w:t>、除尘灰。其中废包装桶由厂家回收再利用，废包装袋、地垫边角料和不合格品外售综合利用，除尘灰回用于生产</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废活性炭、废机油、废液压油、废导热油、废机油桶、废液压油桶、喷淋废液</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分类收集后，暂存于危废间内，定期交有资质单位处置。生活垃圾由环卫部门定期清运。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val="en-US" w:eastAsia="zh-CN"/>
        </w:rPr>
        <w:t>四、项目建设必须严格执行配套建设的环境保护设施与主</w:t>
      </w:r>
      <w:r>
        <w:rPr>
          <w:rFonts w:hint="default" w:ascii="Times New Roman" w:hAnsi="Times New Roman" w:eastAsia="仿宋_GB2312" w:cs="Times New Roman"/>
          <w:w w:val="100"/>
          <w:sz w:val="32"/>
          <w:szCs w:val="32"/>
          <w:lang w:eastAsia="zh-CN"/>
        </w:rPr>
        <w:t>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0.024</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0.0024</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十一</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二十五</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25</w:t>
      </w:r>
      <w:bookmarkStart w:id="0" w:name="_GoBack"/>
      <w:bookmarkEnd w:id="0"/>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DFC21B"/>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DC1EDA"/>
    <w:rsid w:val="7FE789ED"/>
    <w:rsid w:val="7FEF0464"/>
    <w:rsid w:val="7FF22B3C"/>
    <w:rsid w:val="9C3B2DDE"/>
    <w:rsid w:val="9F91B3F9"/>
    <w:rsid w:val="BFDF3EB1"/>
    <w:rsid w:val="BFEF58B8"/>
    <w:rsid w:val="E81362F8"/>
    <w:rsid w:val="EEBF7C0F"/>
    <w:rsid w:val="F977A930"/>
    <w:rsid w:val="FEF560DA"/>
    <w:rsid w:val="FF770519"/>
    <w:rsid w:val="FFD9355A"/>
    <w:rsid w:val="FFF43431"/>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1</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ZWFWTYSL03</dc:creator>
  <cp:lastModifiedBy>thtf</cp:lastModifiedBy>
  <cp:lastPrinted>2025-11-13T06:03:00Z</cp:lastPrinted>
  <dcterms:modified xsi:type="dcterms:W3CDTF">2025-11-24T09:16:27Z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